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9155E" w14:textId="77777777" w:rsidR="0077235D" w:rsidRPr="007E253F" w:rsidRDefault="000E2B3A" w:rsidP="000E2B3A">
      <w:pPr>
        <w:spacing w:line="360" w:lineRule="auto"/>
        <w:jc w:val="center"/>
        <w:rPr>
          <w:rFonts w:cs="Times New Roman"/>
          <w:szCs w:val="24"/>
        </w:rPr>
      </w:pPr>
      <w:bookmarkStart w:id="0" w:name="_Hlk66393290"/>
      <w:bookmarkEnd w:id="0"/>
      <w:r w:rsidRPr="007E253F">
        <w:rPr>
          <w:rFonts w:cs="Times New Roman"/>
          <w:b/>
          <w:noProof/>
          <w:szCs w:val="24"/>
          <w:lang w:eastAsia="es-EC"/>
        </w:rPr>
        <w:drawing>
          <wp:anchor distT="0" distB="0" distL="114300" distR="114300" simplePos="0" relativeHeight="251659264" behindDoc="0" locked="0" layoutInCell="1" allowOverlap="1" wp14:anchorId="70D9073B" wp14:editId="50F76495">
            <wp:simplePos x="0" y="0"/>
            <wp:positionH relativeFrom="column">
              <wp:posOffset>1872557</wp:posOffset>
            </wp:positionH>
            <wp:positionV relativeFrom="paragraph">
              <wp:posOffset>-120683</wp:posOffset>
            </wp:positionV>
            <wp:extent cx="978655" cy="1034807"/>
            <wp:effectExtent l="0" t="0" r="0" b="0"/>
            <wp:wrapNone/>
            <wp:docPr id="32" name="Imagen 5" descr="logou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ueb"/>
                    <pic:cNvPicPr>
                      <a:picLocks noChangeAspect="1" noChangeArrowheads="1"/>
                    </pic:cNvPicPr>
                  </pic:nvPicPr>
                  <pic:blipFill>
                    <a:blip r:embed="rId8" cstate="print"/>
                    <a:srcRect/>
                    <a:stretch>
                      <a:fillRect/>
                    </a:stretch>
                  </pic:blipFill>
                  <pic:spPr bwMode="auto">
                    <a:xfrm>
                      <a:off x="0" y="0"/>
                      <a:ext cx="978655" cy="10348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658A06" w14:textId="77777777" w:rsidR="00330C29" w:rsidRPr="007E253F" w:rsidRDefault="00330C29" w:rsidP="00330C29">
      <w:pPr>
        <w:pStyle w:val="Ttulo1"/>
        <w:numPr>
          <w:ilvl w:val="0"/>
          <w:numId w:val="0"/>
        </w:numPr>
        <w:ind w:left="720" w:hanging="360"/>
        <w:rPr>
          <w:color w:val="FFFFFF" w:themeColor="background1"/>
          <w:szCs w:val="24"/>
        </w:rPr>
      </w:pPr>
      <w:bookmarkStart w:id="1" w:name="_Toc72741028"/>
      <w:bookmarkStart w:id="2" w:name="_Toc72741826"/>
      <w:bookmarkStart w:id="3" w:name="_Toc72742624"/>
      <w:bookmarkStart w:id="4" w:name="_Toc72881376"/>
      <w:bookmarkStart w:id="5" w:name="_Toc72882458"/>
      <w:bookmarkStart w:id="6" w:name="_Toc75608804"/>
      <w:bookmarkStart w:id="7" w:name="_Toc75611730"/>
      <w:bookmarkStart w:id="8" w:name="_Toc75612576"/>
      <w:bookmarkStart w:id="9" w:name="_Toc75679731"/>
      <w:bookmarkStart w:id="10" w:name="_Toc75702339"/>
      <w:bookmarkStart w:id="11" w:name="_Toc80008337"/>
      <w:bookmarkStart w:id="12" w:name="_Toc80312230"/>
      <w:r w:rsidRPr="007E253F">
        <w:rPr>
          <w:color w:val="FFFFFF" w:themeColor="background1"/>
        </w:rPr>
        <w:t>PORTADA</w:t>
      </w:r>
      <w:bookmarkEnd w:id="1"/>
      <w:bookmarkEnd w:id="2"/>
      <w:bookmarkEnd w:id="3"/>
      <w:bookmarkEnd w:id="4"/>
      <w:bookmarkEnd w:id="5"/>
      <w:bookmarkEnd w:id="6"/>
      <w:bookmarkEnd w:id="7"/>
      <w:bookmarkEnd w:id="8"/>
      <w:bookmarkEnd w:id="9"/>
      <w:bookmarkEnd w:id="10"/>
      <w:bookmarkEnd w:id="11"/>
      <w:bookmarkEnd w:id="12"/>
    </w:p>
    <w:p w14:paraId="0C6CB79D" w14:textId="77777777" w:rsidR="00330C29" w:rsidRPr="007E253F" w:rsidRDefault="00330C29" w:rsidP="000E2B3A">
      <w:pPr>
        <w:spacing w:after="0" w:line="360" w:lineRule="auto"/>
        <w:jc w:val="center"/>
        <w:rPr>
          <w:rFonts w:cs="Times New Roman"/>
          <w:b/>
          <w:sz w:val="28"/>
          <w:szCs w:val="28"/>
        </w:rPr>
      </w:pPr>
    </w:p>
    <w:p w14:paraId="41CCB4B0" w14:textId="22659793" w:rsidR="0077235D" w:rsidRDefault="0077235D" w:rsidP="000E2B3A">
      <w:pPr>
        <w:spacing w:after="0" w:line="360" w:lineRule="auto"/>
        <w:jc w:val="center"/>
        <w:rPr>
          <w:rFonts w:cs="Times New Roman"/>
          <w:b/>
          <w:sz w:val="28"/>
          <w:szCs w:val="28"/>
        </w:rPr>
      </w:pPr>
      <w:r w:rsidRPr="007E253F">
        <w:rPr>
          <w:rFonts w:cs="Times New Roman"/>
          <w:b/>
          <w:sz w:val="28"/>
          <w:szCs w:val="28"/>
        </w:rPr>
        <w:t>UNIVERSIDAD ESTATAL DE BOLÍVAR</w:t>
      </w:r>
    </w:p>
    <w:p w14:paraId="63B95737" w14:textId="58AFE045" w:rsidR="0077235D" w:rsidRPr="007E253F" w:rsidRDefault="00DC7712" w:rsidP="000E2B3A">
      <w:pPr>
        <w:spacing w:after="0" w:line="360" w:lineRule="auto"/>
        <w:jc w:val="center"/>
        <w:rPr>
          <w:rFonts w:cs="Times New Roman"/>
          <w:b/>
          <w:sz w:val="28"/>
          <w:szCs w:val="28"/>
        </w:rPr>
      </w:pPr>
      <w:r w:rsidRPr="007E253F">
        <w:rPr>
          <w:rFonts w:cs="Times New Roman"/>
          <w:b/>
          <w:sz w:val="28"/>
          <w:szCs w:val="28"/>
        </w:rPr>
        <w:t xml:space="preserve">Facultad de </w:t>
      </w:r>
      <w:r>
        <w:rPr>
          <w:rFonts w:cs="Times New Roman"/>
          <w:b/>
          <w:sz w:val="28"/>
          <w:szCs w:val="28"/>
        </w:rPr>
        <w:t>C</w:t>
      </w:r>
      <w:r w:rsidRPr="007E253F">
        <w:rPr>
          <w:rFonts w:cs="Times New Roman"/>
          <w:b/>
          <w:sz w:val="28"/>
          <w:szCs w:val="28"/>
        </w:rPr>
        <w:t xml:space="preserve">iencias </w:t>
      </w:r>
      <w:r w:rsidR="00D10571">
        <w:rPr>
          <w:rFonts w:cs="Times New Roman"/>
          <w:b/>
          <w:sz w:val="28"/>
          <w:szCs w:val="28"/>
        </w:rPr>
        <w:t>A</w:t>
      </w:r>
      <w:r w:rsidRPr="007E253F">
        <w:rPr>
          <w:rFonts w:cs="Times New Roman"/>
          <w:b/>
          <w:sz w:val="28"/>
          <w:szCs w:val="28"/>
        </w:rPr>
        <w:t>gropecuarias,</w:t>
      </w:r>
      <w:r>
        <w:rPr>
          <w:rFonts w:cs="Times New Roman"/>
          <w:b/>
          <w:sz w:val="28"/>
          <w:szCs w:val="28"/>
        </w:rPr>
        <w:t xml:space="preserve"> </w:t>
      </w:r>
      <w:r w:rsidRPr="007E253F">
        <w:rPr>
          <w:rFonts w:cs="Times New Roman"/>
          <w:b/>
          <w:sz w:val="28"/>
          <w:szCs w:val="28"/>
        </w:rPr>
        <w:t xml:space="preserve">Recursos </w:t>
      </w:r>
      <w:r w:rsidR="00D10571">
        <w:rPr>
          <w:rFonts w:cs="Times New Roman"/>
          <w:b/>
          <w:sz w:val="28"/>
          <w:szCs w:val="28"/>
        </w:rPr>
        <w:t>N</w:t>
      </w:r>
      <w:r w:rsidRPr="007E253F">
        <w:rPr>
          <w:rFonts w:cs="Times New Roman"/>
          <w:b/>
          <w:sz w:val="28"/>
          <w:szCs w:val="28"/>
        </w:rPr>
        <w:t xml:space="preserve">aturales y del </w:t>
      </w:r>
      <w:r>
        <w:rPr>
          <w:rFonts w:cs="Times New Roman"/>
          <w:b/>
          <w:sz w:val="28"/>
          <w:szCs w:val="28"/>
        </w:rPr>
        <w:t>A</w:t>
      </w:r>
      <w:r w:rsidRPr="007E253F">
        <w:rPr>
          <w:rFonts w:cs="Times New Roman"/>
          <w:b/>
          <w:sz w:val="28"/>
          <w:szCs w:val="28"/>
        </w:rPr>
        <w:t>mbiente</w:t>
      </w:r>
    </w:p>
    <w:p w14:paraId="5853C82C" w14:textId="115B63D6" w:rsidR="0077235D" w:rsidRPr="007E253F" w:rsidRDefault="00DC7712" w:rsidP="000E2B3A">
      <w:pPr>
        <w:spacing w:after="320" w:line="360" w:lineRule="auto"/>
        <w:jc w:val="center"/>
        <w:rPr>
          <w:rFonts w:cs="Times New Roman"/>
          <w:b/>
          <w:sz w:val="28"/>
          <w:szCs w:val="28"/>
        </w:rPr>
      </w:pPr>
      <w:r w:rsidRPr="007E253F">
        <w:rPr>
          <w:rFonts w:cs="Times New Roman"/>
          <w:b/>
          <w:sz w:val="28"/>
          <w:szCs w:val="28"/>
        </w:rPr>
        <w:t xml:space="preserve">Carrera de </w:t>
      </w:r>
      <w:r>
        <w:rPr>
          <w:rFonts w:cs="Times New Roman"/>
          <w:b/>
          <w:sz w:val="28"/>
          <w:szCs w:val="28"/>
        </w:rPr>
        <w:t>Ingeniería Agronómica</w:t>
      </w:r>
    </w:p>
    <w:p w14:paraId="21332F1B" w14:textId="77777777" w:rsidR="0077235D" w:rsidRPr="007E253F" w:rsidRDefault="0077235D" w:rsidP="000E2B3A">
      <w:pPr>
        <w:spacing w:after="320" w:line="360" w:lineRule="auto"/>
        <w:jc w:val="center"/>
        <w:rPr>
          <w:rFonts w:cs="Times New Roman"/>
          <w:b/>
          <w:sz w:val="28"/>
          <w:szCs w:val="28"/>
        </w:rPr>
      </w:pPr>
      <w:r w:rsidRPr="007E253F">
        <w:rPr>
          <w:rFonts w:cs="Times New Roman"/>
          <w:b/>
          <w:sz w:val="28"/>
          <w:szCs w:val="28"/>
        </w:rPr>
        <w:t>TEMA:</w:t>
      </w:r>
    </w:p>
    <w:p w14:paraId="43A2E099" w14:textId="77777777" w:rsidR="0077235D" w:rsidRPr="007E253F" w:rsidRDefault="0077235D" w:rsidP="000E2B3A">
      <w:pPr>
        <w:spacing w:after="320" w:line="360" w:lineRule="auto"/>
        <w:jc w:val="center"/>
        <w:rPr>
          <w:rFonts w:cs="Times New Roman"/>
          <w:b/>
          <w:bCs/>
          <w:szCs w:val="24"/>
        </w:rPr>
      </w:pPr>
      <w:r w:rsidRPr="007E253F">
        <w:rPr>
          <w:rFonts w:cs="Times New Roman"/>
          <w:b/>
          <w:bCs/>
          <w:szCs w:val="24"/>
        </w:rPr>
        <w:t>EFECTO DE LA FERTILIZACIÓN DE MACRONUTRIENTES EN EL RENDIMIENTO DE MAÍZ SUAVE (</w:t>
      </w:r>
      <w:r w:rsidRPr="007E253F">
        <w:rPr>
          <w:rFonts w:cs="Times New Roman"/>
          <w:b/>
          <w:bCs/>
          <w:szCs w:val="24"/>
          <w:u w:val="single"/>
        </w:rPr>
        <w:t>Zea</w:t>
      </w:r>
      <w:r w:rsidRPr="007E253F">
        <w:rPr>
          <w:rFonts w:cs="Times New Roman"/>
          <w:szCs w:val="24"/>
        </w:rPr>
        <w:t xml:space="preserve"> </w:t>
      </w:r>
      <w:r w:rsidRPr="003A1E83">
        <w:rPr>
          <w:rFonts w:cs="Times New Roman"/>
          <w:b/>
          <w:bCs/>
          <w:szCs w:val="24"/>
          <w:u w:val="single"/>
        </w:rPr>
        <w:t>mays</w:t>
      </w:r>
      <w:r w:rsidRPr="007E253F">
        <w:rPr>
          <w:rFonts w:cs="Times New Roman"/>
          <w:b/>
          <w:bCs/>
          <w:i/>
          <w:iCs/>
          <w:szCs w:val="24"/>
          <w:u w:val="single"/>
        </w:rPr>
        <w:t xml:space="preserve"> </w:t>
      </w:r>
      <w:r w:rsidRPr="003A1E83">
        <w:rPr>
          <w:rFonts w:cs="Times New Roman"/>
          <w:b/>
          <w:bCs/>
          <w:iCs/>
          <w:szCs w:val="24"/>
        </w:rPr>
        <w:t>L</w:t>
      </w:r>
      <w:r w:rsidRPr="003A1E83">
        <w:rPr>
          <w:rFonts w:cs="Times New Roman"/>
          <w:b/>
          <w:bCs/>
          <w:i/>
          <w:iCs/>
          <w:szCs w:val="24"/>
        </w:rPr>
        <w:t>.</w:t>
      </w:r>
      <w:r w:rsidRPr="007E253F">
        <w:rPr>
          <w:rFonts w:cs="Times New Roman"/>
          <w:b/>
          <w:bCs/>
          <w:szCs w:val="24"/>
        </w:rPr>
        <w:t>) EN TRES PROVINCIAS DE LA SIERRA DEL ECUADOR</w:t>
      </w:r>
    </w:p>
    <w:p w14:paraId="5A8F137D" w14:textId="048273EB" w:rsidR="0077235D" w:rsidRPr="003A28E2" w:rsidRDefault="00DC7712" w:rsidP="000E2B3A">
      <w:pPr>
        <w:spacing w:after="0" w:line="360" w:lineRule="auto"/>
        <w:jc w:val="center"/>
        <w:rPr>
          <w:rFonts w:cs="Times New Roman"/>
          <w:b/>
          <w:sz w:val="20"/>
          <w:szCs w:val="20"/>
        </w:rPr>
      </w:pPr>
      <w:r w:rsidRPr="003A28E2">
        <w:rPr>
          <w:rFonts w:cs="Times New Roman"/>
          <w:b/>
          <w:sz w:val="20"/>
          <w:szCs w:val="20"/>
        </w:rPr>
        <w:t>Proyecto de Investigación previo a la obtención del título de Ingeniera Agrónoma otorgado por la Universidad Estatal de Bolívar, a través de la Facultad de Ciencias Agropecuarias, Recursos Naturales y del Ambiente, Carrera de Ingeniería Agronómica</w:t>
      </w:r>
    </w:p>
    <w:p w14:paraId="1887DE53" w14:textId="77777777" w:rsidR="00DC7712" w:rsidRDefault="00DC7712" w:rsidP="004E0344">
      <w:pPr>
        <w:spacing w:after="0" w:line="360" w:lineRule="auto"/>
        <w:jc w:val="center"/>
        <w:rPr>
          <w:rFonts w:cs="Times New Roman"/>
          <w:b/>
          <w:bCs/>
          <w:sz w:val="28"/>
          <w:szCs w:val="28"/>
        </w:rPr>
      </w:pPr>
    </w:p>
    <w:p w14:paraId="3DEB8E4F" w14:textId="507E860A" w:rsidR="0077235D" w:rsidRPr="007E253F" w:rsidRDefault="0077235D" w:rsidP="004E0344">
      <w:pPr>
        <w:spacing w:after="0" w:line="360" w:lineRule="auto"/>
        <w:jc w:val="center"/>
        <w:rPr>
          <w:rFonts w:cs="Times New Roman"/>
          <w:b/>
          <w:bCs/>
          <w:sz w:val="28"/>
          <w:szCs w:val="28"/>
        </w:rPr>
      </w:pPr>
      <w:r w:rsidRPr="007E253F">
        <w:rPr>
          <w:rFonts w:cs="Times New Roman"/>
          <w:b/>
          <w:bCs/>
          <w:sz w:val="28"/>
          <w:szCs w:val="28"/>
        </w:rPr>
        <w:t>AUTOR</w:t>
      </w:r>
      <w:r w:rsidR="00DC7712">
        <w:rPr>
          <w:rFonts w:cs="Times New Roman"/>
          <w:b/>
          <w:bCs/>
          <w:sz w:val="28"/>
          <w:szCs w:val="28"/>
        </w:rPr>
        <w:t>A</w:t>
      </w:r>
      <w:r w:rsidRPr="007E253F">
        <w:rPr>
          <w:rFonts w:cs="Times New Roman"/>
          <w:b/>
          <w:bCs/>
          <w:sz w:val="28"/>
          <w:szCs w:val="28"/>
        </w:rPr>
        <w:t>:</w:t>
      </w:r>
    </w:p>
    <w:p w14:paraId="10BF35C2" w14:textId="77777777" w:rsidR="0077235D" w:rsidRPr="007E253F" w:rsidRDefault="0077235D" w:rsidP="004E0344">
      <w:pPr>
        <w:spacing w:after="0" w:line="360" w:lineRule="auto"/>
        <w:jc w:val="center"/>
        <w:rPr>
          <w:rFonts w:cs="Times New Roman"/>
          <w:b/>
          <w:bCs/>
          <w:szCs w:val="24"/>
        </w:rPr>
      </w:pPr>
      <w:r w:rsidRPr="007E253F">
        <w:rPr>
          <w:rFonts w:cs="Times New Roman"/>
          <w:b/>
          <w:bCs/>
          <w:szCs w:val="24"/>
        </w:rPr>
        <w:t>JESSENIA ALEXANDRA VARGAS CARRANZA</w:t>
      </w:r>
    </w:p>
    <w:p w14:paraId="2934C316" w14:textId="77777777" w:rsidR="00DC7712" w:rsidRDefault="00DC7712" w:rsidP="004E0344">
      <w:pPr>
        <w:spacing w:after="0" w:line="360" w:lineRule="auto"/>
        <w:jc w:val="center"/>
        <w:rPr>
          <w:rFonts w:cs="Times New Roman"/>
          <w:b/>
          <w:bCs/>
          <w:sz w:val="28"/>
          <w:szCs w:val="28"/>
        </w:rPr>
      </w:pPr>
    </w:p>
    <w:p w14:paraId="127E0AC7" w14:textId="20E9176F" w:rsidR="0077235D" w:rsidRPr="007E253F" w:rsidRDefault="0077235D" w:rsidP="004E0344">
      <w:pPr>
        <w:spacing w:after="0" w:line="360" w:lineRule="auto"/>
        <w:jc w:val="center"/>
        <w:rPr>
          <w:rFonts w:cs="Times New Roman"/>
          <w:b/>
          <w:bCs/>
          <w:sz w:val="28"/>
          <w:szCs w:val="28"/>
        </w:rPr>
      </w:pPr>
      <w:r w:rsidRPr="007E253F">
        <w:rPr>
          <w:rFonts w:cs="Times New Roman"/>
          <w:b/>
          <w:bCs/>
          <w:sz w:val="28"/>
          <w:szCs w:val="28"/>
        </w:rPr>
        <w:t>DIRECTOR:</w:t>
      </w:r>
    </w:p>
    <w:p w14:paraId="087029B8" w14:textId="4E01C491" w:rsidR="0077235D" w:rsidRPr="007E253F" w:rsidRDefault="00DC7712" w:rsidP="000E2B3A">
      <w:pPr>
        <w:spacing w:after="320" w:line="360" w:lineRule="auto"/>
        <w:jc w:val="center"/>
        <w:rPr>
          <w:rFonts w:cs="Times New Roman"/>
          <w:b/>
          <w:bCs/>
          <w:szCs w:val="24"/>
        </w:rPr>
      </w:pPr>
      <w:r w:rsidRPr="007E253F">
        <w:rPr>
          <w:rFonts w:cs="Times New Roman"/>
          <w:b/>
          <w:bCs/>
          <w:szCs w:val="24"/>
        </w:rPr>
        <w:t xml:space="preserve">Ing. Nelson </w:t>
      </w:r>
      <w:r>
        <w:rPr>
          <w:rFonts w:cs="Times New Roman"/>
          <w:b/>
          <w:bCs/>
          <w:szCs w:val="24"/>
        </w:rPr>
        <w:t>Mo</w:t>
      </w:r>
      <w:r w:rsidRPr="007E253F">
        <w:rPr>
          <w:rFonts w:cs="Times New Roman"/>
          <w:b/>
          <w:bCs/>
          <w:szCs w:val="24"/>
        </w:rPr>
        <w:t xml:space="preserve">nar </w:t>
      </w:r>
      <w:r>
        <w:rPr>
          <w:rFonts w:cs="Times New Roman"/>
          <w:b/>
          <w:bCs/>
          <w:szCs w:val="24"/>
        </w:rPr>
        <w:t>G</w:t>
      </w:r>
      <w:r w:rsidRPr="007E253F">
        <w:rPr>
          <w:rFonts w:cs="Times New Roman"/>
          <w:b/>
          <w:bCs/>
          <w:szCs w:val="24"/>
        </w:rPr>
        <w:t>avilánez</w:t>
      </w:r>
      <w:r w:rsidR="00ED2254">
        <w:rPr>
          <w:rFonts w:cs="Times New Roman"/>
          <w:b/>
          <w:bCs/>
          <w:szCs w:val="24"/>
        </w:rPr>
        <w:t xml:space="preserve"> M.Sc</w:t>
      </w:r>
    </w:p>
    <w:p w14:paraId="3834F180" w14:textId="77777777" w:rsidR="003A1E83" w:rsidRDefault="003A1E83" w:rsidP="00DC7712">
      <w:pPr>
        <w:spacing w:after="0" w:line="360" w:lineRule="auto"/>
        <w:jc w:val="center"/>
        <w:rPr>
          <w:rFonts w:cs="Times New Roman"/>
          <w:b/>
          <w:bCs/>
          <w:sz w:val="28"/>
          <w:szCs w:val="28"/>
        </w:rPr>
      </w:pPr>
    </w:p>
    <w:p w14:paraId="51FD3EE0" w14:textId="1BF59A80" w:rsidR="0077235D" w:rsidRPr="007E253F" w:rsidRDefault="00DC7712" w:rsidP="00DC7712">
      <w:pPr>
        <w:spacing w:after="0" w:line="360" w:lineRule="auto"/>
        <w:jc w:val="center"/>
        <w:rPr>
          <w:rFonts w:cs="Times New Roman"/>
          <w:b/>
          <w:bCs/>
          <w:szCs w:val="24"/>
        </w:rPr>
      </w:pPr>
      <w:r w:rsidRPr="007E253F">
        <w:rPr>
          <w:rFonts w:cs="Times New Roman"/>
          <w:b/>
          <w:bCs/>
          <w:sz w:val="28"/>
          <w:szCs w:val="28"/>
        </w:rPr>
        <w:t>Guaranda</w:t>
      </w:r>
      <w:r>
        <w:rPr>
          <w:rFonts w:cs="Times New Roman"/>
          <w:b/>
          <w:bCs/>
          <w:sz w:val="28"/>
          <w:szCs w:val="28"/>
        </w:rPr>
        <w:t xml:space="preserve"> – E</w:t>
      </w:r>
      <w:r w:rsidRPr="007E253F">
        <w:rPr>
          <w:rFonts w:cs="Times New Roman"/>
          <w:b/>
          <w:bCs/>
          <w:sz w:val="28"/>
          <w:szCs w:val="28"/>
        </w:rPr>
        <w:t>cuador</w:t>
      </w:r>
      <w:r>
        <w:rPr>
          <w:rFonts w:cs="Times New Roman"/>
          <w:b/>
          <w:bCs/>
          <w:sz w:val="28"/>
          <w:szCs w:val="28"/>
        </w:rPr>
        <w:t xml:space="preserve"> </w:t>
      </w:r>
    </w:p>
    <w:p w14:paraId="03920F88" w14:textId="77777777" w:rsidR="003A1E83" w:rsidRDefault="003A1E83" w:rsidP="00DC7712">
      <w:pPr>
        <w:spacing w:after="0" w:line="360" w:lineRule="auto"/>
        <w:jc w:val="center"/>
        <w:rPr>
          <w:rFonts w:cs="Times New Roman"/>
          <w:b/>
          <w:bCs/>
          <w:sz w:val="28"/>
          <w:szCs w:val="24"/>
        </w:rPr>
      </w:pPr>
    </w:p>
    <w:p w14:paraId="7B61F8B4" w14:textId="6C93F7B0" w:rsidR="00330C29" w:rsidRPr="00DC7712" w:rsidRDefault="00613CC6" w:rsidP="00DC7712">
      <w:pPr>
        <w:spacing w:after="0" w:line="360" w:lineRule="auto"/>
        <w:jc w:val="center"/>
        <w:rPr>
          <w:rFonts w:cs="Times New Roman"/>
          <w:b/>
          <w:bCs/>
          <w:sz w:val="28"/>
          <w:szCs w:val="28"/>
        </w:rPr>
      </w:pPr>
      <w:r w:rsidRPr="00DC7712">
        <w:rPr>
          <w:noProof/>
          <w:sz w:val="28"/>
          <w:szCs w:val="28"/>
          <w:lang w:eastAsia="es-EC"/>
        </w:rPr>
        <mc:AlternateContent>
          <mc:Choice Requires="wps">
            <w:drawing>
              <wp:anchor distT="0" distB="0" distL="114300" distR="114300" simplePos="0" relativeHeight="251668480" behindDoc="0" locked="0" layoutInCell="1" allowOverlap="1" wp14:anchorId="3DDA9599" wp14:editId="05A9F6E3">
                <wp:simplePos x="0" y="0"/>
                <wp:positionH relativeFrom="column">
                  <wp:posOffset>4770615</wp:posOffset>
                </wp:positionH>
                <wp:positionV relativeFrom="paragraph">
                  <wp:posOffset>780341</wp:posOffset>
                </wp:positionV>
                <wp:extent cx="451262" cy="320634"/>
                <wp:effectExtent l="0" t="0" r="25400" b="22860"/>
                <wp:wrapNone/>
                <wp:docPr id="46" name="46 Cuadro de texto"/>
                <wp:cNvGraphicFramePr/>
                <a:graphic xmlns:a="http://schemas.openxmlformats.org/drawingml/2006/main">
                  <a:graphicData uri="http://schemas.microsoft.com/office/word/2010/wordprocessingShape">
                    <wps:wsp>
                      <wps:cNvSpPr txBox="1"/>
                      <wps:spPr>
                        <a:xfrm>
                          <a:off x="0" y="0"/>
                          <a:ext cx="451262" cy="32063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95153F" w14:textId="77777777" w:rsidR="009B3C21" w:rsidRDefault="009B3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DA9599" id="_x0000_t202" coordsize="21600,21600" o:spt="202" path="m,l,21600r21600,l21600,xe">
                <v:stroke joinstyle="miter"/>
                <v:path gradientshapeok="t" o:connecttype="rect"/>
              </v:shapetype>
              <v:shape id="46 Cuadro de texto" o:spid="_x0000_s1026" type="#_x0000_t202" style="position:absolute;left:0;text-align:left;margin-left:375.65pt;margin-top:61.45pt;width:35.55pt;height:25.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" fillcolor="white [3212]" strokecolor="white [3212]" strokeweight=".5pt">
                <v:textbox>
                  <w:txbxContent>
                    <w:p w14:paraId="5B95153F" w14:textId="77777777" w:rsidR="009B3C21" w:rsidRDefault="009B3C21"/>
                  </w:txbxContent>
                </v:textbox>
              </v:shape>
            </w:pict>
          </mc:Fallback>
        </mc:AlternateContent>
      </w:r>
      <w:r w:rsidR="00DC7712" w:rsidRPr="00DC7712">
        <w:rPr>
          <w:rFonts w:cs="Times New Roman"/>
          <w:b/>
          <w:bCs/>
          <w:sz w:val="28"/>
          <w:szCs w:val="24"/>
        </w:rPr>
        <w:t>2021</w:t>
      </w:r>
    </w:p>
    <w:p w14:paraId="10F000C5" w14:textId="77777777" w:rsidR="006C4A75" w:rsidRDefault="006C4A75" w:rsidP="000E2B3A">
      <w:pPr>
        <w:spacing w:after="320" w:line="360" w:lineRule="auto"/>
        <w:jc w:val="center"/>
        <w:rPr>
          <w:rFonts w:cs="Times New Roman"/>
          <w:b/>
          <w:bCs/>
          <w:szCs w:val="24"/>
        </w:rPr>
      </w:pPr>
    </w:p>
    <w:p w14:paraId="2D93B2E8" w14:textId="77777777" w:rsidR="003A28E2" w:rsidRDefault="003A28E2" w:rsidP="000E2B3A">
      <w:pPr>
        <w:spacing w:after="320" w:line="360" w:lineRule="auto"/>
        <w:jc w:val="center"/>
        <w:rPr>
          <w:rFonts w:cs="Times New Roman"/>
          <w:b/>
          <w:bCs/>
          <w:szCs w:val="24"/>
        </w:rPr>
      </w:pPr>
    </w:p>
    <w:p w14:paraId="788F0FB7" w14:textId="73A21F32" w:rsidR="0077235D" w:rsidRPr="007E253F" w:rsidRDefault="004E0344" w:rsidP="000E2B3A">
      <w:pPr>
        <w:spacing w:after="320" w:line="360" w:lineRule="auto"/>
        <w:jc w:val="center"/>
        <w:rPr>
          <w:rFonts w:cs="Times New Roman"/>
          <w:b/>
          <w:bCs/>
          <w:szCs w:val="24"/>
        </w:rPr>
      </w:pPr>
      <w:r w:rsidRPr="007E253F">
        <w:rPr>
          <w:rFonts w:cs="Times New Roman"/>
          <w:b/>
          <w:bCs/>
          <w:szCs w:val="24"/>
        </w:rPr>
        <w:lastRenderedPageBreak/>
        <w:t>EFECTO DE LA FERTILIZACIÓN DE MACRONUTRIENTES EN EL RENDIMIENTO DE MAÍZ SUAVE (</w:t>
      </w:r>
      <w:r w:rsidRPr="007E253F">
        <w:rPr>
          <w:rFonts w:cs="Times New Roman"/>
          <w:b/>
          <w:bCs/>
          <w:szCs w:val="24"/>
          <w:u w:val="single"/>
        </w:rPr>
        <w:t>Z</w:t>
      </w:r>
      <w:r w:rsidR="00D16203">
        <w:rPr>
          <w:rFonts w:cs="Times New Roman"/>
          <w:b/>
          <w:bCs/>
          <w:szCs w:val="24"/>
          <w:u w:val="single"/>
        </w:rPr>
        <w:t>ea</w:t>
      </w:r>
      <w:r w:rsidRPr="007E253F">
        <w:rPr>
          <w:rFonts w:cs="Times New Roman"/>
          <w:szCs w:val="24"/>
        </w:rPr>
        <w:t xml:space="preserve"> </w:t>
      </w:r>
      <w:r w:rsidR="00D16203" w:rsidRPr="00D16203">
        <w:rPr>
          <w:rFonts w:cs="Times New Roman"/>
          <w:b/>
          <w:bCs/>
          <w:szCs w:val="24"/>
          <w:u w:val="single"/>
        </w:rPr>
        <w:t>mays</w:t>
      </w:r>
      <w:r w:rsidRPr="00D16203">
        <w:rPr>
          <w:rFonts w:cs="Times New Roman"/>
          <w:b/>
          <w:bCs/>
          <w:i/>
          <w:iCs/>
          <w:szCs w:val="24"/>
          <w:u w:val="single"/>
        </w:rPr>
        <w:t xml:space="preserve"> </w:t>
      </w:r>
      <w:r w:rsidRPr="003A1E83">
        <w:rPr>
          <w:rFonts w:cs="Times New Roman"/>
          <w:b/>
          <w:bCs/>
          <w:iCs/>
          <w:szCs w:val="24"/>
        </w:rPr>
        <w:t>L</w:t>
      </w:r>
      <w:r w:rsidRPr="00D16203">
        <w:rPr>
          <w:rFonts w:cs="Times New Roman"/>
          <w:b/>
          <w:bCs/>
          <w:i/>
          <w:iCs/>
          <w:szCs w:val="24"/>
          <w:u w:val="single"/>
        </w:rPr>
        <w:t>.</w:t>
      </w:r>
      <w:r w:rsidRPr="00D16203">
        <w:rPr>
          <w:rFonts w:cs="Times New Roman"/>
          <w:b/>
          <w:bCs/>
          <w:szCs w:val="24"/>
        </w:rPr>
        <w:t>)</w:t>
      </w:r>
      <w:r w:rsidRPr="007E253F">
        <w:rPr>
          <w:rFonts w:cs="Times New Roman"/>
          <w:b/>
          <w:bCs/>
          <w:szCs w:val="24"/>
        </w:rPr>
        <w:t xml:space="preserve"> EN TRES PROVINCIAS DE LA SIERRA DEL ECUADOR</w:t>
      </w:r>
    </w:p>
    <w:p w14:paraId="71B3FDC4" w14:textId="77777777" w:rsidR="0077235D" w:rsidRPr="007E253F" w:rsidRDefault="004E0344" w:rsidP="000E2B3A">
      <w:pPr>
        <w:spacing w:after="320" w:line="360" w:lineRule="auto"/>
        <w:jc w:val="center"/>
        <w:rPr>
          <w:rFonts w:cs="Times New Roman"/>
          <w:b/>
          <w:szCs w:val="24"/>
        </w:rPr>
      </w:pPr>
      <w:r w:rsidRPr="007E253F">
        <w:rPr>
          <w:rFonts w:cs="Times New Roman"/>
          <w:b/>
          <w:szCs w:val="24"/>
        </w:rPr>
        <w:t>REVISADO Y APROBADO POR</w:t>
      </w:r>
    </w:p>
    <w:p w14:paraId="211B3227" w14:textId="77777777" w:rsidR="0077235D" w:rsidRPr="007E253F" w:rsidRDefault="0077235D" w:rsidP="000E2B3A">
      <w:pPr>
        <w:spacing w:after="320" w:line="360" w:lineRule="auto"/>
        <w:jc w:val="center"/>
        <w:rPr>
          <w:rFonts w:cs="Times New Roman"/>
          <w:szCs w:val="24"/>
        </w:rPr>
      </w:pPr>
    </w:p>
    <w:p w14:paraId="2B5FD604" w14:textId="77777777" w:rsidR="0077235D" w:rsidRPr="007E253F" w:rsidRDefault="0077235D" w:rsidP="000E2B3A">
      <w:pPr>
        <w:pStyle w:val="Sinespaciado"/>
        <w:spacing w:line="360" w:lineRule="auto"/>
        <w:jc w:val="center"/>
        <w:rPr>
          <w:rFonts w:ascii="Times New Roman" w:hAnsi="Times New Roman" w:cs="Times New Roman"/>
          <w:sz w:val="24"/>
          <w:szCs w:val="24"/>
        </w:rPr>
      </w:pPr>
      <w:r w:rsidRPr="007E253F">
        <w:rPr>
          <w:rFonts w:ascii="Times New Roman" w:hAnsi="Times New Roman" w:cs="Times New Roman"/>
          <w:sz w:val="24"/>
          <w:szCs w:val="24"/>
        </w:rPr>
        <w:t>………………………………………………………</w:t>
      </w:r>
    </w:p>
    <w:p w14:paraId="16A214BF" w14:textId="0D9EBDC9" w:rsidR="0077235D" w:rsidRPr="007E253F" w:rsidRDefault="0077235D" w:rsidP="000E2B3A">
      <w:pPr>
        <w:pStyle w:val="Sinespaciado"/>
        <w:spacing w:line="360" w:lineRule="auto"/>
        <w:jc w:val="center"/>
        <w:rPr>
          <w:rFonts w:ascii="Times New Roman" w:hAnsi="Times New Roman" w:cs="Times New Roman"/>
          <w:sz w:val="24"/>
          <w:szCs w:val="24"/>
        </w:rPr>
      </w:pPr>
      <w:r w:rsidRPr="007E253F">
        <w:rPr>
          <w:rFonts w:ascii="Times New Roman" w:hAnsi="Times New Roman" w:cs="Times New Roman"/>
          <w:sz w:val="24"/>
          <w:szCs w:val="24"/>
        </w:rPr>
        <w:t xml:space="preserve">ING. NELSON MONAR </w:t>
      </w:r>
      <w:r w:rsidR="00D16203">
        <w:rPr>
          <w:rFonts w:ascii="Times New Roman" w:hAnsi="Times New Roman" w:cs="Times New Roman"/>
          <w:sz w:val="24"/>
          <w:szCs w:val="24"/>
        </w:rPr>
        <w:t xml:space="preserve">GAVILÁNEZ </w:t>
      </w:r>
      <w:r w:rsidRPr="007E253F">
        <w:rPr>
          <w:rFonts w:ascii="Times New Roman" w:hAnsi="Times New Roman" w:cs="Times New Roman"/>
          <w:sz w:val="24"/>
          <w:szCs w:val="24"/>
        </w:rPr>
        <w:t>M.Sc.</w:t>
      </w:r>
    </w:p>
    <w:p w14:paraId="6302AD30" w14:textId="77777777" w:rsidR="0077235D" w:rsidRPr="007E253F" w:rsidRDefault="0077235D" w:rsidP="000E2B3A">
      <w:pPr>
        <w:pStyle w:val="Sinespaciado"/>
        <w:spacing w:line="360" w:lineRule="auto"/>
        <w:jc w:val="center"/>
        <w:rPr>
          <w:rFonts w:ascii="Times New Roman" w:hAnsi="Times New Roman" w:cs="Times New Roman"/>
          <w:sz w:val="24"/>
          <w:szCs w:val="24"/>
        </w:rPr>
      </w:pPr>
      <w:r w:rsidRPr="007E253F">
        <w:rPr>
          <w:rFonts w:ascii="Times New Roman" w:hAnsi="Times New Roman" w:cs="Times New Roman"/>
          <w:sz w:val="24"/>
          <w:szCs w:val="24"/>
        </w:rPr>
        <w:t>DIRECTOR DE TESIS</w:t>
      </w:r>
    </w:p>
    <w:p w14:paraId="78BB076A"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3A186CD0"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5613326A"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3981F7F5" w14:textId="77777777" w:rsidR="0077235D" w:rsidRPr="007E253F" w:rsidRDefault="0077235D" w:rsidP="000E2B3A">
      <w:pPr>
        <w:pStyle w:val="Sinespaciado"/>
        <w:spacing w:line="360" w:lineRule="auto"/>
        <w:jc w:val="center"/>
        <w:rPr>
          <w:rFonts w:ascii="Times New Roman" w:hAnsi="Times New Roman" w:cs="Times New Roman"/>
          <w:sz w:val="24"/>
          <w:szCs w:val="24"/>
        </w:rPr>
      </w:pPr>
      <w:r w:rsidRPr="007E253F">
        <w:rPr>
          <w:rFonts w:ascii="Times New Roman" w:hAnsi="Times New Roman" w:cs="Times New Roman"/>
          <w:sz w:val="24"/>
          <w:szCs w:val="24"/>
        </w:rPr>
        <w:t>…………………………………………………………</w:t>
      </w:r>
    </w:p>
    <w:p w14:paraId="4A12379D" w14:textId="072CE926" w:rsidR="0077235D" w:rsidRPr="007E253F" w:rsidRDefault="0077235D" w:rsidP="000E2B3A">
      <w:pPr>
        <w:pStyle w:val="Sinespaciado"/>
        <w:spacing w:line="360" w:lineRule="auto"/>
        <w:jc w:val="center"/>
        <w:rPr>
          <w:rFonts w:ascii="Times New Roman" w:hAnsi="Times New Roman" w:cs="Times New Roman"/>
          <w:sz w:val="24"/>
          <w:szCs w:val="24"/>
        </w:rPr>
      </w:pPr>
      <w:r w:rsidRPr="007E253F">
        <w:rPr>
          <w:rFonts w:ascii="Times New Roman" w:hAnsi="Times New Roman" w:cs="Times New Roman"/>
          <w:sz w:val="24"/>
          <w:szCs w:val="24"/>
        </w:rPr>
        <w:t xml:space="preserve">ING. DAVID </w:t>
      </w:r>
      <w:r w:rsidR="00D16203">
        <w:rPr>
          <w:rFonts w:ascii="Times New Roman" w:hAnsi="Times New Roman" w:cs="Times New Roman"/>
          <w:sz w:val="24"/>
          <w:szCs w:val="24"/>
        </w:rPr>
        <w:t xml:space="preserve">RODRIGO </w:t>
      </w:r>
      <w:r w:rsidRPr="007E253F">
        <w:rPr>
          <w:rFonts w:ascii="Times New Roman" w:hAnsi="Times New Roman" w:cs="Times New Roman"/>
          <w:sz w:val="24"/>
          <w:szCs w:val="24"/>
        </w:rPr>
        <w:t>SILVA</w:t>
      </w:r>
      <w:r w:rsidR="00D16203">
        <w:rPr>
          <w:rFonts w:ascii="Times New Roman" w:hAnsi="Times New Roman" w:cs="Times New Roman"/>
          <w:sz w:val="24"/>
          <w:szCs w:val="24"/>
        </w:rPr>
        <w:t xml:space="preserve"> GARCÍA Mg.</w:t>
      </w:r>
    </w:p>
    <w:p w14:paraId="37EC520F" w14:textId="03D73644" w:rsidR="0077235D" w:rsidRPr="007E253F" w:rsidRDefault="00D16203" w:rsidP="000E2B3A">
      <w:pPr>
        <w:pStyle w:val="Sinespaciado"/>
        <w:spacing w:line="360" w:lineRule="auto"/>
        <w:jc w:val="center"/>
        <w:rPr>
          <w:rFonts w:ascii="Times New Roman" w:hAnsi="Times New Roman" w:cs="Times New Roman"/>
          <w:sz w:val="24"/>
          <w:szCs w:val="24"/>
        </w:rPr>
      </w:pPr>
      <w:r>
        <w:rPr>
          <w:rFonts w:ascii="Times New Roman" w:hAnsi="Times New Roman" w:cs="Times New Roman"/>
          <w:sz w:val="24"/>
          <w:szCs w:val="24"/>
        </w:rPr>
        <w:t>Á</w:t>
      </w:r>
      <w:r w:rsidR="0077235D" w:rsidRPr="007E253F">
        <w:rPr>
          <w:rFonts w:ascii="Times New Roman" w:hAnsi="Times New Roman" w:cs="Times New Roman"/>
          <w:sz w:val="24"/>
          <w:szCs w:val="24"/>
        </w:rPr>
        <w:t>REA DE BIOMETR</w:t>
      </w:r>
      <w:r>
        <w:rPr>
          <w:rFonts w:ascii="Times New Roman" w:hAnsi="Times New Roman" w:cs="Times New Roman"/>
          <w:sz w:val="24"/>
          <w:szCs w:val="24"/>
        </w:rPr>
        <w:t>Í</w:t>
      </w:r>
      <w:r w:rsidR="0077235D" w:rsidRPr="007E253F">
        <w:rPr>
          <w:rFonts w:ascii="Times New Roman" w:hAnsi="Times New Roman" w:cs="Times New Roman"/>
          <w:sz w:val="24"/>
          <w:szCs w:val="24"/>
        </w:rPr>
        <w:t xml:space="preserve">A </w:t>
      </w:r>
    </w:p>
    <w:p w14:paraId="0014E2FE"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3C54E013"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1F24FC6B"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68F448DF" w14:textId="77777777" w:rsidR="0077235D" w:rsidRPr="007E253F" w:rsidRDefault="0077235D" w:rsidP="000E2B3A">
      <w:pPr>
        <w:pStyle w:val="Sinespaciado"/>
        <w:spacing w:line="360" w:lineRule="auto"/>
        <w:jc w:val="center"/>
        <w:rPr>
          <w:rFonts w:ascii="Times New Roman" w:hAnsi="Times New Roman" w:cs="Times New Roman"/>
          <w:sz w:val="24"/>
          <w:szCs w:val="24"/>
        </w:rPr>
      </w:pPr>
      <w:r w:rsidRPr="007E253F">
        <w:rPr>
          <w:rFonts w:ascii="Times New Roman" w:hAnsi="Times New Roman" w:cs="Times New Roman"/>
          <w:sz w:val="24"/>
          <w:szCs w:val="24"/>
        </w:rPr>
        <w:t>………………………………………………………….</w:t>
      </w:r>
    </w:p>
    <w:p w14:paraId="7E9C6F18" w14:textId="77777777" w:rsidR="0077235D" w:rsidRPr="007E253F" w:rsidRDefault="0077235D" w:rsidP="000E2B3A">
      <w:pPr>
        <w:pStyle w:val="Sinespaciado"/>
        <w:spacing w:line="360" w:lineRule="auto"/>
        <w:jc w:val="center"/>
        <w:rPr>
          <w:rFonts w:ascii="Times New Roman" w:hAnsi="Times New Roman" w:cs="Times New Roman"/>
          <w:sz w:val="24"/>
          <w:szCs w:val="24"/>
        </w:rPr>
      </w:pPr>
      <w:r w:rsidRPr="007E253F">
        <w:rPr>
          <w:rFonts w:ascii="Times New Roman" w:hAnsi="Times New Roman" w:cs="Times New Roman"/>
          <w:sz w:val="24"/>
          <w:szCs w:val="24"/>
        </w:rPr>
        <w:t>ING. SONIA FIERRO BORJA Mg.</w:t>
      </w:r>
    </w:p>
    <w:p w14:paraId="525EF4FD" w14:textId="0C5947C2" w:rsidR="0077235D" w:rsidRPr="007E253F" w:rsidRDefault="002111F0" w:rsidP="000E2B3A">
      <w:pPr>
        <w:pStyle w:val="Sinespaciado"/>
        <w:spacing w:line="360" w:lineRule="auto"/>
        <w:jc w:val="center"/>
        <w:rPr>
          <w:rFonts w:ascii="Times New Roman" w:hAnsi="Times New Roman" w:cs="Times New Roman"/>
          <w:sz w:val="24"/>
          <w:szCs w:val="24"/>
        </w:rPr>
      </w:pPr>
      <w:r>
        <w:rPr>
          <w:rFonts w:ascii="Times New Roman" w:hAnsi="Times New Roman" w:cs="Times New Roman"/>
          <w:sz w:val="24"/>
          <w:szCs w:val="24"/>
        </w:rPr>
        <w:t>À</w:t>
      </w:r>
      <w:r w:rsidR="0077235D" w:rsidRPr="007E253F">
        <w:rPr>
          <w:rFonts w:ascii="Times New Roman" w:hAnsi="Times New Roman" w:cs="Times New Roman"/>
          <w:sz w:val="24"/>
          <w:szCs w:val="24"/>
        </w:rPr>
        <w:t>REA DE REDACC</w:t>
      </w:r>
      <w:r w:rsidR="00D16203">
        <w:rPr>
          <w:rFonts w:ascii="Times New Roman" w:hAnsi="Times New Roman" w:cs="Times New Roman"/>
          <w:sz w:val="24"/>
          <w:szCs w:val="24"/>
        </w:rPr>
        <w:t>IÓ</w:t>
      </w:r>
      <w:r w:rsidR="0077235D" w:rsidRPr="007E253F">
        <w:rPr>
          <w:rFonts w:ascii="Times New Roman" w:hAnsi="Times New Roman" w:cs="Times New Roman"/>
          <w:sz w:val="24"/>
          <w:szCs w:val="24"/>
        </w:rPr>
        <w:t>N T</w:t>
      </w:r>
      <w:r w:rsidR="00D16203">
        <w:rPr>
          <w:rFonts w:ascii="Times New Roman" w:hAnsi="Times New Roman" w:cs="Times New Roman"/>
          <w:sz w:val="24"/>
          <w:szCs w:val="24"/>
        </w:rPr>
        <w:t>É</w:t>
      </w:r>
      <w:r w:rsidR="0077235D" w:rsidRPr="007E253F">
        <w:rPr>
          <w:rFonts w:ascii="Times New Roman" w:hAnsi="Times New Roman" w:cs="Times New Roman"/>
          <w:sz w:val="24"/>
          <w:szCs w:val="24"/>
        </w:rPr>
        <w:t>CNICA</w:t>
      </w:r>
    </w:p>
    <w:p w14:paraId="1FE95EC3"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56E511F1"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2CEE1FBF"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4644AA05"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533B4E2B"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2532A4FC"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22F01776" w14:textId="77777777" w:rsidR="0077235D" w:rsidRPr="007E253F" w:rsidRDefault="0077235D" w:rsidP="000E2B3A">
      <w:pPr>
        <w:pStyle w:val="Sinespaciado"/>
        <w:spacing w:line="360" w:lineRule="auto"/>
        <w:jc w:val="center"/>
        <w:rPr>
          <w:rFonts w:ascii="Times New Roman" w:hAnsi="Times New Roman" w:cs="Times New Roman"/>
          <w:sz w:val="24"/>
          <w:szCs w:val="24"/>
        </w:rPr>
      </w:pPr>
    </w:p>
    <w:p w14:paraId="6FC0E161" w14:textId="7CE44D0E" w:rsidR="00C958D7" w:rsidRDefault="00C958D7">
      <w:pPr>
        <w:jc w:val="left"/>
        <w:rPr>
          <w:rFonts w:cs="Times New Roman"/>
          <w:szCs w:val="24"/>
          <w:lang w:val="es-ES"/>
        </w:rPr>
      </w:pPr>
      <w:r>
        <w:rPr>
          <w:rFonts w:cs="Times New Roman"/>
          <w:szCs w:val="24"/>
        </w:rPr>
        <w:br w:type="page"/>
      </w:r>
    </w:p>
    <w:p w14:paraId="326B5AED" w14:textId="29ACA231" w:rsidR="00B3787A" w:rsidRPr="007E253F" w:rsidRDefault="006033D5" w:rsidP="006033D5">
      <w:pPr>
        <w:spacing w:after="0" w:line="360" w:lineRule="auto"/>
        <w:rPr>
          <w:rFonts w:cs="Times New Roman"/>
          <w:szCs w:val="24"/>
        </w:rPr>
      </w:pPr>
      <w:r>
        <w:rPr>
          <w:noProof/>
        </w:rPr>
        <w:lastRenderedPageBreak/>
        <w:drawing>
          <wp:anchor distT="0" distB="0" distL="114300" distR="114300" simplePos="0" relativeHeight="251700224" behindDoc="0" locked="0" layoutInCell="1" allowOverlap="1" wp14:anchorId="5A6B9D40" wp14:editId="78EA4A25">
            <wp:simplePos x="0" y="0"/>
            <wp:positionH relativeFrom="page">
              <wp:posOffset>630555</wp:posOffset>
            </wp:positionH>
            <wp:positionV relativeFrom="paragraph">
              <wp:posOffset>13970</wp:posOffset>
            </wp:positionV>
            <wp:extent cx="6326505" cy="8702040"/>
            <wp:effectExtent l="0" t="0" r="0" b="381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04"/>
                    <a:stretch/>
                  </pic:blipFill>
                  <pic:spPr bwMode="auto">
                    <a:xfrm>
                      <a:off x="0" y="0"/>
                      <a:ext cx="6326505" cy="870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C0CCA" w14:textId="1177F5D1" w:rsidR="00B3787A" w:rsidRPr="007E253F" w:rsidRDefault="006033D5" w:rsidP="00B3787A">
      <w:pPr>
        <w:spacing w:after="0" w:line="360" w:lineRule="auto"/>
        <w:jc w:val="center"/>
        <w:rPr>
          <w:rFonts w:cs="Times New Roman"/>
          <w:szCs w:val="24"/>
        </w:rPr>
      </w:pPr>
      <w:r>
        <w:rPr>
          <w:noProof/>
        </w:rPr>
        <w:lastRenderedPageBreak/>
        <w:drawing>
          <wp:anchor distT="0" distB="0" distL="114300" distR="114300" simplePos="0" relativeHeight="251701248" behindDoc="0" locked="0" layoutInCell="1" allowOverlap="1" wp14:anchorId="03D08A1A" wp14:editId="7384D44C">
            <wp:simplePos x="0" y="0"/>
            <wp:positionH relativeFrom="column">
              <wp:posOffset>-340995</wp:posOffset>
            </wp:positionH>
            <wp:positionV relativeFrom="paragraph">
              <wp:posOffset>13970</wp:posOffset>
            </wp:positionV>
            <wp:extent cx="5647690" cy="7976870"/>
            <wp:effectExtent l="0" t="0" r="0" b="508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7690" cy="797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7C968" w14:textId="49D161F8" w:rsidR="006033D5" w:rsidRDefault="006033D5" w:rsidP="006033D5">
      <w:pPr>
        <w:spacing w:before="360" w:after="360"/>
        <w:rPr>
          <w:rFonts w:cs="Times New Roman"/>
          <w:b/>
          <w:szCs w:val="24"/>
        </w:rPr>
      </w:pPr>
    </w:p>
    <w:p w14:paraId="00A83267" w14:textId="4FA23B96" w:rsidR="006033D5" w:rsidRDefault="006033D5" w:rsidP="006033D5">
      <w:pPr>
        <w:spacing w:before="360" w:after="360"/>
        <w:rPr>
          <w:rFonts w:cs="Times New Roman"/>
          <w:b/>
          <w:szCs w:val="24"/>
        </w:rPr>
      </w:pPr>
    </w:p>
    <w:p w14:paraId="7EDD8288" w14:textId="12E592EC" w:rsidR="006033D5" w:rsidRDefault="006033D5" w:rsidP="006033D5">
      <w:pPr>
        <w:spacing w:before="360" w:after="360"/>
        <w:rPr>
          <w:rFonts w:cs="Times New Roman"/>
          <w:b/>
          <w:szCs w:val="24"/>
        </w:rPr>
        <w:sectPr w:rsidR="006033D5" w:rsidSect="005C6603">
          <w:footerReference w:type="default" r:id="rId11"/>
          <w:pgSz w:w="11906" w:h="16838"/>
          <w:pgMar w:top="1418" w:right="1416" w:bottom="1418" w:left="1985" w:header="0" w:footer="567" w:gutter="0"/>
          <w:pgNumType w:fmt="upperRoman" w:start="1"/>
          <w:cols w:space="720"/>
          <w:docGrid w:linePitch="326"/>
        </w:sectPr>
      </w:pPr>
      <w:r>
        <w:rPr>
          <w:noProof/>
        </w:rPr>
        <w:drawing>
          <wp:inline distT="0" distB="0" distL="0" distR="0" wp14:anchorId="0DE6CE89" wp14:editId="1D302E3F">
            <wp:extent cx="5647830" cy="797735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9026" cy="7979041"/>
                    </a:xfrm>
                    <a:prstGeom prst="rect">
                      <a:avLst/>
                    </a:prstGeom>
                    <a:noFill/>
                    <a:ln>
                      <a:noFill/>
                    </a:ln>
                  </pic:spPr>
                </pic:pic>
              </a:graphicData>
            </a:graphic>
          </wp:inline>
        </w:drawing>
      </w:r>
    </w:p>
    <w:p w14:paraId="06CC2B83" w14:textId="2C9F85D2" w:rsidR="006033D5" w:rsidRDefault="006033D5" w:rsidP="006033D5">
      <w:pPr>
        <w:spacing w:before="360" w:after="360"/>
        <w:rPr>
          <w:rFonts w:cs="Times New Roman"/>
          <w:b/>
          <w:szCs w:val="24"/>
        </w:rPr>
      </w:pPr>
    </w:p>
    <w:p w14:paraId="42F9CB0D" w14:textId="4E3ACB58" w:rsidR="0077235D" w:rsidRPr="003A28E2" w:rsidRDefault="0077235D" w:rsidP="007962E4">
      <w:pPr>
        <w:spacing w:before="360" w:after="360"/>
        <w:jc w:val="center"/>
        <w:rPr>
          <w:rFonts w:cs="Times New Roman"/>
          <w:szCs w:val="24"/>
        </w:rPr>
      </w:pPr>
      <w:r w:rsidRPr="007E253F">
        <w:rPr>
          <w:rFonts w:cs="Times New Roman"/>
          <w:b/>
          <w:szCs w:val="24"/>
        </w:rPr>
        <w:t>DEDICATORIA</w:t>
      </w:r>
    </w:p>
    <w:p w14:paraId="03EF8DD0" w14:textId="3D3F75F0" w:rsidR="0077235D" w:rsidRPr="007E253F" w:rsidRDefault="0077235D" w:rsidP="000E2B3A">
      <w:pPr>
        <w:spacing w:line="360" w:lineRule="auto"/>
        <w:rPr>
          <w:rFonts w:cs="Times New Roman"/>
          <w:szCs w:val="24"/>
        </w:rPr>
      </w:pPr>
      <w:r w:rsidRPr="007E253F">
        <w:rPr>
          <w:rFonts w:cs="Times New Roman"/>
          <w:szCs w:val="24"/>
        </w:rPr>
        <w:t xml:space="preserve">Este trabajo de </w:t>
      </w:r>
      <w:r w:rsidR="005C759E">
        <w:rPr>
          <w:rFonts w:cs="Times New Roman"/>
          <w:szCs w:val="24"/>
        </w:rPr>
        <w:t xml:space="preserve">investigación, </w:t>
      </w:r>
      <w:r w:rsidRPr="007E253F">
        <w:rPr>
          <w:rFonts w:cs="Times New Roman"/>
          <w:szCs w:val="24"/>
        </w:rPr>
        <w:t xml:space="preserve">está dedicado a Dios y a la Virgen por darme la vida a través de mis queridos </w:t>
      </w:r>
      <w:r w:rsidR="005C759E">
        <w:rPr>
          <w:rFonts w:cs="Times New Roman"/>
          <w:szCs w:val="24"/>
        </w:rPr>
        <w:t>p</w:t>
      </w:r>
      <w:r w:rsidRPr="007E253F">
        <w:rPr>
          <w:rFonts w:cs="Times New Roman"/>
          <w:szCs w:val="24"/>
        </w:rPr>
        <w:t>adres Carlos Vargas y Mercedes Carranza quienes con mucho cariño, amor y ejemplo han hecho de mí una persona con valores para poder enfrentarme a la vida con amor, respeto y por darme la mejor herencia de la vida “El Estudio” con su dedicación y abnegación</w:t>
      </w:r>
    </w:p>
    <w:p w14:paraId="1820211B" w14:textId="00E8B6E3" w:rsidR="0077235D" w:rsidRPr="007E253F" w:rsidRDefault="0077235D" w:rsidP="000E2B3A">
      <w:pPr>
        <w:spacing w:line="360" w:lineRule="auto"/>
        <w:rPr>
          <w:rFonts w:cs="Times New Roman"/>
          <w:szCs w:val="24"/>
        </w:rPr>
      </w:pPr>
      <w:r w:rsidRPr="007E253F">
        <w:rPr>
          <w:rFonts w:cs="Times New Roman"/>
          <w:szCs w:val="24"/>
        </w:rPr>
        <w:t>A mis Hermanos; Martha, Pilar, Carlos, Cesar, Diego, Jonathan</w:t>
      </w:r>
      <w:r w:rsidR="00BB48E8" w:rsidRPr="007E253F">
        <w:rPr>
          <w:rFonts w:cs="Times New Roman"/>
          <w:szCs w:val="24"/>
        </w:rPr>
        <w:t xml:space="preserve"> y</w:t>
      </w:r>
      <w:r w:rsidRPr="007E253F">
        <w:rPr>
          <w:rFonts w:cs="Times New Roman"/>
          <w:szCs w:val="24"/>
        </w:rPr>
        <w:t xml:space="preserve"> Stalin que han estado a mi lado dándome ánimos, cariño, confianza y apoyo incondicional para seguir adelante y cumplir con mi meta de llegar </w:t>
      </w:r>
      <w:r w:rsidR="005C759E">
        <w:rPr>
          <w:rFonts w:cs="Times New Roman"/>
          <w:szCs w:val="24"/>
        </w:rPr>
        <w:t>a s</w:t>
      </w:r>
      <w:r w:rsidRPr="007E253F">
        <w:rPr>
          <w:rFonts w:cs="Times New Roman"/>
          <w:szCs w:val="24"/>
        </w:rPr>
        <w:t>er una profesional.</w:t>
      </w:r>
    </w:p>
    <w:p w14:paraId="23A2D9A9" w14:textId="045127E1" w:rsidR="00271C86" w:rsidRPr="007E253F" w:rsidRDefault="00271C86" w:rsidP="00271C86">
      <w:pPr>
        <w:spacing w:line="360" w:lineRule="auto"/>
        <w:rPr>
          <w:rFonts w:cs="Times New Roman"/>
          <w:szCs w:val="24"/>
        </w:rPr>
      </w:pPr>
      <w:r w:rsidRPr="007E253F">
        <w:rPr>
          <w:rFonts w:cs="Times New Roman"/>
          <w:szCs w:val="24"/>
        </w:rPr>
        <w:t xml:space="preserve">A mi abuelito Luis Carranza que está en el cielo, ya que fue un ejemplo de vida y de lucha quien me apoyo con sus consejos, quien sentó en mí las bases de responsabilidad y deseos de superación, y sobre todo su amor infinito </w:t>
      </w:r>
      <w:r w:rsidR="00992D02" w:rsidRPr="007E253F">
        <w:rPr>
          <w:rFonts w:cs="Times New Roman"/>
          <w:szCs w:val="24"/>
        </w:rPr>
        <w:t>y su</w:t>
      </w:r>
      <w:r w:rsidRPr="007E253F">
        <w:rPr>
          <w:rFonts w:cs="Times New Roman"/>
          <w:szCs w:val="24"/>
        </w:rPr>
        <w:t xml:space="preserve"> gran corazón me llevaron a cada día amarlo y admirarlo más. </w:t>
      </w:r>
    </w:p>
    <w:p w14:paraId="5B7C889C" w14:textId="677D5BCD" w:rsidR="00392FBC" w:rsidRDefault="002111F0" w:rsidP="00392FBC">
      <w:pPr>
        <w:spacing w:line="360" w:lineRule="auto"/>
        <w:rPr>
          <w:rFonts w:cs="Times New Roman"/>
          <w:szCs w:val="24"/>
        </w:rPr>
      </w:pPr>
      <w:r>
        <w:rPr>
          <w:rFonts w:cs="Times New Roman"/>
          <w:szCs w:val="24"/>
        </w:rPr>
        <w:t xml:space="preserve">Bladimir </w:t>
      </w:r>
      <w:r w:rsidRPr="003C04DD">
        <w:rPr>
          <w:rFonts w:cs="Times New Roman"/>
          <w:szCs w:val="24"/>
        </w:rPr>
        <w:t>en</w:t>
      </w:r>
      <w:r w:rsidR="00392FBC" w:rsidRPr="003C04DD">
        <w:rPr>
          <w:rFonts w:cs="Times New Roman"/>
          <w:szCs w:val="24"/>
        </w:rPr>
        <w:t xml:space="preserve"> mi vida encaminada al éxito, fue el ingrediente perfecto para poder lograr </w:t>
      </w:r>
      <w:r w:rsidR="005C759E">
        <w:rPr>
          <w:rFonts w:cs="Times New Roman"/>
          <w:szCs w:val="24"/>
        </w:rPr>
        <w:t xml:space="preserve">y </w:t>
      </w:r>
      <w:r w:rsidR="00392FBC" w:rsidRPr="003C04DD">
        <w:rPr>
          <w:rFonts w:cs="Times New Roman"/>
          <w:szCs w:val="24"/>
        </w:rPr>
        <w:t>alcanzar esta dichosa y muy merecida</w:t>
      </w:r>
      <w:r w:rsidR="00392FBC">
        <w:rPr>
          <w:rFonts w:cs="Times New Roman"/>
          <w:szCs w:val="24"/>
        </w:rPr>
        <w:t xml:space="preserve"> meta</w:t>
      </w:r>
      <w:r w:rsidR="00392FBC" w:rsidRPr="003C04DD">
        <w:rPr>
          <w:rFonts w:cs="Times New Roman"/>
          <w:szCs w:val="24"/>
        </w:rPr>
        <w:t xml:space="preserve">, el poder haber culminado </w:t>
      </w:r>
      <w:r w:rsidR="005C759E">
        <w:rPr>
          <w:rFonts w:cs="Times New Roman"/>
          <w:szCs w:val="24"/>
        </w:rPr>
        <w:t>el presente proyecto</w:t>
      </w:r>
      <w:r w:rsidR="00392FBC" w:rsidRPr="003C04DD">
        <w:rPr>
          <w:rFonts w:cs="Times New Roman"/>
          <w:szCs w:val="24"/>
        </w:rPr>
        <w:t xml:space="preserve"> con éxito, y poder disfrutar del privilegio de ser </w:t>
      </w:r>
      <w:r w:rsidR="005C759E">
        <w:rPr>
          <w:rFonts w:cs="Times New Roman"/>
          <w:szCs w:val="24"/>
        </w:rPr>
        <w:t>agradecida</w:t>
      </w:r>
      <w:r w:rsidR="00392FBC" w:rsidRPr="003C04DD">
        <w:rPr>
          <w:rFonts w:cs="Times New Roman"/>
          <w:szCs w:val="24"/>
        </w:rPr>
        <w:t xml:space="preserve">, con esa persona que se preocupó en cada momento y que siempre quiso lo mejor para mi </w:t>
      </w:r>
      <w:r w:rsidR="00392FBC">
        <w:rPr>
          <w:rFonts w:cs="Times New Roman"/>
          <w:szCs w:val="24"/>
        </w:rPr>
        <w:t>debo</w:t>
      </w:r>
      <w:r w:rsidR="00392FBC" w:rsidRPr="003C04DD">
        <w:rPr>
          <w:rFonts w:cs="Times New Roman"/>
          <w:szCs w:val="24"/>
        </w:rPr>
        <w:t xml:space="preserve"> </w:t>
      </w:r>
      <w:r w:rsidR="00F963D4">
        <w:rPr>
          <w:rFonts w:cs="Times New Roman"/>
          <w:szCs w:val="24"/>
        </w:rPr>
        <w:t xml:space="preserve">y </w:t>
      </w:r>
      <w:r w:rsidR="00392FBC" w:rsidRPr="003C04DD">
        <w:rPr>
          <w:rFonts w:cs="Times New Roman"/>
          <w:szCs w:val="24"/>
        </w:rPr>
        <w:t xml:space="preserve">agradezco por </w:t>
      </w:r>
      <w:r w:rsidR="00F963D4" w:rsidRPr="003C04DD">
        <w:rPr>
          <w:rFonts w:cs="Times New Roman"/>
          <w:szCs w:val="24"/>
        </w:rPr>
        <w:t>tant</w:t>
      </w:r>
      <w:r w:rsidR="00F963D4">
        <w:rPr>
          <w:rFonts w:cs="Times New Roman"/>
          <w:szCs w:val="24"/>
        </w:rPr>
        <w:t>a</w:t>
      </w:r>
      <w:r w:rsidR="00F963D4" w:rsidRPr="003C04DD">
        <w:rPr>
          <w:rFonts w:cs="Times New Roman"/>
          <w:szCs w:val="24"/>
        </w:rPr>
        <w:t xml:space="preserve"> ayuda</w:t>
      </w:r>
      <w:r w:rsidR="00392FBC" w:rsidRPr="003C04DD">
        <w:rPr>
          <w:rFonts w:cs="Times New Roman"/>
          <w:szCs w:val="24"/>
        </w:rPr>
        <w:t xml:space="preserve"> y tanto </w:t>
      </w:r>
      <w:r w:rsidR="00392FBC">
        <w:rPr>
          <w:rFonts w:cs="Times New Roman"/>
          <w:szCs w:val="24"/>
        </w:rPr>
        <w:t>amor</w:t>
      </w:r>
      <w:r w:rsidR="00392FBC" w:rsidRPr="003C04DD">
        <w:rPr>
          <w:rFonts w:cs="Times New Roman"/>
          <w:szCs w:val="24"/>
        </w:rPr>
        <w:t xml:space="preserve"> no solo para el desarrollo de</w:t>
      </w:r>
      <w:r w:rsidR="005C759E">
        <w:rPr>
          <w:rFonts w:cs="Times New Roman"/>
          <w:szCs w:val="24"/>
        </w:rPr>
        <w:t>l trabajo</w:t>
      </w:r>
      <w:r w:rsidR="00392FBC" w:rsidRPr="003C04DD">
        <w:rPr>
          <w:rFonts w:cs="Times New Roman"/>
          <w:szCs w:val="24"/>
        </w:rPr>
        <w:t>, sino también para mi vida; e</w:t>
      </w:r>
      <w:r w:rsidR="00392FBC">
        <w:rPr>
          <w:rFonts w:cs="Times New Roman"/>
          <w:szCs w:val="24"/>
        </w:rPr>
        <w:t>s</w:t>
      </w:r>
      <w:r w:rsidR="00392FBC" w:rsidRPr="003C04DD">
        <w:rPr>
          <w:rFonts w:cs="Times New Roman"/>
          <w:szCs w:val="24"/>
        </w:rPr>
        <w:t xml:space="preserve"> mi inspiración y mi motivación.</w:t>
      </w:r>
    </w:p>
    <w:p w14:paraId="4F37A9EE" w14:textId="257EDCDD" w:rsidR="006D24F2" w:rsidRDefault="006D24F2" w:rsidP="00392FBC">
      <w:pPr>
        <w:spacing w:line="360" w:lineRule="auto"/>
        <w:rPr>
          <w:rFonts w:cs="Times New Roman"/>
          <w:szCs w:val="24"/>
        </w:rPr>
      </w:pPr>
    </w:p>
    <w:p w14:paraId="0EEBD61E" w14:textId="0881E97C" w:rsidR="006D24F2" w:rsidRDefault="006D24F2" w:rsidP="00392FBC">
      <w:pPr>
        <w:spacing w:line="360" w:lineRule="auto"/>
        <w:rPr>
          <w:rFonts w:cs="Times New Roman"/>
          <w:szCs w:val="24"/>
        </w:rPr>
      </w:pPr>
    </w:p>
    <w:p w14:paraId="7AE6F071" w14:textId="3EB5B292" w:rsidR="006D24F2" w:rsidRPr="007E253F" w:rsidRDefault="006D24F2" w:rsidP="006D24F2">
      <w:pPr>
        <w:spacing w:line="360" w:lineRule="auto"/>
        <w:jc w:val="right"/>
        <w:rPr>
          <w:rFonts w:cs="Times New Roman"/>
          <w:szCs w:val="24"/>
        </w:rPr>
      </w:pPr>
      <w:r>
        <w:rPr>
          <w:rFonts w:cs="Times New Roman"/>
          <w:szCs w:val="24"/>
        </w:rPr>
        <w:t>Jessenia.</w:t>
      </w:r>
    </w:p>
    <w:p w14:paraId="38E56C55" w14:textId="77777777" w:rsidR="0077235D" w:rsidRPr="007E253F" w:rsidRDefault="0077235D" w:rsidP="000E2B3A">
      <w:pPr>
        <w:spacing w:line="360" w:lineRule="auto"/>
        <w:rPr>
          <w:rFonts w:cs="Times New Roman"/>
          <w:b/>
          <w:szCs w:val="24"/>
        </w:rPr>
      </w:pPr>
    </w:p>
    <w:p w14:paraId="5479C082" w14:textId="77777777" w:rsidR="0077235D" w:rsidRPr="007E253F" w:rsidRDefault="0077235D" w:rsidP="000E2B3A">
      <w:pPr>
        <w:spacing w:line="360" w:lineRule="auto"/>
        <w:rPr>
          <w:rFonts w:cs="Times New Roman"/>
          <w:b/>
          <w:szCs w:val="24"/>
        </w:rPr>
      </w:pPr>
    </w:p>
    <w:p w14:paraId="121B684C" w14:textId="7ACF985C" w:rsidR="00C958D7" w:rsidRDefault="00C958D7">
      <w:pPr>
        <w:jc w:val="left"/>
        <w:rPr>
          <w:rFonts w:cs="Times New Roman"/>
          <w:b/>
          <w:szCs w:val="24"/>
        </w:rPr>
      </w:pPr>
      <w:r>
        <w:rPr>
          <w:rFonts w:cs="Times New Roman"/>
          <w:b/>
          <w:szCs w:val="24"/>
        </w:rPr>
        <w:br w:type="page"/>
      </w:r>
    </w:p>
    <w:p w14:paraId="48FC60FF" w14:textId="3A8AA3E4" w:rsidR="0077235D" w:rsidRPr="007E253F" w:rsidRDefault="0077235D" w:rsidP="000E2B3A">
      <w:pPr>
        <w:spacing w:line="360" w:lineRule="auto"/>
        <w:jc w:val="center"/>
        <w:rPr>
          <w:rFonts w:cs="Times New Roman"/>
          <w:b/>
          <w:szCs w:val="24"/>
        </w:rPr>
      </w:pPr>
      <w:r w:rsidRPr="001351CF">
        <w:rPr>
          <w:rFonts w:cs="Times New Roman"/>
          <w:b/>
          <w:szCs w:val="24"/>
        </w:rPr>
        <w:lastRenderedPageBreak/>
        <w:t>AGRADECIMIENTO</w:t>
      </w:r>
    </w:p>
    <w:p w14:paraId="1521E3D1" w14:textId="663137BE" w:rsidR="0077235D" w:rsidRPr="007E253F" w:rsidRDefault="0077235D" w:rsidP="000E2B3A">
      <w:pPr>
        <w:spacing w:line="360" w:lineRule="auto"/>
        <w:rPr>
          <w:rFonts w:cs="Times New Roman"/>
          <w:b/>
          <w:szCs w:val="24"/>
        </w:rPr>
      </w:pPr>
      <w:r w:rsidRPr="007E253F">
        <w:rPr>
          <w:rFonts w:cs="Times New Roman"/>
          <w:szCs w:val="24"/>
        </w:rPr>
        <w:t xml:space="preserve">Le agradezco a Dios por su infinito amor y bendiciones, por </w:t>
      </w:r>
      <w:r w:rsidR="001351CF">
        <w:rPr>
          <w:rFonts w:cs="Times New Roman"/>
          <w:szCs w:val="24"/>
        </w:rPr>
        <w:t>haberme</w:t>
      </w:r>
      <w:r w:rsidRPr="007E253F">
        <w:rPr>
          <w:rFonts w:cs="Times New Roman"/>
          <w:szCs w:val="24"/>
        </w:rPr>
        <w:t xml:space="preserve"> permitido culminar la carrera profesional y ser </w:t>
      </w:r>
      <w:r w:rsidR="001351CF">
        <w:rPr>
          <w:rFonts w:cs="Times New Roman"/>
          <w:szCs w:val="24"/>
        </w:rPr>
        <w:t>mi</w:t>
      </w:r>
      <w:r w:rsidRPr="007E253F">
        <w:rPr>
          <w:rFonts w:cs="Times New Roman"/>
          <w:szCs w:val="24"/>
        </w:rPr>
        <w:t xml:space="preserve"> guía en el transcurso de </w:t>
      </w:r>
      <w:r w:rsidR="001351CF">
        <w:rPr>
          <w:rFonts w:cs="Times New Roman"/>
          <w:szCs w:val="24"/>
        </w:rPr>
        <w:t>la</w:t>
      </w:r>
      <w:r w:rsidRPr="007E253F">
        <w:rPr>
          <w:rFonts w:cs="Times New Roman"/>
          <w:szCs w:val="24"/>
        </w:rPr>
        <w:t xml:space="preserve"> vida.</w:t>
      </w:r>
    </w:p>
    <w:p w14:paraId="502D7FD9" w14:textId="37765F21" w:rsidR="0077235D" w:rsidRPr="007E253F" w:rsidRDefault="0077235D" w:rsidP="000E2B3A">
      <w:pPr>
        <w:spacing w:line="360" w:lineRule="auto"/>
        <w:rPr>
          <w:rFonts w:cs="Times New Roman"/>
          <w:szCs w:val="24"/>
        </w:rPr>
      </w:pPr>
      <w:r w:rsidRPr="007E253F">
        <w:rPr>
          <w:rFonts w:cs="Times New Roman"/>
          <w:szCs w:val="24"/>
        </w:rPr>
        <w:t xml:space="preserve">Un agradecimiento muy especial a la Universidad Estatal de Bolívar, y principalmente a la Facultad de Ciencias Agropecuarias, Recursos Naturales y del Ambiente, Carrera de Ingeniería Agronómica, a sus autoridades por abrirme las puertas y permitirme ser parte de tan prestigiosa </w:t>
      </w:r>
      <w:r w:rsidR="001351CF">
        <w:rPr>
          <w:rFonts w:cs="Times New Roman"/>
          <w:szCs w:val="24"/>
        </w:rPr>
        <w:t>I</w:t>
      </w:r>
      <w:r w:rsidRPr="007E253F">
        <w:rPr>
          <w:rFonts w:cs="Times New Roman"/>
          <w:szCs w:val="24"/>
        </w:rPr>
        <w:t>nstitución.</w:t>
      </w:r>
    </w:p>
    <w:p w14:paraId="7C8E8723" w14:textId="3D8AC3B4" w:rsidR="0077235D" w:rsidRPr="007E253F" w:rsidRDefault="0077235D" w:rsidP="000E2B3A">
      <w:pPr>
        <w:spacing w:line="360" w:lineRule="auto"/>
        <w:rPr>
          <w:rFonts w:cs="Times New Roman"/>
          <w:szCs w:val="24"/>
        </w:rPr>
      </w:pPr>
      <w:r w:rsidRPr="007E253F">
        <w:rPr>
          <w:rFonts w:cs="Times New Roman"/>
          <w:szCs w:val="24"/>
        </w:rPr>
        <w:t xml:space="preserve">Al Ing. Nelson Monar </w:t>
      </w:r>
      <w:r w:rsidRPr="001351CF">
        <w:rPr>
          <w:rFonts w:cs="Times New Roman"/>
          <w:szCs w:val="24"/>
        </w:rPr>
        <w:t>Gavilánez</w:t>
      </w:r>
      <w:r w:rsidRPr="007E253F">
        <w:rPr>
          <w:rFonts w:cs="Times New Roman"/>
          <w:szCs w:val="24"/>
        </w:rPr>
        <w:t>, director de</w:t>
      </w:r>
      <w:r w:rsidR="001351CF">
        <w:rPr>
          <w:rFonts w:cs="Times New Roman"/>
          <w:szCs w:val="24"/>
        </w:rPr>
        <w:t>l proyecto</w:t>
      </w:r>
      <w:r w:rsidRPr="007E253F">
        <w:rPr>
          <w:rFonts w:cs="Times New Roman"/>
          <w:szCs w:val="24"/>
        </w:rPr>
        <w:t xml:space="preserve"> por su amistad, apoyo, sus consejos y conocimientos brindados, durante la realización de la investigación</w:t>
      </w:r>
      <w:r w:rsidR="001351CF">
        <w:rPr>
          <w:rFonts w:cs="Times New Roman"/>
          <w:szCs w:val="24"/>
        </w:rPr>
        <w:t>.</w:t>
      </w:r>
    </w:p>
    <w:p w14:paraId="02E34BB8" w14:textId="709AFC06" w:rsidR="0077235D" w:rsidRPr="007E253F" w:rsidRDefault="0077235D" w:rsidP="000E2B3A">
      <w:pPr>
        <w:spacing w:line="360" w:lineRule="auto"/>
        <w:rPr>
          <w:rFonts w:cs="Times New Roman"/>
          <w:szCs w:val="24"/>
        </w:rPr>
      </w:pPr>
      <w:r w:rsidRPr="007E253F">
        <w:rPr>
          <w:rFonts w:cs="Times New Roman"/>
          <w:szCs w:val="24"/>
        </w:rPr>
        <w:t>Al Instituto Nacional Autónomo de Investigaciones Agropecuarias (INIAP), en especial al Dr. José Luis Zambrano, Investigador Principal del Programa de Maíz de la Estación Experimental Santa Catalina</w:t>
      </w:r>
      <w:r w:rsidR="001351CF">
        <w:rPr>
          <w:rFonts w:cs="Times New Roman"/>
          <w:szCs w:val="24"/>
        </w:rPr>
        <w:t>,</w:t>
      </w:r>
      <w:r w:rsidRPr="007E253F">
        <w:rPr>
          <w:rFonts w:cs="Times New Roman"/>
          <w:szCs w:val="24"/>
        </w:rPr>
        <w:t xml:space="preserve"> por su colaboración, apoyo incondicional y amistad en el desarrollo de</w:t>
      </w:r>
      <w:r w:rsidR="001351CF">
        <w:rPr>
          <w:rFonts w:cs="Times New Roman"/>
          <w:szCs w:val="24"/>
        </w:rPr>
        <w:t>l presente trabajo.</w:t>
      </w:r>
    </w:p>
    <w:p w14:paraId="64DC8B03" w14:textId="4C31AB8A" w:rsidR="0077235D" w:rsidRDefault="0077235D" w:rsidP="000E2B3A">
      <w:pPr>
        <w:spacing w:line="360" w:lineRule="auto"/>
        <w:rPr>
          <w:rFonts w:cs="Times New Roman"/>
          <w:szCs w:val="24"/>
        </w:rPr>
      </w:pPr>
      <w:r w:rsidRPr="007E253F">
        <w:rPr>
          <w:rFonts w:cs="Times New Roman"/>
          <w:szCs w:val="24"/>
        </w:rPr>
        <w:t>A</w:t>
      </w:r>
      <w:r w:rsidR="001351CF">
        <w:rPr>
          <w:rFonts w:cs="Times New Roman"/>
          <w:szCs w:val="24"/>
        </w:rPr>
        <w:t xml:space="preserve">l Tribunal de Investigación, </w:t>
      </w:r>
      <w:r w:rsidRPr="007E253F">
        <w:rPr>
          <w:rFonts w:cs="Times New Roman"/>
          <w:szCs w:val="24"/>
        </w:rPr>
        <w:t xml:space="preserve">Ing. David Silva e Ing. Sonia Fierro </w:t>
      </w:r>
      <w:r w:rsidR="003A1E83">
        <w:rPr>
          <w:rFonts w:cs="Times New Roman"/>
          <w:szCs w:val="24"/>
        </w:rPr>
        <w:t xml:space="preserve">B </w:t>
      </w:r>
      <w:r w:rsidRPr="007E253F">
        <w:rPr>
          <w:rFonts w:cs="Times New Roman"/>
          <w:szCs w:val="24"/>
        </w:rPr>
        <w:t xml:space="preserve">por compartir sus conocimientos y su predisposición, antes y durante </w:t>
      </w:r>
      <w:r w:rsidR="001351CF">
        <w:rPr>
          <w:rFonts w:cs="Times New Roman"/>
          <w:szCs w:val="24"/>
        </w:rPr>
        <w:t>el desarrollo del proyecto.</w:t>
      </w:r>
    </w:p>
    <w:p w14:paraId="7D3D498A" w14:textId="6C3048F5" w:rsidR="00392FBC" w:rsidRDefault="00392FBC" w:rsidP="00392FBC">
      <w:pPr>
        <w:spacing w:line="360" w:lineRule="auto"/>
        <w:rPr>
          <w:rFonts w:cs="Times New Roman"/>
          <w:szCs w:val="24"/>
        </w:rPr>
      </w:pPr>
      <w:r>
        <w:t>De igual manera, quiero dejar sentado un profundo agradecimiento al Ing. Luciano Carranza e Ing. Verónica Ojeda</w:t>
      </w:r>
      <w:r w:rsidR="001351CF">
        <w:t xml:space="preserve">, quienes </w:t>
      </w:r>
      <w:r>
        <w:t xml:space="preserve">con su cariño </w:t>
      </w:r>
      <w:r w:rsidR="001351CF">
        <w:t>y</w:t>
      </w:r>
      <w:r w:rsidR="005678CC">
        <w:t xml:space="preserve"> </w:t>
      </w:r>
      <w:r>
        <w:t xml:space="preserve">confianza me supieron dar ánimos </w:t>
      </w:r>
      <w:r w:rsidR="002111F0">
        <w:t>cuando decaía</w:t>
      </w:r>
      <w:r>
        <w:t xml:space="preserve">, me reconfortaban con su apoyo incondicional y a la vez agradezco por abrirme puertas para un nuevo futuro como </w:t>
      </w:r>
      <w:r w:rsidR="002111F0">
        <w:t>profesional.</w:t>
      </w:r>
    </w:p>
    <w:p w14:paraId="1AD87641" w14:textId="77777777" w:rsidR="00392FBC" w:rsidRPr="007E253F" w:rsidRDefault="00392FBC" w:rsidP="000E2B3A">
      <w:pPr>
        <w:spacing w:line="360" w:lineRule="auto"/>
        <w:rPr>
          <w:rFonts w:cs="Times New Roman"/>
          <w:szCs w:val="24"/>
        </w:rPr>
      </w:pPr>
    </w:p>
    <w:p w14:paraId="05962328" w14:textId="61C912AD" w:rsidR="002A7774" w:rsidRDefault="006F1622" w:rsidP="002A7774">
      <w:pPr>
        <w:spacing w:line="360" w:lineRule="auto"/>
        <w:rPr>
          <w:rFonts w:cs="Times New Roman"/>
          <w:szCs w:val="24"/>
        </w:rPr>
      </w:pPr>
      <w:r>
        <w:rPr>
          <w:rFonts w:cs="Times New Roman"/>
          <w:szCs w:val="24"/>
        </w:rPr>
        <w:br w:type="page"/>
      </w:r>
      <w:bookmarkStart w:id="13" w:name="_Toc116038384"/>
      <w:bookmarkStart w:id="14" w:name="_Toc116125281"/>
      <w:bookmarkStart w:id="15" w:name="_Toc116125880"/>
      <w:bookmarkStart w:id="16" w:name="_Toc121795155"/>
    </w:p>
    <w:p w14:paraId="79DE5C72" w14:textId="454DE216" w:rsidR="002A7774" w:rsidRDefault="003A1E83" w:rsidP="00F3075E">
      <w:pPr>
        <w:pStyle w:val="Ttulo1"/>
        <w:numPr>
          <w:ilvl w:val="0"/>
          <w:numId w:val="0"/>
        </w:numPr>
      </w:pPr>
      <w:bookmarkStart w:id="17" w:name="_Toc80008339"/>
      <w:bookmarkStart w:id="18" w:name="_Toc80312232"/>
      <w:r>
        <w:lastRenderedPageBreak/>
        <w:t>Í</w:t>
      </w:r>
      <w:r w:rsidR="00975D91">
        <w:t xml:space="preserve">NDICE DE </w:t>
      </w:r>
      <w:r w:rsidR="002A7774">
        <w:t>CONTENIDO</w:t>
      </w:r>
      <w:bookmarkEnd w:id="17"/>
      <w:bookmarkEnd w:id="18"/>
    </w:p>
    <w:sdt>
      <w:sdtPr>
        <w:rPr>
          <w:lang w:val="es-EC"/>
        </w:rPr>
        <w:id w:val="-1290729779"/>
        <w:docPartObj>
          <w:docPartGallery w:val="Table of Contents"/>
          <w:docPartUnique/>
        </w:docPartObj>
      </w:sdtPr>
      <w:sdtEndPr>
        <w:rPr>
          <w:bCs/>
        </w:rPr>
      </w:sdtEndPr>
      <w:sdtContent>
        <w:p w14:paraId="2363B106" w14:textId="47D3DA6A" w:rsidR="00185396" w:rsidRDefault="004C7521" w:rsidP="00185396">
          <w:pPr>
            <w:pStyle w:val="TDC1"/>
            <w:rPr>
              <w:rFonts w:asciiTheme="minorHAnsi" w:eastAsiaTheme="minorEastAsia" w:hAnsiTheme="minorHAnsi"/>
              <w:noProof/>
              <w:sz w:val="22"/>
              <w:lang w:val="es-EC" w:eastAsia="es-EC"/>
            </w:rPr>
          </w:pPr>
          <w:r>
            <w:rPr>
              <w:rFonts w:asciiTheme="majorHAnsi" w:eastAsiaTheme="majorEastAsia" w:hAnsiTheme="majorHAnsi" w:cstheme="majorBidi"/>
              <w:color w:val="365F91" w:themeColor="accent1" w:themeShade="BF"/>
              <w:sz w:val="32"/>
              <w:szCs w:val="32"/>
              <w:lang w:eastAsia="es-ES"/>
            </w:rPr>
            <w:fldChar w:fldCharType="begin"/>
          </w:r>
          <w:r>
            <w:instrText xml:space="preserve"> TOC \o "1-3" \h \z \u </w:instrText>
          </w:r>
          <w:r>
            <w:rPr>
              <w:rFonts w:asciiTheme="majorHAnsi" w:eastAsiaTheme="majorEastAsia" w:hAnsiTheme="majorHAnsi" w:cstheme="majorBidi"/>
              <w:color w:val="365F91" w:themeColor="accent1" w:themeShade="BF"/>
              <w:sz w:val="32"/>
              <w:szCs w:val="32"/>
              <w:lang w:eastAsia="es-ES"/>
            </w:rPr>
            <w:fldChar w:fldCharType="separate"/>
          </w:r>
        </w:p>
        <w:p w14:paraId="428B01A1" w14:textId="2CE4154D" w:rsidR="00185396" w:rsidRDefault="00D23EF3">
          <w:pPr>
            <w:pStyle w:val="TDC1"/>
            <w:rPr>
              <w:rFonts w:asciiTheme="minorHAnsi" w:eastAsiaTheme="minorEastAsia" w:hAnsiTheme="minorHAnsi"/>
              <w:noProof/>
              <w:sz w:val="22"/>
              <w:lang w:val="es-EC" w:eastAsia="es-EC"/>
            </w:rPr>
          </w:pPr>
          <w:hyperlink w:anchor="_Toc80312235" w:history="1">
            <w:r w:rsidR="00185396" w:rsidRPr="00FD447E">
              <w:rPr>
                <w:rStyle w:val="Hipervnculo"/>
                <w:noProof/>
              </w:rPr>
              <w:t>I.</w:t>
            </w:r>
            <w:r w:rsidR="00185396">
              <w:rPr>
                <w:rFonts w:asciiTheme="minorHAnsi" w:eastAsiaTheme="minorEastAsia" w:hAnsiTheme="minorHAnsi"/>
                <w:noProof/>
                <w:sz w:val="22"/>
                <w:lang w:val="es-EC" w:eastAsia="es-EC"/>
              </w:rPr>
              <w:tab/>
            </w:r>
            <w:r w:rsidR="00185396" w:rsidRPr="00FD447E">
              <w:rPr>
                <w:rStyle w:val="Hipervnculo"/>
                <w:noProof/>
              </w:rPr>
              <w:t>INTRODUCCIÓN</w:t>
            </w:r>
            <w:r w:rsidR="00185396">
              <w:rPr>
                <w:noProof/>
                <w:webHidden/>
              </w:rPr>
              <w:tab/>
            </w:r>
            <w:r w:rsidR="00185396">
              <w:rPr>
                <w:noProof/>
                <w:webHidden/>
              </w:rPr>
              <w:fldChar w:fldCharType="begin"/>
            </w:r>
            <w:r w:rsidR="00185396">
              <w:rPr>
                <w:noProof/>
                <w:webHidden/>
              </w:rPr>
              <w:instrText xml:space="preserve"> PAGEREF _Toc80312235 \h </w:instrText>
            </w:r>
            <w:r w:rsidR="00185396">
              <w:rPr>
                <w:noProof/>
                <w:webHidden/>
              </w:rPr>
            </w:r>
            <w:r w:rsidR="00185396">
              <w:rPr>
                <w:noProof/>
                <w:webHidden/>
              </w:rPr>
              <w:fldChar w:fldCharType="separate"/>
            </w:r>
            <w:r w:rsidR="000D1F55">
              <w:rPr>
                <w:noProof/>
                <w:webHidden/>
              </w:rPr>
              <w:t>1</w:t>
            </w:r>
            <w:r w:rsidR="00185396">
              <w:rPr>
                <w:noProof/>
                <w:webHidden/>
              </w:rPr>
              <w:fldChar w:fldCharType="end"/>
            </w:r>
          </w:hyperlink>
        </w:p>
        <w:p w14:paraId="69CA5E25" w14:textId="5470FE61" w:rsidR="00185396" w:rsidRDefault="00D23EF3">
          <w:pPr>
            <w:pStyle w:val="TDC1"/>
            <w:rPr>
              <w:rFonts w:asciiTheme="minorHAnsi" w:eastAsiaTheme="minorEastAsia" w:hAnsiTheme="minorHAnsi"/>
              <w:noProof/>
              <w:sz w:val="22"/>
              <w:lang w:val="es-EC" w:eastAsia="es-EC"/>
            </w:rPr>
          </w:pPr>
          <w:hyperlink w:anchor="_Toc80312236" w:history="1">
            <w:r w:rsidR="00185396" w:rsidRPr="00FD447E">
              <w:rPr>
                <w:rStyle w:val="Hipervnculo"/>
                <w:noProof/>
              </w:rPr>
              <w:t>II.</w:t>
            </w:r>
            <w:r w:rsidR="00185396">
              <w:rPr>
                <w:rFonts w:asciiTheme="minorHAnsi" w:eastAsiaTheme="minorEastAsia" w:hAnsiTheme="minorHAnsi"/>
                <w:noProof/>
                <w:sz w:val="22"/>
                <w:lang w:val="es-EC" w:eastAsia="es-EC"/>
              </w:rPr>
              <w:tab/>
            </w:r>
            <w:r w:rsidR="00185396" w:rsidRPr="00FD447E">
              <w:rPr>
                <w:rStyle w:val="Hipervnculo"/>
                <w:noProof/>
              </w:rPr>
              <w:t>PROBLEMA</w:t>
            </w:r>
            <w:r w:rsidR="00185396">
              <w:rPr>
                <w:noProof/>
                <w:webHidden/>
              </w:rPr>
              <w:tab/>
            </w:r>
            <w:r w:rsidR="00185396">
              <w:rPr>
                <w:noProof/>
                <w:webHidden/>
              </w:rPr>
              <w:fldChar w:fldCharType="begin"/>
            </w:r>
            <w:r w:rsidR="00185396">
              <w:rPr>
                <w:noProof/>
                <w:webHidden/>
              </w:rPr>
              <w:instrText xml:space="preserve"> PAGEREF _Toc80312236 \h </w:instrText>
            </w:r>
            <w:r w:rsidR="00185396">
              <w:rPr>
                <w:noProof/>
                <w:webHidden/>
              </w:rPr>
            </w:r>
            <w:r w:rsidR="00185396">
              <w:rPr>
                <w:noProof/>
                <w:webHidden/>
              </w:rPr>
              <w:fldChar w:fldCharType="separate"/>
            </w:r>
            <w:r w:rsidR="000D1F55">
              <w:rPr>
                <w:noProof/>
                <w:webHidden/>
              </w:rPr>
              <w:t>3</w:t>
            </w:r>
            <w:r w:rsidR="00185396">
              <w:rPr>
                <w:noProof/>
                <w:webHidden/>
              </w:rPr>
              <w:fldChar w:fldCharType="end"/>
            </w:r>
          </w:hyperlink>
        </w:p>
        <w:p w14:paraId="138A976C" w14:textId="3E8D9A77" w:rsidR="00185396" w:rsidRDefault="00D23EF3">
          <w:pPr>
            <w:pStyle w:val="TDC1"/>
            <w:rPr>
              <w:rFonts w:asciiTheme="minorHAnsi" w:eastAsiaTheme="minorEastAsia" w:hAnsiTheme="minorHAnsi"/>
              <w:noProof/>
              <w:sz w:val="22"/>
              <w:lang w:val="es-EC" w:eastAsia="es-EC"/>
            </w:rPr>
          </w:pPr>
          <w:hyperlink w:anchor="_Toc80312237" w:history="1">
            <w:r w:rsidR="00185396" w:rsidRPr="00FD447E">
              <w:rPr>
                <w:rStyle w:val="Hipervnculo"/>
                <w:noProof/>
              </w:rPr>
              <w:t>III.</w:t>
            </w:r>
            <w:r w:rsidR="00185396">
              <w:rPr>
                <w:rFonts w:asciiTheme="minorHAnsi" w:eastAsiaTheme="minorEastAsia" w:hAnsiTheme="minorHAnsi"/>
                <w:noProof/>
                <w:sz w:val="22"/>
                <w:lang w:val="es-EC" w:eastAsia="es-EC"/>
              </w:rPr>
              <w:tab/>
            </w:r>
            <w:r w:rsidR="00185396" w:rsidRPr="00FD447E">
              <w:rPr>
                <w:rStyle w:val="Hipervnculo"/>
                <w:noProof/>
              </w:rPr>
              <w:t>MARCO TEÓRICO</w:t>
            </w:r>
            <w:r w:rsidR="00185396">
              <w:rPr>
                <w:noProof/>
                <w:webHidden/>
              </w:rPr>
              <w:tab/>
            </w:r>
            <w:r w:rsidR="00185396">
              <w:rPr>
                <w:noProof/>
                <w:webHidden/>
              </w:rPr>
              <w:fldChar w:fldCharType="begin"/>
            </w:r>
            <w:r w:rsidR="00185396">
              <w:rPr>
                <w:noProof/>
                <w:webHidden/>
              </w:rPr>
              <w:instrText xml:space="preserve"> PAGEREF _Toc80312237 \h </w:instrText>
            </w:r>
            <w:r w:rsidR="00185396">
              <w:rPr>
                <w:noProof/>
                <w:webHidden/>
              </w:rPr>
            </w:r>
            <w:r w:rsidR="00185396">
              <w:rPr>
                <w:noProof/>
                <w:webHidden/>
              </w:rPr>
              <w:fldChar w:fldCharType="separate"/>
            </w:r>
            <w:r w:rsidR="000D1F55">
              <w:rPr>
                <w:noProof/>
                <w:webHidden/>
              </w:rPr>
              <w:t>5</w:t>
            </w:r>
            <w:r w:rsidR="00185396">
              <w:rPr>
                <w:noProof/>
                <w:webHidden/>
              </w:rPr>
              <w:fldChar w:fldCharType="end"/>
            </w:r>
          </w:hyperlink>
        </w:p>
        <w:p w14:paraId="46DFC5E1" w14:textId="0F9C31E6" w:rsidR="00185396" w:rsidRDefault="00D23EF3">
          <w:pPr>
            <w:pStyle w:val="TDC2"/>
            <w:rPr>
              <w:rFonts w:asciiTheme="minorHAnsi" w:eastAsiaTheme="minorEastAsia" w:hAnsiTheme="minorHAnsi"/>
              <w:noProof/>
              <w:sz w:val="22"/>
              <w:lang w:val="es-EC" w:eastAsia="es-EC"/>
            </w:rPr>
          </w:pPr>
          <w:hyperlink w:anchor="_Toc80312238" w:history="1">
            <w:r w:rsidR="00185396" w:rsidRPr="00FD447E">
              <w:rPr>
                <w:rStyle w:val="Hipervnculo"/>
                <w:noProof/>
              </w:rPr>
              <w:t>3.1.</w:t>
            </w:r>
            <w:r w:rsidR="00185396">
              <w:rPr>
                <w:rFonts w:asciiTheme="minorHAnsi" w:eastAsiaTheme="minorEastAsia" w:hAnsiTheme="minorHAnsi"/>
                <w:noProof/>
                <w:sz w:val="22"/>
                <w:lang w:val="es-EC" w:eastAsia="es-EC"/>
              </w:rPr>
              <w:tab/>
            </w:r>
            <w:r w:rsidR="00185396" w:rsidRPr="00FD447E">
              <w:rPr>
                <w:rStyle w:val="Hipervnculo"/>
                <w:noProof/>
              </w:rPr>
              <w:t>Maíz</w:t>
            </w:r>
            <w:r w:rsidR="00185396">
              <w:rPr>
                <w:noProof/>
                <w:webHidden/>
              </w:rPr>
              <w:tab/>
            </w:r>
            <w:r w:rsidR="00185396">
              <w:rPr>
                <w:noProof/>
                <w:webHidden/>
              </w:rPr>
              <w:fldChar w:fldCharType="begin"/>
            </w:r>
            <w:r w:rsidR="00185396">
              <w:rPr>
                <w:noProof/>
                <w:webHidden/>
              </w:rPr>
              <w:instrText xml:space="preserve"> PAGEREF _Toc80312238 \h </w:instrText>
            </w:r>
            <w:r w:rsidR="00185396">
              <w:rPr>
                <w:noProof/>
                <w:webHidden/>
              </w:rPr>
            </w:r>
            <w:r w:rsidR="00185396">
              <w:rPr>
                <w:noProof/>
                <w:webHidden/>
              </w:rPr>
              <w:fldChar w:fldCharType="separate"/>
            </w:r>
            <w:r w:rsidR="000D1F55">
              <w:rPr>
                <w:noProof/>
                <w:webHidden/>
              </w:rPr>
              <w:t>5</w:t>
            </w:r>
            <w:r w:rsidR="00185396">
              <w:rPr>
                <w:noProof/>
                <w:webHidden/>
              </w:rPr>
              <w:fldChar w:fldCharType="end"/>
            </w:r>
          </w:hyperlink>
        </w:p>
        <w:p w14:paraId="11B712B2" w14:textId="1B7F06CC" w:rsidR="00185396" w:rsidRDefault="00D23EF3">
          <w:pPr>
            <w:pStyle w:val="TDC3"/>
            <w:rPr>
              <w:rFonts w:asciiTheme="minorHAnsi" w:eastAsiaTheme="minorEastAsia" w:hAnsiTheme="minorHAnsi"/>
              <w:noProof/>
              <w:sz w:val="22"/>
              <w:lang w:val="es-EC" w:eastAsia="es-EC"/>
            </w:rPr>
          </w:pPr>
          <w:hyperlink w:anchor="_Toc80312239" w:history="1">
            <w:r w:rsidR="00185396" w:rsidRPr="00FD447E">
              <w:rPr>
                <w:rStyle w:val="Hipervnculo"/>
                <w:noProof/>
              </w:rPr>
              <w:t>3.1.1.</w:t>
            </w:r>
            <w:r w:rsidR="00185396">
              <w:rPr>
                <w:rFonts w:asciiTheme="minorHAnsi" w:eastAsiaTheme="minorEastAsia" w:hAnsiTheme="minorHAnsi"/>
                <w:noProof/>
                <w:sz w:val="22"/>
                <w:lang w:val="es-EC" w:eastAsia="es-EC"/>
              </w:rPr>
              <w:tab/>
            </w:r>
            <w:r w:rsidR="00185396" w:rsidRPr="00FD447E">
              <w:rPr>
                <w:rStyle w:val="Hipervnculo"/>
                <w:noProof/>
              </w:rPr>
              <w:t>Origen</w:t>
            </w:r>
            <w:r w:rsidR="00185396">
              <w:rPr>
                <w:noProof/>
                <w:webHidden/>
              </w:rPr>
              <w:tab/>
            </w:r>
            <w:r w:rsidR="00185396">
              <w:rPr>
                <w:noProof/>
                <w:webHidden/>
              </w:rPr>
              <w:fldChar w:fldCharType="begin"/>
            </w:r>
            <w:r w:rsidR="00185396">
              <w:rPr>
                <w:noProof/>
                <w:webHidden/>
              </w:rPr>
              <w:instrText xml:space="preserve"> PAGEREF _Toc80312239 \h </w:instrText>
            </w:r>
            <w:r w:rsidR="00185396">
              <w:rPr>
                <w:noProof/>
                <w:webHidden/>
              </w:rPr>
            </w:r>
            <w:r w:rsidR="00185396">
              <w:rPr>
                <w:noProof/>
                <w:webHidden/>
              </w:rPr>
              <w:fldChar w:fldCharType="separate"/>
            </w:r>
            <w:r w:rsidR="000D1F55">
              <w:rPr>
                <w:noProof/>
                <w:webHidden/>
              </w:rPr>
              <w:t>5</w:t>
            </w:r>
            <w:r w:rsidR="00185396">
              <w:rPr>
                <w:noProof/>
                <w:webHidden/>
              </w:rPr>
              <w:fldChar w:fldCharType="end"/>
            </w:r>
          </w:hyperlink>
        </w:p>
        <w:p w14:paraId="3754F4DB" w14:textId="4100739C" w:rsidR="00185396" w:rsidRDefault="00D23EF3">
          <w:pPr>
            <w:pStyle w:val="TDC3"/>
            <w:rPr>
              <w:rFonts w:asciiTheme="minorHAnsi" w:eastAsiaTheme="minorEastAsia" w:hAnsiTheme="minorHAnsi"/>
              <w:noProof/>
              <w:sz w:val="22"/>
              <w:lang w:val="es-EC" w:eastAsia="es-EC"/>
            </w:rPr>
          </w:pPr>
          <w:hyperlink w:anchor="_Toc80312240" w:history="1">
            <w:r w:rsidR="00185396" w:rsidRPr="00FD447E">
              <w:rPr>
                <w:rStyle w:val="Hipervnculo"/>
                <w:noProof/>
              </w:rPr>
              <w:t>3.1.2.</w:t>
            </w:r>
            <w:r w:rsidR="00185396">
              <w:rPr>
                <w:rFonts w:asciiTheme="minorHAnsi" w:eastAsiaTheme="minorEastAsia" w:hAnsiTheme="minorHAnsi"/>
                <w:noProof/>
                <w:sz w:val="22"/>
                <w:lang w:val="es-EC" w:eastAsia="es-EC"/>
              </w:rPr>
              <w:tab/>
            </w:r>
            <w:r w:rsidR="00185396" w:rsidRPr="00FD447E">
              <w:rPr>
                <w:rStyle w:val="Hipervnculo"/>
                <w:noProof/>
              </w:rPr>
              <w:t>Clasificación Taxonómica</w:t>
            </w:r>
            <w:r w:rsidR="00185396">
              <w:rPr>
                <w:noProof/>
                <w:webHidden/>
              </w:rPr>
              <w:tab/>
            </w:r>
            <w:r w:rsidR="00185396">
              <w:rPr>
                <w:noProof/>
                <w:webHidden/>
              </w:rPr>
              <w:fldChar w:fldCharType="begin"/>
            </w:r>
            <w:r w:rsidR="00185396">
              <w:rPr>
                <w:noProof/>
                <w:webHidden/>
              </w:rPr>
              <w:instrText xml:space="preserve"> PAGEREF _Toc80312240 \h </w:instrText>
            </w:r>
            <w:r w:rsidR="00185396">
              <w:rPr>
                <w:noProof/>
                <w:webHidden/>
              </w:rPr>
            </w:r>
            <w:r w:rsidR="00185396">
              <w:rPr>
                <w:noProof/>
                <w:webHidden/>
              </w:rPr>
              <w:fldChar w:fldCharType="separate"/>
            </w:r>
            <w:r w:rsidR="000D1F55">
              <w:rPr>
                <w:noProof/>
                <w:webHidden/>
              </w:rPr>
              <w:t>5</w:t>
            </w:r>
            <w:r w:rsidR="00185396">
              <w:rPr>
                <w:noProof/>
                <w:webHidden/>
              </w:rPr>
              <w:fldChar w:fldCharType="end"/>
            </w:r>
          </w:hyperlink>
        </w:p>
        <w:p w14:paraId="51424641" w14:textId="01E4DEC0" w:rsidR="00185396" w:rsidRDefault="00D23EF3">
          <w:pPr>
            <w:pStyle w:val="TDC3"/>
            <w:rPr>
              <w:rFonts w:asciiTheme="minorHAnsi" w:eastAsiaTheme="minorEastAsia" w:hAnsiTheme="minorHAnsi"/>
              <w:noProof/>
              <w:sz w:val="22"/>
              <w:lang w:val="es-EC" w:eastAsia="es-EC"/>
            </w:rPr>
          </w:pPr>
          <w:hyperlink w:anchor="_Toc80312241" w:history="1">
            <w:r w:rsidR="00185396" w:rsidRPr="00FD447E">
              <w:rPr>
                <w:rStyle w:val="Hipervnculo"/>
                <w:noProof/>
              </w:rPr>
              <w:t>3.1.3.</w:t>
            </w:r>
            <w:r w:rsidR="00185396">
              <w:rPr>
                <w:rFonts w:asciiTheme="minorHAnsi" w:eastAsiaTheme="minorEastAsia" w:hAnsiTheme="minorHAnsi"/>
                <w:noProof/>
                <w:sz w:val="22"/>
                <w:lang w:val="es-EC" w:eastAsia="es-EC"/>
              </w:rPr>
              <w:tab/>
            </w:r>
            <w:r w:rsidR="00185396" w:rsidRPr="00FD447E">
              <w:rPr>
                <w:rStyle w:val="Hipervnculo"/>
                <w:noProof/>
              </w:rPr>
              <w:t>Descripción botánica</w:t>
            </w:r>
            <w:r w:rsidR="00185396">
              <w:rPr>
                <w:noProof/>
                <w:webHidden/>
              </w:rPr>
              <w:tab/>
            </w:r>
            <w:r w:rsidR="00185396">
              <w:rPr>
                <w:noProof/>
                <w:webHidden/>
              </w:rPr>
              <w:fldChar w:fldCharType="begin"/>
            </w:r>
            <w:r w:rsidR="00185396">
              <w:rPr>
                <w:noProof/>
                <w:webHidden/>
              </w:rPr>
              <w:instrText xml:space="preserve"> PAGEREF _Toc80312241 \h </w:instrText>
            </w:r>
            <w:r w:rsidR="00185396">
              <w:rPr>
                <w:noProof/>
                <w:webHidden/>
              </w:rPr>
            </w:r>
            <w:r w:rsidR="00185396">
              <w:rPr>
                <w:noProof/>
                <w:webHidden/>
              </w:rPr>
              <w:fldChar w:fldCharType="separate"/>
            </w:r>
            <w:r w:rsidR="000D1F55">
              <w:rPr>
                <w:noProof/>
                <w:webHidden/>
              </w:rPr>
              <w:t>6</w:t>
            </w:r>
            <w:r w:rsidR="00185396">
              <w:rPr>
                <w:noProof/>
                <w:webHidden/>
              </w:rPr>
              <w:fldChar w:fldCharType="end"/>
            </w:r>
          </w:hyperlink>
        </w:p>
        <w:p w14:paraId="768E1D80" w14:textId="37D18474" w:rsidR="00185396" w:rsidRDefault="00D23EF3">
          <w:pPr>
            <w:pStyle w:val="TDC3"/>
            <w:rPr>
              <w:rFonts w:asciiTheme="minorHAnsi" w:eastAsiaTheme="minorEastAsia" w:hAnsiTheme="minorHAnsi"/>
              <w:noProof/>
              <w:sz w:val="22"/>
              <w:lang w:val="es-EC" w:eastAsia="es-EC"/>
            </w:rPr>
          </w:pPr>
          <w:hyperlink w:anchor="_Toc80312242" w:history="1">
            <w:r w:rsidR="00185396" w:rsidRPr="00FD447E">
              <w:rPr>
                <w:rStyle w:val="Hipervnculo"/>
                <w:noProof/>
              </w:rPr>
              <w:t>3.1.4.</w:t>
            </w:r>
            <w:r w:rsidR="00185396">
              <w:rPr>
                <w:rFonts w:asciiTheme="minorHAnsi" w:eastAsiaTheme="minorEastAsia" w:hAnsiTheme="minorHAnsi"/>
                <w:noProof/>
                <w:sz w:val="22"/>
                <w:lang w:val="es-EC" w:eastAsia="es-EC"/>
              </w:rPr>
              <w:tab/>
            </w:r>
            <w:r w:rsidR="00185396" w:rsidRPr="00FD447E">
              <w:rPr>
                <w:rStyle w:val="Hipervnculo"/>
                <w:noProof/>
              </w:rPr>
              <w:t>Ciclo vegetativo</w:t>
            </w:r>
            <w:r w:rsidR="00185396">
              <w:rPr>
                <w:noProof/>
                <w:webHidden/>
              </w:rPr>
              <w:tab/>
            </w:r>
            <w:r w:rsidR="00185396">
              <w:rPr>
                <w:noProof/>
                <w:webHidden/>
              </w:rPr>
              <w:fldChar w:fldCharType="begin"/>
            </w:r>
            <w:r w:rsidR="00185396">
              <w:rPr>
                <w:noProof/>
                <w:webHidden/>
              </w:rPr>
              <w:instrText xml:space="preserve"> PAGEREF _Toc80312242 \h </w:instrText>
            </w:r>
            <w:r w:rsidR="00185396">
              <w:rPr>
                <w:noProof/>
                <w:webHidden/>
              </w:rPr>
            </w:r>
            <w:r w:rsidR="00185396">
              <w:rPr>
                <w:noProof/>
                <w:webHidden/>
              </w:rPr>
              <w:fldChar w:fldCharType="separate"/>
            </w:r>
            <w:r w:rsidR="000D1F55">
              <w:rPr>
                <w:noProof/>
                <w:webHidden/>
              </w:rPr>
              <w:t>8</w:t>
            </w:r>
            <w:r w:rsidR="00185396">
              <w:rPr>
                <w:noProof/>
                <w:webHidden/>
              </w:rPr>
              <w:fldChar w:fldCharType="end"/>
            </w:r>
          </w:hyperlink>
        </w:p>
        <w:p w14:paraId="450EBB4D" w14:textId="6D18C20E" w:rsidR="00185396" w:rsidRDefault="00D23EF3">
          <w:pPr>
            <w:pStyle w:val="TDC3"/>
            <w:rPr>
              <w:rFonts w:asciiTheme="minorHAnsi" w:eastAsiaTheme="minorEastAsia" w:hAnsiTheme="minorHAnsi"/>
              <w:noProof/>
              <w:sz w:val="22"/>
              <w:lang w:val="es-EC" w:eastAsia="es-EC"/>
            </w:rPr>
          </w:pPr>
          <w:hyperlink w:anchor="_Toc80312243" w:history="1">
            <w:r w:rsidR="00185396" w:rsidRPr="00FD447E">
              <w:rPr>
                <w:rStyle w:val="Hipervnculo"/>
                <w:noProof/>
              </w:rPr>
              <w:t>3.1.5.</w:t>
            </w:r>
            <w:r w:rsidR="00185396">
              <w:rPr>
                <w:rFonts w:asciiTheme="minorHAnsi" w:eastAsiaTheme="minorEastAsia" w:hAnsiTheme="minorHAnsi"/>
                <w:noProof/>
                <w:sz w:val="22"/>
                <w:lang w:val="es-EC" w:eastAsia="es-EC"/>
              </w:rPr>
              <w:tab/>
            </w:r>
            <w:r w:rsidR="00185396" w:rsidRPr="00FD447E">
              <w:rPr>
                <w:rStyle w:val="Hipervnculo"/>
                <w:noProof/>
              </w:rPr>
              <w:t>Variedades nativas y mejoradas</w:t>
            </w:r>
            <w:r w:rsidR="00185396">
              <w:rPr>
                <w:noProof/>
                <w:webHidden/>
              </w:rPr>
              <w:tab/>
            </w:r>
            <w:r w:rsidR="00185396">
              <w:rPr>
                <w:noProof/>
                <w:webHidden/>
              </w:rPr>
              <w:fldChar w:fldCharType="begin"/>
            </w:r>
            <w:r w:rsidR="00185396">
              <w:rPr>
                <w:noProof/>
                <w:webHidden/>
              </w:rPr>
              <w:instrText xml:space="preserve"> PAGEREF _Toc80312243 \h </w:instrText>
            </w:r>
            <w:r w:rsidR="00185396">
              <w:rPr>
                <w:noProof/>
                <w:webHidden/>
              </w:rPr>
            </w:r>
            <w:r w:rsidR="00185396">
              <w:rPr>
                <w:noProof/>
                <w:webHidden/>
              </w:rPr>
              <w:fldChar w:fldCharType="separate"/>
            </w:r>
            <w:r w:rsidR="000D1F55">
              <w:rPr>
                <w:noProof/>
                <w:webHidden/>
              </w:rPr>
              <w:t>8</w:t>
            </w:r>
            <w:r w:rsidR="00185396">
              <w:rPr>
                <w:noProof/>
                <w:webHidden/>
              </w:rPr>
              <w:fldChar w:fldCharType="end"/>
            </w:r>
          </w:hyperlink>
        </w:p>
        <w:p w14:paraId="61343FEE" w14:textId="597320F5" w:rsidR="00185396" w:rsidRDefault="00D23EF3">
          <w:pPr>
            <w:pStyle w:val="TDC3"/>
            <w:rPr>
              <w:rFonts w:asciiTheme="minorHAnsi" w:eastAsiaTheme="minorEastAsia" w:hAnsiTheme="minorHAnsi"/>
              <w:noProof/>
              <w:sz w:val="22"/>
              <w:lang w:val="es-EC" w:eastAsia="es-EC"/>
            </w:rPr>
          </w:pPr>
          <w:hyperlink w:anchor="_Toc80312244" w:history="1">
            <w:r w:rsidR="00185396" w:rsidRPr="00FD447E">
              <w:rPr>
                <w:rStyle w:val="Hipervnculo"/>
                <w:noProof/>
              </w:rPr>
              <w:t>3.1.6.</w:t>
            </w:r>
            <w:r w:rsidR="00185396">
              <w:rPr>
                <w:rFonts w:asciiTheme="minorHAnsi" w:eastAsiaTheme="minorEastAsia" w:hAnsiTheme="minorHAnsi"/>
                <w:noProof/>
                <w:sz w:val="22"/>
                <w:lang w:val="es-EC" w:eastAsia="es-EC"/>
              </w:rPr>
              <w:tab/>
            </w:r>
            <w:r w:rsidR="00185396" w:rsidRPr="00FD447E">
              <w:rPr>
                <w:rStyle w:val="Hipervnculo"/>
                <w:noProof/>
              </w:rPr>
              <w:t>Manejo agronómico del cultivo</w:t>
            </w:r>
            <w:r w:rsidR="00185396">
              <w:rPr>
                <w:noProof/>
                <w:webHidden/>
              </w:rPr>
              <w:tab/>
            </w:r>
            <w:r w:rsidR="00185396">
              <w:rPr>
                <w:noProof/>
                <w:webHidden/>
              </w:rPr>
              <w:fldChar w:fldCharType="begin"/>
            </w:r>
            <w:r w:rsidR="00185396">
              <w:rPr>
                <w:noProof/>
                <w:webHidden/>
              </w:rPr>
              <w:instrText xml:space="preserve"> PAGEREF _Toc80312244 \h </w:instrText>
            </w:r>
            <w:r w:rsidR="00185396">
              <w:rPr>
                <w:noProof/>
                <w:webHidden/>
              </w:rPr>
            </w:r>
            <w:r w:rsidR="00185396">
              <w:rPr>
                <w:noProof/>
                <w:webHidden/>
              </w:rPr>
              <w:fldChar w:fldCharType="separate"/>
            </w:r>
            <w:r w:rsidR="000D1F55">
              <w:rPr>
                <w:noProof/>
                <w:webHidden/>
              </w:rPr>
              <w:t>9</w:t>
            </w:r>
            <w:r w:rsidR="00185396">
              <w:rPr>
                <w:noProof/>
                <w:webHidden/>
              </w:rPr>
              <w:fldChar w:fldCharType="end"/>
            </w:r>
          </w:hyperlink>
        </w:p>
        <w:p w14:paraId="2C8567D3" w14:textId="74D15AC3" w:rsidR="00185396" w:rsidRDefault="00D23EF3">
          <w:pPr>
            <w:pStyle w:val="TDC3"/>
            <w:rPr>
              <w:rFonts w:asciiTheme="minorHAnsi" w:eastAsiaTheme="minorEastAsia" w:hAnsiTheme="minorHAnsi"/>
              <w:noProof/>
              <w:sz w:val="22"/>
              <w:lang w:val="es-EC" w:eastAsia="es-EC"/>
            </w:rPr>
          </w:pPr>
          <w:hyperlink w:anchor="_Toc80312245" w:history="1">
            <w:r w:rsidR="00185396" w:rsidRPr="00FD447E">
              <w:rPr>
                <w:rStyle w:val="Hipervnculo"/>
                <w:noProof/>
              </w:rPr>
              <w:t>3.1.7.</w:t>
            </w:r>
            <w:r w:rsidR="00185396">
              <w:rPr>
                <w:rFonts w:asciiTheme="minorHAnsi" w:eastAsiaTheme="minorEastAsia" w:hAnsiTheme="minorHAnsi"/>
                <w:noProof/>
                <w:sz w:val="22"/>
                <w:lang w:val="es-EC" w:eastAsia="es-EC"/>
              </w:rPr>
              <w:tab/>
            </w:r>
            <w:r w:rsidR="00185396" w:rsidRPr="00FD447E">
              <w:rPr>
                <w:rStyle w:val="Hipervnculo"/>
                <w:noProof/>
              </w:rPr>
              <w:t>Plagas</w:t>
            </w:r>
            <w:r w:rsidR="00185396">
              <w:rPr>
                <w:noProof/>
                <w:webHidden/>
              </w:rPr>
              <w:tab/>
            </w:r>
            <w:r w:rsidR="00185396">
              <w:rPr>
                <w:noProof/>
                <w:webHidden/>
              </w:rPr>
              <w:fldChar w:fldCharType="begin"/>
            </w:r>
            <w:r w:rsidR="00185396">
              <w:rPr>
                <w:noProof/>
                <w:webHidden/>
              </w:rPr>
              <w:instrText xml:space="preserve"> PAGEREF _Toc80312245 \h </w:instrText>
            </w:r>
            <w:r w:rsidR="00185396">
              <w:rPr>
                <w:noProof/>
                <w:webHidden/>
              </w:rPr>
            </w:r>
            <w:r w:rsidR="00185396">
              <w:rPr>
                <w:noProof/>
                <w:webHidden/>
              </w:rPr>
              <w:fldChar w:fldCharType="separate"/>
            </w:r>
            <w:r w:rsidR="000D1F55">
              <w:rPr>
                <w:noProof/>
                <w:webHidden/>
              </w:rPr>
              <w:t>12</w:t>
            </w:r>
            <w:r w:rsidR="00185396">
              <w:rPr>
                <w:noProof/>
                <w:webHidden/>
              </w:rPr>
              <w:fldChar w:fldCharType="end"/>
            </w:r>
          </w:hyperlink>
        </w:p>
        <w:p w14:paraId="14ECE5BE" w14:textId="2B597A92" w:rsidR="00185396" w:rsidRDefault="00D23EF3">
          <w:pPr>
            <w:pStyle w:val="TDC3"/>
            <w:rPr>
              <w:rFonts w:asciiTheme="minorHAnsi" w:eastAsiaTheme="minorEastAsia" w:hAnsiTheme="minorHAnsi"/>
              <w:noProof/>
              <w:sz w:val="22"/>
              <w:lang w:val="es-EC" w:eastAsia="es-EC"/>
            </w:rPr>
          </w:pPr>
          <w:hyperlink w:anchor="_Toc80312246" w:history="1">
            <w:r w:rsidR="00185396" w:rsidRPr="00FD447E">
              <w:rPr>
                <w:rStyle w:val="Hipervnculo"/>
                <w:noProof/>
              </w:rPr>
              <w:t>3.1.8.</w:t>
            </w:r>
            <w:r w:rsidR="00185396">
              <w:rPr>
                <w:rFonts w:asciiTheme="minorHAnsi" w:eastAsiaTheme="minorEastAsia" w:hAnsiTheme="minorHAnsi"/>
                <w:noProof/>
                <w:sz w:val="22"/>
                <w:lang w:val="es-EC" w:eastAsia="es-EC"/>
              </w:rPr>
              <w:tab/>
            </w:r>
            <w:r w:rsidR="00185396" w:rsidRPr="00FD447E">
              <w:rPr>
                <w:rStyle w:val="Hipervnculo"/>
                <w:noProof/>
              </w:rPr>
              <w:t>Enfermedades</w:t>
            </w:r>
            <w:r w:rsidR="00185396">
              <w:rPr>
                <w:noProof/>
                <w:webHidden/>
              </w:rPr>
              <w:tab/>
            </w:r>
            <w:r w:rsidR="00185396">
              <w:rPr>
                <w:noProof/>
                <w:webHidden/>
              </w:rPr>
              <w:fldChar w:fldCharType="begin"/>
            </w:r>
            <w:r w:rsidR="00185396">
              <w:rPr>
                <w:noProof/>
                <w:webHidden/>
              </w:rPr>
              <w:instrText xml:space="preserve"> PAGEREF _Toc80312246 \h </w:instrText>
            </w:r>
            <w:r w:rsidR="00185396">
              <w:rPr>
                <w:noProof/>
                <w:webHidden/>
              </w:rPr>
            </w:r>
            <w:r w:rsidR="00185396">
              <w:rPr>
                <w:noProof/>
                <w:webHidden/>
              </w:rPr>
              <w:fldChar w:fldCharType="separate"/>
            </w:r>
            <w:r w:rsidR="000D1F55">
              <w:rPr>
                <w:noProof/>
                <w:webHidden/>
              </w:rPr>
              <w:t>14</w:t>
            </w:r>
            <w:r w:rsidR="00185396">
              <w:rPr>
                <w:noProof/>
                <w:webHidden/>
              </w:rPr>
              <w:fldChar w:fldCharType="end"/>
            </w:r>
          </w:hyperlink>
        </w:p>
        <w:p w14:paraId="5F366690" w14:textId="39AA28B7" w:rsidR="00185396" w:rsidRDefault="00D23EF3">
          <w:pPr>
            <w:pStyle w:val="TDC3"/>
            <w:rPr>
              <w:rFonts w:asciiTheme="minorHAnsi" w:eastAsiaTheme="minorEastAsia" w:hAnsiTheme="minorHAnsi"/>
              <w:noProof/>
              <w:sz w:val="22"/>
              <w:lang w:val="es-EC" w:eastAsia="es-EC"/>
            </w:rPr>
          </w:pPr>
          <w:hyperlink w:anchor="_Toc80312247" w:history="1">
            <w:r w:rsidR="00185396" w:rsidRPr="00FD447E">
              <w:rPr>
                <w:rStyle w:val="Hipervnculo"/>
                <w:noProof/>
              </w:rPr>
              <w:t>3.1.9.</w:t>
            </w:r>
            <w:r w:rsidR="00185396">
              <w:rPr>
                <w:rFonts w:asciiTheme="minorHAnsi" w:eastAsiaTheme="minorEastAsia" w:hAnsiTheme="minorHAnsi"/>
                <w:noProof/>
                <w:sz w:val="22"/>
                <w:lang w:val="es-EC" w:eastAsia="es-EC"/>
              </w:rPr>
              <w:tab/>
            </w:r>
            <w:r w:rsidR="00185396" w:rsidRPr="00FD447E">
              <w:rPr>
                <w:rStyle w:val="Hipervnculo"/>
                <w:noProof/>
              </w:rPr>
              <w:t>Cosecha</w:t>
            </w:r>
            <w:r w:rsidR="00185396">
              <w:rPr>
                <w:noProof/>
                <w:webHidden/>
              </w:rPr>
              <w:tab/>
            </w:r>
            <w:r w:rsidR="00185396">
              <w:rPr>
                <w:noProof/>
                <w:webHidden/>
              </w:rPr>
              <w:fldChar w:fldCharType="begin"/>
            </w:r>
            <w:r w:rsidR="00185396">
              <w:rPr>
                <w:noProof/>
                <w:webHidden/>
              </w:rPr>
              <w:instrText xml:space="preserve"> PAGEREF _Toc80312247 \h </w:instrText>
            </w:r>
            <w:r w:rsidR="00185396">
              <w:rPr>
                <w:noProof/>
                <w:webHidden/>
              </w:rPr>
            </w:r>
            <w:r w:rsidR="00185396">
              <w:rPr>
                <w:noProof/>
                <w:webHidden/>
              </w:rPr>
              <w:fldChar w:fldCharType="separate"/>
            </w:r>
            <w:r w:rsidR="000D1F55">
              <w:rPr>
                <w:noProof/>
                <w:webHidden/>
              </w:rPr>
              <w:t>15</w:t>
            </w:r>
            <w:r w:rsidR="00185396">
              <w:rPr>
                <w:noProof/>
                <w:webHidden/>
              </w:rPr>
              <w:fldChar w:fldCharType="end"/>
            </w:r>
          </w:hyperlink>
        </w:p>
        <w:p w14:paraId="45099986" w14:textId="330EBCA4" w:rsidR="00185396" w:rsidRDefault="00D23EF3">
          <w:pPr>
            <w:pStyle w:val="TDC2"/>
            <w:rPr>
              <w:rFonts w:asciiTheme="minorHAnsi" w:eastAsiaTheme="minorEastAsia" w:hAnsiTheme="minorHAnsi"/>
              <w:noProof/>
              <w:sz w:val="22"/>
              <w:lang w:val="es-EC" w:eastAsia="es-EC"/>
            </w:rPr>
          </w:pPr>
          <w:hyperlink w:anchor="_Toc80312248" w:history="1">
            <w:r w:rsidR="00185396" w:rsidRPr="00FD447E">
              <w:rPr>
                <w:rStyle w:val="Hipervnculo"/>
                <w:noProof/>
              </w:rPr>
              <w:t>3.2.</w:t>
            </w:r>
            <w:r w:rsidR="00185396">
              <w:rPr>
                <w:rFonts w:asciiTheme="minorHAnsi" w:eastAsiaTheme="minorEastAsia" w:hAnsiTheme="minorHAnsi"/>
                <w:noProof/>
                <w:sz w:val="22"/>
                <w:lang w:val="es-EC" w:eastAsia="es-EC"/>
              </w:rPr>
              <w:tab/>
            </w:r>
            <w:r w:rsidR="00185396" w:rsidRPr="00FD447E">
              <w:rPr>
                <w:rStyle w:val="Hipervnculo"/>
                <w:noProof/>
              </w:rPr>
              <w:t>Macro nutrientes en el maíz</w:t>
            </w:r>
            <w:r w:rsidR="00185396">
              <w:rPr>
                <w:noProof/>
                <w:webHidden/>
              </w:rPr>
              <w:tab/>
            </w:r>
            <w:r w:rsidR="00185396">
              <w:rPr>
                <w:noProof/>
                <w:webHidden/>
              </w:rPr>
              <w:fldChar w:fldCharType="begin"/>
            </w:r>
            <w:r w:rsidR="00185396">
              <w:rPr>
                <w:noProof/>
                <w:webHidden/>
              </w:rPr>
              <w:instrText xml:space="preserve"> PAGEREF _Toc80312248 \h </w:instrText>
            </w:r>
            <w:r w:rsidR="00185396">
              <w:rPr>
                <w:noProof/>
                <w:webHidden/>
              </w:rPr>
            </w:r>
            <w:r w:rsidR="00185396">
              <w:rPr>
                <w:noProof/>
                <w:webHidden/>
              </w:rPr>
              <w:fldChar w:fldCharType="separate"/>
            </w:r>
            <w:r w:rsidR="000D1F55">
              <w:rPr>
                <w:noProof/>
                <w:webHidden/>
              </w:rPr>
              <w:t>16</w:t>
            </w:r>
            <w:r w:rsidR="00185396">
              <w:rPr>
                <w:noProof/>
                <w:webHidden/>
              </w:rPr>
              <w:fldChar w:fldCharType="end"/>
            </w:r>
          </w:hyperlink>
        </w:p>
        <w:p w14:paraId="1C538326" w14:textId="3F7DC3D9" w:rsidR="00185396" w:rsidRDefault="00D23EF3">
          <w:pPr>
            <w:pStyle w:val="TDC3"/>
            <w:rPr>
              <w:rFonts w:asciiTheme="minorHAnsi" w:eastAsiaTheme="minorEastAsia" w:hAnsiTheme="minorHAnsi"/>
              <w:noProof/>
              <w:sz w:val="22"/>
              <w:lang w:val="es-EC" w:eastAsia="es-EC"/>
            </w:rPr>
          </w:pPr>
          <w:hyperlink w:anchor="_Toc80312249" w:history="1">
            <w:r w:rsidR="00185396" w:rsidRPr="00FD447E">
              <w:rPr>
                <w:rStyle w:val="Hipervnculo"/>
                <w:noProof/>
              </w:rPr>
              <w:t>3.2.1.</w:t>
            </w:r>
            <w:r w:rsidR="00185396">
              <w:rPr>
                <w:rFonts w:asciiTheme="minorHAnsi" w:eastAsiaTheme="minorEastAsia" w:hAnsiTheme="minorHAnsi"/>
                <w:noProof/>
                <w:sz w:val="22"/>
                <w:lang w:val="es-EC" w:eastAsia="es-EC"/>
              </w:rPr>
              <w:tab/>
            </w:r>
            <w:r w:rsidR="00185396" w:rsidRPr="00FD447E">
              <w:rPr>
                <w:rStyle w:val="Hipervnculo"/>
                <w:noProof/>
              </w:rPr>
              <w:t>Nitrógeno (N)</w:t>
            </w:r>
            <w:r w:rsidR="00185396">
              <w:rPr>
                <w:noProof/>
                <w:webHidden/>
              </w:rPr>
              <w:tab/>
            </w:r>
            <w:r w:rsidR="00185396">
              <w:rPr>
                <w:noProof/>
                <w:webHidden/>
              </w:rPr>
              <w:fldChar w:fldCharType="begin"/>
            </w:r>
            <w:r w:rsidR="00185396">
              <w:rPr>
                <w:noProof/>
                <w:webHidden/>
              </w:rPr>
              <w:instrText xml:space="preserve"> PAGEREF _Toc80312249 \h </w:instrText>
            </w:r>
            <w:r w:rsidR="00185396">
              <w:rPr>
                <w:noProof/>
                <w:webHidden/>
              </w:rPr>
            </w:r>
            <w:r w:rsidR="00185396">
              <w:rPr>
                <w:noProof/>
                <w:webHidden/>
              </w:rPr>
              <w:fldChar w:fldCharType="separate"/>
            </w:r>
            <w:r w:rsidR="000D1F55">
              <w:rPr>
                <w:noProof/>
                <w:webHidden/>
              </w:rPr>
              <w:t>16</w:t>
            </w:r>
            <w:r w:rsidR="00185396">
              <w:rPr>
                <w:noProof/>
                <w:webHidden/>
              </w:rPr>
              <w:fldChar w:fldCharType="end"/>
            </w:r>
          </w:hyperlink>
        </w:p>
        <w:p w14:paraId="4ADAF7A2" w14:textId="657342DB" w:rsidR="00185396" w:rsidRDefault="00D23EF3">
          <w:pPr>
            <w:pStyle w:val="TDC2"/>
            <w:rPr>
              <w:rFonts w:asciiTheme="minorHAnsi" w:eastAsiaTheme="minorEastAsia" w:hAnsiTheme="minorHAnsi"/>
              <w:noProof/>
              <w:sz w:val="22"/>
              <w:lang w:val="es-EC" w:eastAsia="es-EC"/>
            </w:rPr>
          </w:pPr>
          <w:hyperlink w:anchor="_Toc80312250" w:history="1">
            <w:r w:rsidR="00185396" w:rsidRPr="00FD447E">
              <w:rPr>
                <w:rStyle w:val="Hipervnculo"/>
                <w:noProof/>
              </w:rPr>
              <w:t>3.3.</w:t>
            </w:r>
            <w:r w:rsidR="00185396">
              <w:rPr>
                <w:rFonts w:asciiTheme="minorHAnsi" w:eastAsiaTheme="minorEastAsia" w:hAnsiTheme="minorHAnsi"/>
                <w:noProof/>
                <w:sz w:val="22"/>
                <w:lang w:val="es-EC" w:eastAsia="es-EC"/>
              </w:rPr>
              <w:tab/>
            </w:r>
            <w:r w:rsidR="00185396" w:rsidRPr="00FD447E">
              <w:rPr>
                <w:rStyle w:val="Hipervnculo"/>
                <w:noProof/>
              </w:rPr>
              <w:t>Fósforo (P)</w:t>
            </w:r>
            <w:r w:rsidR="00185396">
              <w:rPr>
                <w:noProof/>
                <w:webHidden/>
              </w:rPr>
              <w:tab/>
            </w:r>
            <w:r w:rsidR="00185396">
              <w:rPr>
                <w:noProof/>
                <w:webHidden/>
              </w:rPr>
              <w:fldChar w:fldCharType="begin"/>
            </w:r>
            <w:r w:rsidR="00185396">
              <w:rPr>
                <w:noProof/>
                <w:webHidden/>
              </w:rPr>
              <w:instrText xml:space="preserve"> PAGEREF _Toc80312250 \h </w:instrText>
            </w:r>
            <w:r w:rsidR="00185396">
              <w:rPr>
                <w:noProof/>
                <w:webHidden/>
              </w:rPr>
            </w:r>
            <w:r w:rsidR="00185396">
              <w:rPr>
                <w:noProof/>
                <w:webHidden/>
              </w:rPr>
              <w:fldChar w:fldCharType="separate"/>
            </w:r>
            <w:r w:rsidR="000D1F55">
              <w:rPr>
                <w:noProof/>
                <w:webHidden/>
              </w:rPr>
              <w:t>27</w:t>
            </w:r>
            <w:r w:rsidR="00185396">
              <w:rPr>
                <w:noProof/>
                <w:webHidden/>
              </w:rPr>
              <w:fldChar w:fldCharType="end"/>
            </w:r>
          </w:hyperlink>
        </w:p>
        <w:p w14:paraId="4D5AEFD9" w14:textId="3F9028C1" w:rsidR="00185396" w:rsidRDefault="00D23EF3">
          <w:pPr>
            <w:pStyle w:val="TDC3"/>
            <w:rPr>
              <w:rFonts w:asciiTheme="minorHAnsi" w:eastAsiaTheme="minorEastAsia" w:hAnsiTheme="minorHAnsi"/>
              <w:noProof/>
              <w:sz w:val="22"/>
              <w:lang w:val="es-EC" w:eastAsia="es-EC"/>
            </w:rPr>
          </w:pPr>
          <w:hyperlink w:anchor="_Toc80312251" w:history="1">
            <w:r w:rsidR="00185396" w:rsidRPr="00FD447E">
              <w:rPr>
                <w:rStyle w:val="Hipervnculo"/>
                <w:noProof/>
              </w:rPr>
              <w:t>3.3.1.</w:t>
            </w:r>
            <w:r w:rsidR="00185396">
              <w:rPr>
                <w:rFonts w:asciiTheme="minorHAnsi" w:eastAsiaTheme="minorEastAsia" w:hAnsiTheme="minorHAnsi"/>
                <w:noProof/>
                <w:sz w:val="22"/>
                <w:lang w:val="es-EC" w:eastAsia="es-EC"/>
              </w:rPr>
              <w:tab/>
            </w:r>
            <w:r w:rsidR="00185396" w:rsidRPr="00FD447E">
              <w:rPr>
                <w:rStyle w:val="Hipervnculo"/>
                <w:noProof/>
              </w:rPr>
              <w:t>Importancia del fósforo según sus funciones principales</w:t>
            </w:r>
            <w:r w:rsidR="00185396">
              <w:rPr>
                <w:noProof/>
                <w:webHidden/>
              </w:rPr>
              <w:tab/>
            </w:r>
            <w:r w:rsidR="00185396">
              <w:rPr>
                <w:noProof/>
                <w:webHidden/>
              </w:rPr>
              <w:fldChar w:fldCharType="begin"/>
            </w:r>
            <w:r w:rsidR="00185396">
              <w:rPr>
                <w:noProof/>
                <w:webHidden/>
              </w:rPr>
              <w:instrText xml:space="preserve"> PAGEREF _Toc80312251 \h </w:instrText>
            </w:r>
            <w:r w:rsidR="00185396">
              <w:rPr>
                <w:noProof/>
                <w:webHidden/>
              </w:rPr>
            </w:r>
            <w:r w:rsidR="00185396">
              <w:rPr>
                <w:noProof/>
                <w:webHidden/>
              </w:rPr>
              <w:fldChar w:fldCharType="separate"/>
            </w:r>
            <w:r w:rsidR="000D1F55">
              <w:rPr>
                <w:noProof/>
                <w:webHidden/>
              </w:rPr>
              <w:t>27</w:t>
            </w:r>
            <w:r w:rsidR="00185396">
              <w:rPr>
                <w:noProof/>
                <w:webHidden/>
              </w:rPr>
              <w:fldChar w:fldCharType="end"/>
            </w:r>
          </w:hyperlink>
        </w:p>
        <w:p w14:paraId="34B0242F" w14:textId="578D5B41" w:rsidR="00185396" w:rsidRDefault="00D23EF3">
          <w:pPr>
            <w:pStyle w:val="TDC3"/>
            <w:rPr>
              <w:rFonts w:asciiTheme="minorHAnsi" w:eastAsiaTheme="minorEastAsia" w:hAnsiTheme="minorHAnsi"/>
              <w:noProof/>
              <w:sz w:val="22"/>
              <w:lang w:val="es-EC" w:eastAsia="es-EC"/>
            </w:rPr>
          </w:pPr>
          <w:hyperlink w:anchor="_Toc80312252" w:history="1">
            <w:r w:rsidR="00185396" w:rsidRPr="00FD447E">
              <w:rPr>
                <w:rStyle w:val="Hipervnculo"/>
                <w:noProof/>
              </w:rPr>
              <w:t>3.3.2.</w:t>
            </w:r>
            <w:r w:rsidR="00185396">
              <w:rPr>
                <w:rFonts w:asciiTheme="minorHAnsi" w:eastAsiaTheme="minorEastAsia" w:hAnsiTheme="minorHAnsi"/>
                <w:noProof/>
                <w:sz w:val="22"/>
                <w:lang w:val="es-EC" w:eastAsia="es-EC"/>
              </w:rPr>
              <w:tab/>
            </w:r>
            <w:r w:rsidR="00185396" w:rsidRPr="00FD447E">
              <w:rPr>
                <w:rStyle w:val="Hipervnculo"/>
                <w:noProof/>
              </w:rPr>
              <w:t>Funciones del fósforo en las plantas</w:t>
            </w:r>
            <w:r w:rsidR="00185396">
              <w:rPr>
                <w:noProof/>
                <w:webHidden/>
              </w:rPr>
              <w:tab/>
            </w:r>
            <w:r w:rsidR="00185396">
              <w:rPr>
                <w:noProof/>
                <w:webHidden/>
              </w:rPr>
              <w:fldChar w:fldCharType="begin"/>
            </w:r>
            <w:r w:rsidR="00185396">
              <w:rPr>
                <w:noProof/>
                <w:webHidden/>
              </w:rPr>
              <w:instrText xml:space="preserve"> PAGEREF _Toc80312252 \h </w:instrText>
            </w:r>
            <w:r w:rsidR="00185396">
              <w:rPr>
                <w:noProof/>
                <w:webHidden/>
              </w:rPr>
            </w:r>
            <w:r w:rsidR="00185396">
              <w:rPr>
                <w:noProof/>
                <w:webHidden/>
              </w:rPr>
              <w:fldChar w:fldCharType="separate"/>
            </w:r>
            <w:r w:rsidR="000D1F55">
              <w:rPr>
                <w:noProof/>
                <w:webHidden/>
              </w:rPr>
              <w:t>28</w:t>
            </w:r>
            <w:r w:rsidR="00185396">
              <w:rPr>
                <w:noProof/>
                <w:webHidden/>
              </w:rPr>
              <w:fldChar w:fldCharType="end"/>
            </w:r>
          </w:hyperlink>
        </w:p>
        <w:p w14:paraId="6468FC6F" w14:textId="4EE7FF48" w:rsidR="00185396" w:rsidRDefault="00D23EF3">
          <w:pPr>
            <w:pStyle w:val="TDC3"/>
            <w:rPr>
              <w:rFonts w:asciiTheme="minorHAnsi" w:eastAsiaTheme="minorEastAsia" w:hAnsiTheme="minorHAnsi"/>
              <w:noProof/>
              <w:sz w:val="22"/>
              <w:lang w:val="es-EC" w:eastAsia="es-EC"/>
            </w:rPr>
          </w:pPr>
          <w:hyperlink w:anchor="_Toc80312253" w:history="1">
            <w:r w:rsidR="00185396" w:rsidRPr="00FD447E">
              <w:rPr>
                <w:rStyle w:val="Hipervnculo"/>
                <w:noProof/>
              </w:rPr>
              <w:t>3.3.3.</w:t>
            </w:r>
            <w:r w:rsidR="00185396">
              <w:rPr>
                <w:rFonts w:asciiTheme="minorHAnsi" w:eastAsiaTheme="minorEastAsia" w:hAnsiTheme="minorHAnsi"/>
                <w:noProof/>
                <w:sz w:val="22"/>
                <w:lang w:val="es-EC" w:eastAsia="es-EC"/>
              </w:rPr>
              <w:tab/>
            </w:r>
            <w:r w:rsidR="00185396" w:rsidRPr="00FD447E">
              <w:rPr>
                <w:rStyle w:val="Hipervnculo"/>
                <w:noProof/>
              </w:rPr>
              <w:t>Ciclo del fósforo</w:t>
            </w:r>
            <w:r w:rsidR="00185396">
              <w:rPr>
                <w:noProof/>
                <w:webHidden/>
              </w:rPr>
              <w:tab/>
            </w:r>
            <w:r w:rsidR="00185396">
              <w:rPr>
                <w:noProof/>
                <w:webHidden/>
              </w:rPr>
              <w:fldChar w:fldCharType="begin"/>
            </w:r>
            <w:r w:rsidR="00185396">
              <w:rPr>
                <w:noProof/>
                <w:webHidden/>
              </w:rPr>
              <w:instrText xml:space="preserve"> PAGEREF _Toc80312253 \h </w:instrText>
            </w:r>
            <w:r w:rsidR="00185396">
              <w:rPr>
                <w:noProof/>
                <w:webHidden/>
              </w:rPr>
            </w:r>
            <w:r w:rsidR="00185396">
              <w:rPr>
                <w:noProof/>
                <w:webHidden/>
              </w:rPr>
              <w:fldChar w:fldCharType="separate"/>
            </w:r>
            <w:r w:rsidR="000D1F55">
              <w:rPr>
                <w:noProof/>
                <w:webHidden/>
              </w:rPr>
              <w:t>28</w:t>
            </w:r>
            <w:r w:rsidR="00185396">
              <w:rPr>
                <w:noProof/>
                <w:webHidden/>
              </w:rPr>
              <w:fldChar w:fldCharType="end"/>
            </w:r>
          </w:hyperlink>
        </w:p>
        <w:p w14:paraId="2AA9149A" w14:textId="7328C200" w:rsidR="00185396" w:rsidRDefault="00D23EF3">
          <w:pPr>
            <w:pStyle w:val="TDC3"/>
            <w:rPr>
              <w:rFonts w:asciiTheme="minorHAnsi" w:eastAsiaTheme="minorEastAsia" w:hAnsiTheme="minorHAnsi"/>
              <w:noProof/>
              <w:sz w:val="22"/>
              <w:lang w:val="es-EC" w:eastAsia="es-EC"/>
            </w:rPr>
          </w:pPr>
          <w:hyperlink w:anchor="_Toc80312254" w:history="1">
            <w:r w:rsidR="00185396" w:rsidRPr="00FD447E">
              <w:rPr>
                <w:rStyle w:val="Hipervnculo"/>
                <w:noProof/>
              </w:rPr>
              <w:t>3.3.4.</w:t>
            </w:r>
            <w:r w:rsidR="00185396">
              <w:rPr>
                <w:rFonts w:asciiTheme="minorHAnsi" w:eastAsiaTheme="minorEastAsia" w:hAnsiTheme="minorHAnsi"/>
                <w:noProof/>
                <w:sz w:val="22"/>
                <w:lang w:val="es-EC" w:eastAsia="es-EC"/>
              </w:rPr>
              <w:tab/>
            </w:r>
            <w:r w:rsidR="00185396" w:rsidRPr="00FD447E">
              <w:rPr>
                <w:rStyle w:val="Hipervnculo"/>
                <w:noProof/>
              </w:rPr>
              <w:t>El Fósforo en el Suelo</w:t>
            </w:r>
            <w:r w:rsidR="00185396">
              <w:rPr>
                <w:noProof/>
                <w:webHidden/>
              </w:rPr>
              <w:tab/>
            </w:r>
            <w:r w:rsidR="00185396">
              <w:rPr>
                <w:noProof/>
                <w:webHidden/>
              </w:rPr>
              <w:fldChar w:fldCharType="begin"/>
            </w:r>
            <w:r w:rsidR="00185396">
              <w:rPr>
                <w:noProof/>
                <w:webHidden/>
              </w:rPr>
              <w:instrText xml:space="preserve"> PAGEREF _Toc80312254 \h </w:instrText>
            </w:r>
            <w:r w:rsidR="00185396">
              <w:rPr>
                <w:noProof/>
                <w:webHidden/>
              </w:rPr>
            </w:r>
            <w:r w:rsidR="00185396">
              <w:rPr>
                <w:noProof/>
                <w:webHidden/>
              </w:rPr>
              <w:fldChar w:fldCharType="separate"/>
            </w:r>
            <w:r w:rsidR="000D1F55">
              <w:rPr>
                <w:noProof/>
                <w:webHidden/>
              </w:rPr>
              <w:t>29</w:t>
            </w:r>
            <w:r w:rsidR="00185396">
              <w:rPr>
                <w:noProof/>
                <w:webHidden/>
              </w:rPr>
              <w:fldChar w:fldCharType="end"/>
            </w:r>
          </w:hyperlink>
        </w:p>
        <w:p w14:paraId="33882F76" w14:textId="1DBD0691" w:rsidR="00185396" w:rsidRDefault="00D23EF3">
          <w:pPr>
            <w:pStyle w:val="TDC3"/>
            <w:rPr>
              <w:rFonts w:asciiTheme="minorHAnsi" w:eastAsiaTheme="minorEastAsia" w:hAnsiTheme="minorHAnsi"/>
              <w:noProof/>
              <w:sz w:val="22"/>
              <w:lang w:val="es-EC" w:eastAsia="es-EC"/>
            </w:rPr>
          </w:pPr>
          <w:hyperlink w:anchor="_Toc80312255" w:history="1">
            <w:r w:rsidR="00185396" w:rsidRPr="00FD447E">
              <w:rPr>
                <w:rStyle w:val="Hipervnculo"/>
                <w:noProof/>
              </w:rPr>
              <w:t>3.3.5.</w:t>
            </w:r>
            <w:r w:rsidR="00185396">
              <w:rPr>
                <w:rFonts w:asciiTheme="minorHAnsi" w:eastAsiaTheme="minorEastAsia" w:hAnsiTheme="minorHAnsi"/>
                <w:noProof/>
                <w:sz w:val="22"/>
                <w:lang w:val="es-EC" w:eastAsia="es-EC"/>
              </w:rPr>
              <w:tab/>
            </w:r>
            <w:r w:rsidR="00185396" w:rsidRPr="00FD447E">
              <w:rPr>
                <w:rStyle w:val="Hipervnculo"/>
                <w:noProof/>
              </w:rPr>
              <w:t>Formas del fósforo en los suelos</w:t>
            </w:r>
            <w:r w:rsidR="00185396">
              <w:rPr>
                <w:noProof/>
                <w:webHidden/>
              </w:rPr>
              <w:tab/>
            </w:r>
            <w:r w:rsidR="00185396">
              <w:rPr>
                <w:noProof/>
                <w:webHidden/>
              </w:rPr>
              <w:fldChar w:fldCharType="begin"/>
            </w:r>
            <w:r w:rsidR="00185396">
              <w:rPr>
                <w:noProof/>
                <w:webHidden/>
              </w:rPr>
              <w:instrText xml:space="preserve"> PAGEREF _Toc80312255 \h </w:instrText>
            </w:r>
            <w:r w:rsidR="00185396">
              <w:rPr>
                <w:noProof/>
                <w:webHidden/>
              </w:rPr>
            </w:r>
            <w:r w:rsidR="00185396">
              <w:rPr>
                <w:noProof/>
                <w:webHidden/>
              </w:rPr>
              <w:fldChar w:fldCharType="separate"/>
            </w:r>
            <w:r w:rsidR="000D1F55">
              <w:rPr>
                <w:noProof/>
                <w:webHidden/>
              </w:rPr>
              <w:t>29</w:t>
            </w:r>
            <w:r w:rsidR="00185396">
              <w:rPr>
                <w:noProof/>
                <w:webHidden/>
              </w:rPr>
              <w:fldChar w:fldCharType="end"/>
            </w:r>
          </w:hyperlink>
        </w:p>
        <w:p w14:paraId="0A91A1B4" w14:textId="771EAF0A" w:rsidR="00185396" w:rsidRDefault="00D23EF3">
          <w:pPr>
            <w:pStyle w:val="TDC3"/>
            <w:rPr>
              <w:rFonts w:asciiTheme="minorHAnsi" w:eastAsiaTheme="minorEastAsia" w:hAnsiTheme="minorHAnsi"/>
              <w:noProof/>
              <w:sz w:val="22"/>
              <w:lang w:val="es-EC" w:eastAsia="es-EC"/>
            </w:rPr>
          </w:pPr>
          <w:hyperlink w:anchor="_Toc80312256" w:history="1">
            <w:r w:rsidR="00185396" w:rsidRPr="00FD447E">
              <w:rPr>
                <w:rStyle w:val="Hipervnculo"/>
                <w:noProof/>
              </w:rPr>
              <w:t>3.3.6.</w:t>
            </w:r>
            <w:r w:rsidR="00185396">
              <w:rPr>
                <w:rFonts w:asciiTheme="minorHAnsi" w:eastAsiaTheme="minorEastAsia" w:hAnsiTheme="minorHAnsi"/>
                <w:noProof/>
                <w:sz w:val="22"/>
                <w:lang w:val="es-EC" w:eastAsia="es-EC"/>
              </w:rPr>
              <w:tab/>
            </w:r>
            <w:r w:rsidR="00185396" w:rsidRPr="00FD447E">
              <w:rPr>
                <w:rStyle w:val="Hipervnculo"/>
                <w:noProof/>
              </w:rPr>
              <w:t>Época de aplicación del fósforo</w:t>
            </w:r>
            <w:r w:rsidR="00185396">
              <w:rPr>
                <w:noProof/>
                <w:webHidden/>
              </w:rPr>
              <w:tab/>
            </w:r>
            <w:r w:rsidR="00185396">
              <w:rPr>
                <w:noProof/>
                <w:webHidden/>
              </w:rPr>
              <w:fldChar w:fldCharType="begin"/>
            </w:r>
            <w:r w:rsidR="00185396">
              <w:rPr>
                <w:noProof/>
                <w:webHidden/>
              </w:rPr>
              <w:instrText xml:space="preserve"> PAGEREF _Toc80312256 \h </w:instrText>
            </w:r>
            <w:r w:rsidR="00185396">
              <w:rPr>
                <w:noProof/>
                <w:webHidden/>
              </w:rPr>
            </w:r>
            <w:r w:rsidR="00185396">
              <w:rPr>
                <w:noProof/>
                <w:webHidden/>
              </w:rPr>
              <w:fldChar w:fldCharType="separate"/>
            </w:r>
            <w:r w:rsidR="000D1F55">
              <w:rPr>
                <w:noProof/>
                <w:webHidden/>
              </w:rPr>
              <w:t>29</w:t>
            </w:r>
            <w:r w:rsidR="00185396">
              <w:rPr>
                <w:noProof/>
                <w:webHidden/>
              </w:rPr>
              <w:fldChar w:fldCharType="end"/>
            </w:r>
          </w:hyperlink>
        </w:p>
        <w:p w14:paraId="0FF53615" w14:textId="543C7D02" w:rsidR="00185396" w:rsidRDefault="00D23EF3">
          <w:pPr>
            <w:pStyle w:val="TDC3"/>
            <w:rPr>
              <w:rFonts w:asciiTheme="minorHAnsi" w:eastAsiaTheme="minorEastAsia" w:hAnsiTheme="minorHAnsi"/>
              <w:noProof/>
              <w:sz w:val="22"/>
              <w:lang w:val="es-EC" w:eastAsia="es-EC"/>
            </w:rPr>
          </w:pPr>
          <w:hyperlink w:anchor="_Toc80312257" w:history="1">
            <w:r w:rsidR="00185396" w:rsidRPr="00FD447E">
              <w:rPr>
                <w:rStyle w:val="Hipervnculo"/>
                <w:noProof/>
              </w:rPr>
              <w:t>3.3.7.</w:t>
            </w:r>
            <w:r w:rsidR="00185396">
              <w:rPr>
                <w:rFonts w:asciiTheme="minorHAnsi" w:eastAsiaTheme="minorEastAsia" w:hAnsiTheme="minorHAnsi"/>
                <w:noProof/>
                <w:sz w:val="22"/>
                <w:lang w:val="es-EC" w:eastAsia="es-EC"/>
              </w:rPr>
              <w:tab/>
            </w:r>
            <w:r w:rsidR="00185396" w:rsidRPr="00FD447E">
              <w:rPr>
                <w:rStyle w:val="Hipervnculo"/>
                <w:noProof/>
              </w:rPr>
              <w:t>Movimientos del fósforo en el suelo</w:t>
            </w:r>
            <w:r w:rsidR="00185396">
              <w:rPr>
                <w:noProof/>
                <w:webHidden/>
              </w:rPr>
              <w:tab/>
            </w:r>
            <w:r w:rsidR="00185396">
              <w:rPr>
                <w:noProof/>
                <w:webHidden/>
              </w:rPr>
              <w:fldChar w:fldCharType="begin"/>
            </w:r>
            <w:r w:rsidR="00185396">
              <w:rPr>
                <w:noProof/>
                <w:webHidden/>
              </w:rPr>
              <w:instrText xml:space="preserve"> PAGEREF _Toc80312257 \h </w:instrText>
            </w:r>
            <w:r w:rsidR="00185396">
              <w:rPr>
                <w:noProof/>
                <w:webHidden/>
              </w:rPr>
            </w:r>
            <w:r w:rsidR="00185396">
              <w:rPr>
                <w:noProof/>
                <w:webHidden/>
              </w:rPr>
              <w:fldChar w:fldCharType="separate"/>
            </w:r>
            <w:r w:rsidR="000D1F55">
              <w:rPr>
                <w:noProof/>
                <w:webHidden/>
              </w:rPr>
              <w:t>30</w:t>
            </w:r>
            <w:r w:rsidR="00185396">
              <w:rPr>
                <w:noProof/>
                <w:webHidden/>
              </w:rPr>
              <w:fldChar w:fldCharType="end"/>
            </w:r>
          </w:hyperlink>
        </w:p>
        <w:p w14:paraId="4D28863D" w14:textId="71B07B35" w:rsidR="00185396" w:rsidRDefault="00D23EF3">
          <w:pPr>
            <w:pStyle w:val="TDC3"/>
            <w:rPr>
              <w:rFonts w:asciiTheme="minorHAnsi" w:eastAsiaTheme="minorEastAsia" w:hAnsiTheme="minorHAnsi"/>
              <w:noProof/>
              <w:sz w:val="22"/>
              <w:lang w:val="es-EC" w:eastAsia="es-EC"/>
            </w:rPr>
          </w:pPr>
          <w:hyperlink w:anchor="_Toc80312258" w:history="1">
            <w:r w:rsidR="00185396" w:rsidRPr="00FD447E">
              <w:rPr>
                <w:rStyle w:val="Hipervnculo"/>
                <w:noProof/>
              </w:rPr>
              <w:t>3.3.8.</w:t>
            </w:r>
            <w:r w:rsidR="00185396">
              <w:rPr>
                <w:rFonts w:asciiTheme="minorHAnsi" w:eastAsiaTheme="minorEastAsia" w:hAnsiTheme="minorHAnsi"/>
                <w:noProof/>
                <w:sz w:val="22"/>
                <w:lang w:val="es-EC" w:eastAsia="es-EC"/>
              </w:rPr>
              <w:tab/>
            </w:r>
            <w:r w:rsidR="00185396" w:rsidRPr="00FD447E">
              <w:rPr>
                <w:rStyle w:val="Hipervnculo"/>
                <w:noProof/>
              </w:rPr>
              <w:t>Método de aplicación de fertilizantes fosfatados</w:t>
            </w:r>
            <w:r w:rsidR="00185396">
              <w:rPr>
                <w:noProof/>
                <w:webHidden/>
              </w:rPr>
              <w:tab/>
            </w:r>
            <w:r w:rsidR="00185396">
              <w:rPr>
                <w:noProof/>
                <w:webHidden/>
              </w:rPr>
              <w:fldChar w:fldCharType="begin"/>
            </w:r>
            <w:r w:rsidR="00185396">
              <w:rPr>
                <w:noProof/>
                <w:webHidden/>
              </w:rPr>
              <w:instrText xml:space="preserve"> PAGEREF _Toc80312258 \h </w:instrText>
            </w:r>
            <w:r w:rsidR="00185396">
              <w:rPr>
                <w:noProof/>
                <w:webHidden/>
              </w:rPr>
            </w:r>
            <w:r w:rsidR="00185396">
              <w:rPr>
                <w:noProof/>
                <w:webHidden/>
              </w:rPr>
              <w:fldChar w:fldCharType="separate"/>
            </w:r>
            <w:r w:rsidR="000D1F55">
              <w:rPr>
                <w:noProof/>
                <w:webHidden/>
              </w:rPr>
              <w:t>30</w:t>
            </w:r>
            <w:r w:rsidR="00185396">
              <w:rPr>
                <w:noProof/>
                <w:webHidden/>
              </w:rPr>
              <w:fldChar w:fldCharType="end"/>
            </w:r>
          </w:hyperlink>
        </w:p>
        <w:p w14:paraId="26B2BE5C" w14:textId="5E4A57FE" w:rsidR="00185396" w:rsidRDefault="00D23EF3">
          <w:pPr>
            <w:pStyle w:val="TDC3"/>
            <w:rPr>
              <w:rFonts w:asciiTheme="minorHAnsi" w:eastAsiaTheme="minorEastAsia" w:hAnsiTheme="minorHAnsi"/>
              <w:noProof/>
              <w:sz w:val="22"/>
              <w:lang w:val="es-EC" w:eastAsia="es-EC"/>
            </w:rPr>
          </w:pPr>
          <w:hyperlink w:anchor="_Toc80312259" w:history="1">
            <w:r w:rsidR="00185396" w:rsidRPr="00FD447E">
              <w:rPr>
                <w:rStyle w:val="Hipervnculo"/>
                <w:noProof/>
              </w:rPr>
              <w:t>3.3.9.</w:t>
            </w:r>
            <w:r w:rsidR="00185396">
              <w:rPr>
                <w:rFonts w:asciiTheme="minorHAnsi" w:eastAsiaTheme="minorEastAsia" w:hAnsiTheme="minorHAnsi"/>
                <w:noProof/>
                <w:sz w:val="22"/>
                <w:lang w:val="es-EC" w:eastAsia="es-EC"/>
              </w:rPr>
              <w:tab/>
            </w:r>
            <w:r w:rsidR="00185396" w:rsidRPr="00FD447E">
              <w:rPr>
                <w:rStyle w:val="Hipervnculo"/>
                <w:noProof/>
              </w:rPr>
              <w:t>Factores que afectan la disponibilidad del fósforo</w:t>
            </w:r>
            <w:r w:rsidR="00185396">
              <w:rPr>
                <w:noProof/>
                <w:webHidden/>
              </w:rPr>
              <w:tab/>
            </w:r>
            <w:r w:rsidR="00185396">
              <w:rPr>
                <w:noProof/>
                <w:webHidden/>
              </w:rPr>
              <w:fldChar w:fldCharType="begin"/>
            </w:r>
            <w:r w:rsidR="00185396">
              <w:rPr>
                <w:noProof/>
                <w:webHidden/>
              </w:rPr>
              <w:instrText xml:space="preserve"> PAGEREF _Toc80312259 \h </w:instrText>
            </w:r>
            <w:r w:rsidR="00185396">
              <w:rPr>
                <w:noProof/>
                <w:webHidden/>
              </w:rPr>
            </w:r>
            <w:r w:rsidR="00185396">
              <w:rPr>
                <w:noProof/>
                <w:webHidden/>
              </w:rPr>
              <w:fldChar w:fldCharType="separate"/>
            </w:r>
            <w:r w:rsidR="000D1F55">
              <w:rPr>
                <w:noProof/>
                <w:webHidden/>
              </w:rPr>
              <w:t>30</w:t>
            </w:r>
            <w:r w:rsidR="00185396">
              <w:rPr>
                <w:noProof/>
                <w:webHidden/>
              </w:rPr>
              <w:fldChar w:fldCharType="end"/>
            </w:r>
          </w:hyperlink>
        </w:p>
        <w:p w14:paraId="323D8DFD" w14:textId="63F02123" w:rsidR="00185396" w:rsidRDefault="00D23EF3">
          <w:pPr>
            <w:pStyle w:val="TDC3"/>
            <w:rPr>
              <w:rFonts w:asciiTheme="minorHAnsi" w:eastAsiaTheme="minorEastAsia" w:hAnsiTheme="minorHAnsi"/>
              <w:noProof/>
              <w:sz w:val="22"/>
              <w:lang w:val="es-EC" w:eastAsia="es-EC"/>
            </w:rPr>
          </w:pPr>
          <w:hyperlink w:anchor="_Toc80312260" w:history="1">
            <w:r w:rsidR="00185396" w:rsidRPr="00FD447E">
              <w:rPr>
                <w:rStyle w:val="Hipervnculo"/>
                <w:noProof/>
              </w:rPr>
              <w:t>3.3.10.</w:t>
            </w:r>
            <w:r w:rsidR="00185396">
              <w:rPr>
                <w:rFonts w:asciiTheme="minorHAnsi" w:eastAsiaTheme="minorEastAsia" w:hAnsiTheme="minorHAnsi"/>
                <w:noProof/>
                <w:sz w:val="22"/>
                <w:lang w:val="es-EC" w:eastAsia="es-EC"/>
              </w:rPr>
              <w:tab/>
            </w:r>
            <w:r w:rsidR="00185396" w:rsidRPr="00FD447E">
              <w:rPr>
                <w:rStyle w:val="Hipervnculo"/>
                <w:noProof/>
              </w:rPr>
              <w:t>Manejo de las dosis del fertilizante fosfatados</w:t>
            </w:r>
            <w:r w:rsidR="00185396">
              <w:rPr>
                <w:noProof/>
                <w:webHidden/>
              </w:rPr>
              <w:tab/>
            </w:r>
            <w:r w:rsidR="00185396">
              <w:rPr>
                <w:noProof/>
                <w:webHidden/>
              </w:rPr>
              <w:fldChar w:fldCharType="begin"/>
            </w:r>
            <w:r w:rsidR="00185396">
              <w:rPr>
                <w:noProof/>
                <w:webHidden/>
              </w:rPr>
              <w:instrText xml:space="preserve"> PAGEREF _Toc80312260 \h </w:instrText>
            </w:r>
            <w:r w:rsidR="00185396">
              <w:rPr>
                <w:noProof/>
                <w:webHidden/>
              </w:rPr>
            </w:r>
            <w:r w:rsidR="00185396">
              <w:rPr>
                <w:noProof/>
                <w:webHidden/>
              </w:rPr>
              <w:fldChar w:fldCharType="separate"/>
            </w:r>
            <w:r w:rsidR="000D1F55">
              <w:rPr>
                <w:noProof/>
                <w:webHidden/>
              </w:rPr>
              <w:t>31</w:t>
            </w:r>
            <w:r w:rsidR="00185396">
              <w:rPr>
                <w:noProof/>
                <w:webHidden/>
              </w:rPr>
              <w:fldChar w:fldCharType="end"/>
            </w:r>
          </w:hyperlink>
        </w:p>
        <w:p w14:paraId="7E7CF015" w14:textId="03842836" w:rsidR="00185396" w:rsidRDefault="00D23EF3">
          <w:pPr>
            <w:pStyle w:val="TDC3"/>
            <w:rPr>
              <w:rFonts w:asciiTheme="minorHAnsi" w:eastAsiaTheme="minorEastAsia" w:hAnsiTheme="minorHAnsi"/>
              <w:noProof/>
              <w:sz w:val="22"/>
              <w:lang w:val="es-EC" w:eastAsia="es-EC"/>
            </w:rPr>
          </w:pPr>
          <w:hyperlink w:anchor="_Toc80312261" w:history="1">
            <w:r w:rsidR="00185396" w:rsidRPr="00FD447E">
              <w:rPr>
                <w:rStyle w:val="Hipervnculo"/>
                <w:noProof/>
              </w:rPr>
              <w:t>3.3.11.</w:t>
            </w:r>
            <w:r w:rsidR="00185396">
              <w:rPr>
                <w:rFonts w:asciiTheme="minorHAnsi" w:eastAsiaTheme="minorEastAsia" w:hAnsiTheme="minorHAnsi"/>
                <w:noProof/>
                <w:sz w:val="22"/>
                <w:lang w:val="es-EC" w:eastAsia="es-EC"/>
              </w:rPr>
              <w:tab/>
            </w:r>
            <w:r w:rsidR="00185396" w:rsidRPr="00FD447E">
              <w:rPr>
                <w:rStyle w:val="Hipervnculo"/>
                <w:noProof/>
              </w:rPr>
              <w:t>Ubicación del fertilizante fosfatados</w:t>
            </w:r>
            <w:r w:rsidR="00185396">
              <w:rPr>
                <w:noProof/>
                <w:webHidden/>
              </w:rPr>
              <w:tab/>
            </w:r>
            <w:r w:rsidR="00185396">
              <w:rPr>
                <w:noProof/>
                <w:webHidden/>
              </w:rPr>
              <w:fldChar w:fldCharType="begin"/>
            </w:r>
            <w:r w:rsidR="00185396">
              <w:rPr>
                <w:noProof/>
                <w:webHidden/>
              </w:rPr>
              <w:instrText xml:space="preserve"> PAGEREF _Toc80312261 \h </w:instrText>
            </w:r>
            <w:r w:rsidR="00185396">
              <w:rPr>
                <w:noProof/>
                <w:webHidden/>
              </w:rPr>
            </w:r>
            <w:r w:rsidR="00185396">
              <w:rPr>
                <w:noProof/>
                <w:webHidden/>
              </w:rPr>
              <w:fldChar w:fldCharType="separate"/>
            </w:r>
            <w:r w:rsidR="000D1F55">
              <w:rPr>
                <w:noProof/>
                <w:webHidden/>
              </w:rPr>
              <w:t>32</w:t>
            </w:r>
            <w:r w:rsidR="00185396">
              <w:rPr>
                <w:noProof/>
                <w:webHidden/>
              </w:rPr>
              <w:fldChar w:fldCharType="end"/>
            </w:r>
          </w:hyperlink>
        </w:p>
        <w:p w14:paraId="1A135948" w14:textId="366FD5D8" w:rsidR="00185396" w:rsidRDefault="00D23EF3">
          <w:pPr>
            <w:pStyle w:val="TDC3"/>
            <w:rPr>
              <w:rFonts w:asciiTheme="minorHAnsi" w:eastAsiaTheme="minorEastAsia" w:hAnsiTheme="minorHAnsi"/>
              <w:noProof/>
              <w:sz w:val="22"/>
              <w:lang w:val="es-EC" w:eastAsia="es-EC"/>
            </w:rPr>
          </w:pPr>
          <w:hyperlink w:anchor="_Toc80312262" w:history="1">
            <w:r w:rsidR="00185396" w:rsidRPr="00FD447E">
              <w:rPr>
                <w:rStyle w:val="Hipervnculo"/>
                <w:noProof/>
              </w:rPr>
              <w:t>3.3.12.</w:t>
            </w:r>
            <w:r w:rsidR="00185396">
              <w:rPr>
                <w:rFonts w:asciiTheme="minorHAnsi" w:eastAsiaTheme="minorEastAsia" w:hAnsiTheme="minorHAnsi"/>
                <w:noProof/>
                <w:sz w:val="22"/>
                <w:lang w:val="es-EC" w:eastAsia="es-EC"/>
              </w:rPr>
              <w:tab/>
            </w:r>
            <w:r w:rsidR="00185396" w:rsidRPr="00FD447E">
              <w:rPr>
                <w:rStyle w:val="Hipervnculo"/>
                <w:noProof/>
              </w:rPr>
              <w:t>Contenido de fósforo en el suelo</w:t>
            </w:r>
            <w:r w:rsidR="00185396">
              <w:rPr>
                <w:noProof/>
                <w:webHidden/>
              </w:rPr>
              <w:tab/>
            </w:r>
            <w:r w:rsidR="00185396">
              <w:rPr>
                <w:noProof/>
                <w:webHidden/>
              </w:rPr>
              <w:fldChar w:fldCharType="begin"/>
            </w:r>
            <w:r w:rsidR="00185396">
              <w:rPr>
                <w:noProof/>
                <w:webHidden/>
              </w:rPr>
              <w:instrText xml:space="preserve"> PAGEREF _Toc80312262 \h </w:instrText>
            </w:r>
            <w:r w:rsidR="00185396">
              <w:rPr>
                <w:noProof/>
                <w:webHidden/>
              </w:rPr>
            </w:r>
            <w:r w:rsidR="00185396">
              <w:rPr>
                <w:noProof/>
                <w:webHidden/>
              </w:rPr>
              <w:fldChar w:fldCharType="separate"/>
            </w:r>
            <w:r w:rsidR="000D1F55">
              <w:rPr>
                <w:noProof/>
                <w:webHidden/>
              </w:rPr>
              <w:t>32</w:t>
            </w:r>
            <w:r w:rsidR="00185396">
              <w:rPr>
                <w:noProof/>
                <w:webHidden/>
              </w:rPr>
              <w:fldChar w:fldCharType="end"/>
            </w:r>
          </w:hyperlink>
        </w:p>
        <w:p w14:paraId="7354D82D" w14:textId="6A8363E5" w:rsidR="00185396" w:rsidRDefault="00D23EF3">
          <w:pPr>
            <w:pStyle w:val="TDC3"/>
            <w:rPr>
              <w:rFonts w:asciiTheme="minorHAnsi" w:eastAsiaTheme="minorEastAsia" w:hAnsiTheme="minorHAnsi"/>
              <w:noProof/>
              <w:sz w:val="22"/>
              <w:lang w:val="es-EC" w:eastAsia="es-EC"/>
            </w:rPr>
          </w:pPr>
          <w:hyperlink w:anchor="_Toc80312263" w:history="1">
            <w:r w:rsidR="00185396" w:rsidRPr="00FD447E">
              <w:rPr>
                <w:rStyle w:val="Hipervnculo"/>
                <w:noProof/>
              </w:rPr>
              <w:t>3.3.13.</w:t>
            </w:r>
            <w:r w:rsidR="00185396">
              <w:rPr>
                <w:rFonts w:asciiTheme="minorHAnsi" w:eastAsiaTheme="minorEastAsia" w:hAnsiTheme="minorHAnsi"/>
                <w:noProof/>
                <w:sz w:val="22"/>
                <w:lang w:val="es-EC" w:eastAsia="es-EC"/>
              </w:rPr>
              <w:tab/>
            </w:r>
            <w:r w:rsidR="00185396" w:rsidRPr="00FD447E">
              <w:rPr>
                <w:rStyle w:val="Hipervnculo"/>
                <w:noProof/>
              </w:rPr>
              <w:t>Deficiencia de fósforo en la planta de maíz</w:t>
            </w:r>
            <w:r w:rsidR="00185396">
              <w:rPr>
                <w:noProof/>
                <w:webHidden/>
              </w:rPr>
              <w:tab/>
            </w:r>
            <w:r w:rsidR="00185396">
              <w:rPr>
                <w:noProof/>
                <w:webHidden/>
              </w:rPr>
              <w:fldChar w:fldCharType="begin"/>
            </w:r>
            <w:r w:rsidR="00185396">
              <w:rPr>
                <w:noProof/>
                <w:webHidden/>
              </w:rPr>
              <w:instrText xml:space="preserve"> PAGEREF _Toc80312263 \h </w:instrText>
            </w:r>
            <w:r w:rsidR="00185396">
              <w:rPr>
                <w:noProof/>
                <w:webHidden/>
              </w:rPr>
            </w:r>
            <w:r w:rsidR="00185396">
              <w:rPr>
                <w:noProof/>
                <w:webHidden/>
              </w:rPr>
              <w:fldChar w:fldCharType="separate"/>
            </w:r>
            <w:r w:rsidR="000D1F55">
              <w:rPr>
                <w:noProof/>
                <w:webHidden/>
              </w:rPr>
              <w:t>33</w:t>
            </w:r>
            <w:r w:rsidR="00185396">
              <w:rPr>
                <w:noProof/>
                <w:webHidden/>
              </w:rPr>
              <w:fldChar w:fldCharType="end"/>
            </w:r>
          </w:hyperlink>
        </w:p>
        <w:p w14:paraId="18F618F5" w14:textId="7AA15543" w:rsidR="00185396" w:rsidRDefault="00D23EF3">
          <w:pPr>
            <w:pStyle w:val="TDC2"/>
            <w:rPr>
              <w:rFonts w:asciiTheme="minorHAnsi" w:eastAsiaTheme="minorEastAsia" w:hAnsiTheme="minorHAnsi"/>
              <w:noProof/>
              <w:sz w:val="22"/>
              <w:lang w:val="es-EC" w:eastAsia="es-EC"/>
            </w:rPr>
          </w:pPr>
          <w:hyperlink w:anchor="_Toc80312264" w:history="1">
            <w:r w:rsidR="00185396" w:rsidRPr="00FD447E">
              <w:rPr>
                <w:rStyle w:val="Hipervnculo"/>
                <w:noProof/>
              </w:rPr>
              <w:t>3.4.</w:t>
            </w:r>
            <w:r w:rsidR="00185396">
              <w:rPr>
                <w:rFonts w:asciiTheme="minorHAnsi" w:eastAsiaTheme="minorEastAsia" w:hAnsiTheme="minorHAnsi"/>
                <w:noProof/>
                <w:sz w:val="22"/>
                <w:lang w:val="es-EC" w:eastAsia="es-EC"/>
              </w:rPr>
              <w:tab/>
            </w:r>
            <w:r w:rsidR="00185396" w:rsidRPr="00FD447E">
              <w:rPr>
                <w:rStyle w:val="Hipervnculo"/>
                <w:noProof/>
              </w:rPr>
              <w:t>Potasio (K)</w:t>
            </w:r>
            <w:r w:rsidR="00185396">
              <w:rPr>
                <w:noProof/>
                <w:webHidden/>
              </w:rPr>
              <w:tab/>
            </w:r>
            <w:r w:rsidR="00185396">
              <w:rPr>
                <w:noProof/>
                <w:webHidden/>
              </w:rPr>
              <w:fldChar w:fldCharType="begin"/>
            </w:r>
            <w:r w:rsidR="00185396">
              <w:rPr>
                <w:noProof/>
                <w:webHidden/>
              </w:rPr>
              <w:instrText xml:space="preserve"> PAGEREF _Toc80312264 \h </w:instrText>
            </w:r>
            <w:r w:rsidR="00185396">
              <w:rPr>
                <w:noProof/>
                <w:webHidden/>
              </w:rPr>
            </w:r>
            <w:r w:rsidR="00185396">
              <w:rPr>
                <w:noProof/>
                <w:webHidden/>
              </w:rPr>
              <w:fldChar w:fldCharType="separate"/>
            </w:r>
            <w:r w:rsidR="000D1F55">
              <w:rPr>
                <w:noProof/>
                <w:webHidden/>
              </w:rPr>
              <w:t>33</w:t>
            </w:r>
            <w:r w:rsidR="00185396">
              <w:rPr>
                <w:noProof/>
                <w:webHidden/>
              </w:rPr>
              <w:fldChar w:fldCharType="end"/>
            </w:r>
          </w:hyperlink>
        </w:p>
        <w:p w14:paraId="342823FB" w14:textId="2EDEB46F" w:rsidR="00185396" w:rsidRDefault="00D23EF3">
          <w:pPr>
            <w:pStyle w:val="TDC3"/>
            <w:rPr>
              <w:rFonts w:asciiTheme="minorHAnsi" w:eastAsiaTheme="minorEastAsia" w:hAnsiTheme="minorHAnsi"/>
              <w:noProof/>
              <w:sz w:val="22"/>
              <w:lang w:val="es-EC" w:eastAsia="es-EC"/>
            </w:rPr>
          </w:pPr>
          <w:hyperlink w:anchor="_Toc80312265" w:history="1">
            <w:r w:rsidR="00185396" w:rsidRPr="00FD447E">
              <w:rPr>
                <w:rStyle w:val="Hipervnculo"/>
                <w:noProof/>
              </w:rPr>
              <w:t>3.4.1.</w:t>
            </w:r>
            <w:r w:rsidR="00185396">
              <w:rPr>
                <w:rFonts w:asciiTheme="minorHAnsi" w:eastAsiaTheme="minorEastAsia" w:hAnsiTheme="minorHAnsi"/>
                <w:noProof/>
                <w:sz w:val="22"/>
                <w:lang w:val="es-EC" w:eastAsia="es-EC"/>
              </w:rPr>
              <w:tab/>
            </w:r>
            <w:r w:rsidR="00185396" w:rsidRPr="00FD447E">
              <w:rPr>
                <w:rStyle w:val="Hipervnculo"/>
                <w:noProof/>
              </w:rPr>
              <w:t>Época y forma de aplicación del potasio</w:t>
            </w:r>
            <w:r w:rsidR="00185396">
              <w:rPr>
                <w:noProof/>
                <w:webHidden/>
              </w:rPr>
              <w:tab/>
            </w:r>
            <w:r w:rsidR="00185396">
              <w:rPr>
                <w:noProof/>
                <w:webHidden/>
              </w:rPr>
              <w:fldChar w:fldCharType="begin"/>
            </w:r>
            <w:r w:rsidR="00185396">
              <w:rPr>
                <w:noProof/>
                <w:webHidden/>
              </w:rPr>
              <w:instrText xml:space="preserve"> PAGEREF _Toc80312265 \h </w:instrText>
            </w:r>
            <w:r w:rsidR="00185396">
              <w:rPr>
                <w:noProof/>
                <w:webHidden/>
              </w:rPr>
            </w:r>
            <w:r w:rsidR="00185396">
              <w:rPr>
                <w:noProof/>
                <w:webHidden/>
              </w:rPr>
              <w:fldChar w:fldCharType="separate"/>
            </w:r>
            <w:r w:rsidR="000D1F55">
              <w:rPr>
                <w:noProof/>
                <w:webHidden/>
              </w:rPr>
              <w:t>33</w:t>
            </w:r>
            <w:r w:rsidR="00185396">
              <w:rPr>
                <w:noProof/>
                <w:webHidden/>
              </w:rPr>
              <w:fldChar w:fldCharType="end"/>
            </w:r>
          </w:hyperlink>
        </w:p>
        <w:p w14:paraId="02F917C6" w14:textId="545E9190" w:rsidR="00185396" w:rsidRDefault="00D23EF3">
          <w:pPr>
            <w:pStyle w:val="TDC3"/>
            <w:rPr>
              <w:rFonts w:asciiTheme="minorHAnsi" w:eastAsiaTheme="minorEastAsia" w:hAnsiTheme="minorHAnsi"/>
              <w:noProof/>
              <w:sz w:val="22"/>
              <w:lang w:val="es-EC" w:eastAsia="es-EC"/>
            </w:rPr>
          </w:pPr>
          <w:hyperlink w:anchor="_Toc80312266" w:history="1">
            <w:r w:rsidR="00185396" w:rsidRPr="00FD447E">
              <w:rPr>
                <w:rStyle w:val="Hipervnculo"/>
                <w:noProof/>
              </w:rPr>
              <w:t>3.4.2.</w:t>
            </w:r>
            <w:r w:rsidR="00185396">
              <w:rPr>
                <w:rFonts w:asciiTheme="minorHAnsi" w:eastAsiaTheme="minorEastAsia" w:hAnsiTheme="minorHAnsi"/>
                <w:noProof/>
                <w:sz w:val="22"/>
                <w:lang w:val="es-EC" w:eastAsia="es-EC"/>
              </w:rPr>
              <w:tab/>
            </w:r>
            <w:r w:rsidR="00185396" w:rsidRPr="00FD447E">
              <w:rPr>
                <w:rStyle w:val="Hipervnculo"/>
                <w:noProof/>
              </w:rPr>
              <w:t>Funciones del potasio en la planta</w:t>
            </w:r>
            <w:r w:rsidR="00185396">
              <w:rPr>
                <w:noProof/>
                <w:webHidden/>
              </w:rPr>
              <w:tab/>
            </w:r>
            <w:r w:rsidR="00185396">
              <w:rPr>
                <w:noProof/>
                <w:webHidden/>
              </w:rPr>
              <w:fldChar w:fldCharType="begin"/>
            </w:r>
            <w:r w:rsidR="00185396">
              <w:rPr>
                <w:noProof/>
                <w:webHidden/>
              </w:rPr>
              <w:instrText xml:space="preserve"> PAGEREF _Toc80312266 \h </w:instrText>
            </w:r>
            <w:r w:rsidR="00185396">
              <w:rPr>
                <w:noProof/>
                <w:webHidden/>
              </w:rPr>
            </w:r>
            <w:r w:rsidR="00185396">
              <w:rPr>
                <w:noProof/>
                <w:webHidden/>
              </w:rPr>
              <w:fldChar w:fldCharType="separate"/>
            </w:r>
            <w:r w:rsidR="000D1F55">
              <w:rPr>
                <w:noProof/>
                <w:webHidden/>
              </w:rPr>
              <w:t>34</w:t>
            </w:r>
            <w:r w:rsidR="00185396">
              <w:rPr>
                <w:noProof/>
                <w:webHidden/>
              </w:rPr>
              <w:fldChar w:fldCharType="end"/>
            </w:r>
          </w:hyperlink>
        </w:p>
        <w:p w14:paraId="2911B443" w14:textId="5548E9E5" w:rsidR="00185396" w:rsidRDefault="00D23EF3">
          <w:pPr>
            <w:pStyle w:val="TDC3"/>
            <w:rPr>
              <w:rFonts w:asciiTheme="minorHAnsi" w:eastAsiaTheme="minorEastAsia" w:hAnsiTheme="minorHAnsi"/>
              <w:noProof/>
              <w:sz w:val="22"/>
              <w:lang w:val="es-EC" w:eastAsia="es-EC"/>
            </w:rPr>
          </w:pPr>
          <w:hyperlink w:anchor="_Toc80312267" w:history="1">
            <w:r w:rsidR="00185396" w:rsidRPr="00FD447E">
              <w:rPr>
                <w:rStyle w:val="Hipervnculo"/>
                <w:noProof/>
              </w:rPr>
              <w:t>3.4.3.</w:t>
            </w:r>
            <w:r w:rsidR="00185396">
              <w:rPr>
                <w:rFonts w:asciiTheme="minorHAnsi" w:eastAsiaTheme="minorEastAsia" w:hAnsiTheme="minorHAnsi"/>
                <w:noProof/>
                <w:sz w:val="22"/>
                <w:lang w:val="es-EC" w:eastAsia="es-EC"/>
              </w:rPr>
              <w:tab/>
            </w:r>
            <w:r w:rsidR="00185396" w:rsidRPr="00FD447E">
              <w:rPr>
                <w:rStyle w:val="Hipervnculo"/>
                <w:noProof/>
              </w:rPr>
              <w:t>Disponibilidad de potasio en los suelos</w:t>
            </w:r>
            <w:r w:rsidR="00185396">
              <w:rPr>
                <w:noProof/>
                <w:webHidden/>
              </w:rPr>
              <w:tab/>
            </w:r>
            <w:r w:rsidR="00185396">
              <w:rPr>
                <w:noProof/>
                <w:webHidden/>
              </w:rPr>
              <w:fldChar w:fldCharType="begin"/>
            </w:r>
            <w:r w:rsidR="00185396">
              <w:rPr>
                <w:noProof/>
                <w:webHidden/>
              </w:rPr>
              <w:instrText xml:space="preserve"> PAGEREF _Toc80312267 \h </w:instrText>
            </w:r>
            <w:r w:rsidR="00185396">
              <w:rPr>
                <w:noProof/>
                <w:webHidden/>
              </w:rPr>
            </w:r>
            <w:r w:rsidR="00185396">
              <w:rPr>
                <w:noProof/>
                <w:webHidden/>
              </w:rPr>
              <w:fldChar w:fldCharType="separate"/>
            </w:r>
            <w:r w:rsidR="000D1F55">
              <w:rPr>
                <w:noProof/>
                <w:webHidden/>
              </w:rPr>
              <w:t>34</w:t>
            </w:r>
            <w:r w:rsidR="00185396">
              <w:rPr>
                <w:noProof/>
                <w:webHidden/>
              </w:rPr>
              <w:fldChar w:fldCharType="end"/>
            </w:r>
          </w:hyperlink>
        </w:p>
        <w:p w14:paraId="273D4410" w14:textId="1CCDF4F8" w:rsidR="00185396" w:rsidRDefault="00D23EF3">
          <w:pPr>
            <w:pStyle w:val="TDC3"/>
            <w:rPr>
              <w:rFonts w:asciiTheme="minorHAnsi" w:eastAsiaTheme="minorEastAsia" w:hAnsiTheme="minorHAnsi"/>
              <w:noProof/>
              <w:sz w:val="22"/>
              <w:lang w:val="es-EC" w:eastAsia="es-EC"/>
            </w:rPr>
          </w:pPr>
          <w:hyperlink w:anchor="_Toc80312268" w:history="1">
            <w:r w:rsidR="00185396" w:rsidRPr="00FD447E">
              <w:rPr>
                <w:rStyle w:val="Hipervnculo"/>
                <w:noProof/>
              </w:rPr>
              <w:t>3.4.4.</w:t>
            </w:r>
            <w:r w:rsidR="00185396">
              <w:rPr>
                <w:rFonts w:asciiTheme="minorHAnsi" w:eastAsiaTheme="minorEastAsia" w:hAnsiTheme="minorHAnsi"/>
                <w:noProof/>
                <w:sz w:val="22"/>
                <w:lang w:val="es-EC" w:eastAsia="es-EC"/>
              </w:rPr>
              <w:tab/>
            </w:r>
            <w:r w:rsidR="00185396" w:rsidRPr="00FD447E">
              <w:rPr>
                <w:rStyle w:val="Hipervnculo"/>
                <w:noProof/>
              </w:rPr>
              <w:t>Deficiencia de potasio en la planta</w:t>
            </w:r>
            <w:r w:rsidR="00185396">
              <w:rPr>
                <w:noProof/>
                <w:webHidden/>
              </w:rPr>
              <w:tab/>
            </w:r>
            <w:r w:rsidR="00185396">
              <w:rPr>
                <w:noProof/>
                <w:webHidden/>
              </w:rPr>
              <w:fldChar w:fldCharType="begin"/>
            </w:r>
            <w:r w:rsidR="00185396">
              <w:rPr>
                <w:noProof/>
                <w:webHidden/>
              </w:rPr>
              <w:instrText xml:space="preserve"> PAGEREF _Toc80312268 \h </w:instrText>
            </w:r>
            <w:r w:rsidR="00185396">
              <w:rPr>
                <w:noProof/>
                <w:webHidden/>
              </w:rPr>
            </w:r>
            <w:r w:rsidR="00185396">
              <w:rPr>
                <w:noProof/>
                <w:webHidden/>
              </w:rPr>
              <w:fldChar w:fldCharType="separate"/>
            </w:r>
            <w:r w:rsidR="000D1F55">
              <w:rPr>
                <w:noProof/>
                <w:webHidden/>
              </w:rPr>
              <w:t>34</w:t>
            </w:r>
            <w:r w:rsidR="00185396">
              <w:rPr>
                <w:noProof/>
                <w:webHidden/>
              </w:rPr>
              <w:fldChar w:fldCharType="end"/>
            </w:r>
          </w:hyperlink>
        </w:p>
        <w:p w14:paraId="7468DC7F" w14:textId="1BAF9B27" w:rsidR="00185396" w:rsidRDefault="00D23EF3">
          <w:pPr>
            <w:pStyle w:val="TDC3"/>
            <w:rPr>
              <w:rFonts w:asciiTheme="minorHAnsi" w:eastAsiaTheme="minorEastAsia" w:hAnsiTheme="minorHAnsi"/>
              <w:noProof/>
              <w:sz w:val="22"/>
              <w:lang w:val="es-EC" w:eastAsia="es-EC"/>
            </w:rPr>
          </w:pPr>
          <w:hyperlink w:anchor="_Toc80312269" w:history="1">
            <w:r w:rsidR="00185396" w:rsidRPr="00FD447E">
              <w:rPr>
                <w:rStyle w:val="Hipervnculo"/>
                <w:noProof/>
              </w:rPr>
              <w:t>3.4.5.</w:t>
            </w:r>
            <w:r w:rsidR="00185396">
              <w:rPr>
                <w:rFonts w:asciiTheme="minorHAnsi" w:eastAsiaTheme="minorEastAsia" w:hAnsiTheme="minorHAnsi"/>
                <w:noProof/>
                <w:sz w:val="22"/>
                <w:lang w:val="es-EC" w:eastAsia="es-EC"/>
              </w:rPr>
              <w:tab/>
            </w:r>
            <w:r w:rsidR="00185396" w:rsidRPr="00FD447E">
              <w:rPr>
                <w:rStyle w:val="Hipervnculo"/>
                <w:noProof/>
              </w:rPr>
              <w:t>Potasio aprovechado por el maíz</w:t>
            </w:r>
            <w:r w:rsidR="00185396">
              <w:rPr>
                <w:noProof/>
                <w:webHidden/>
              </w:rPr>
              <w:tab/>
            </w:r>
            <w:r w:rsidR="00185396">
              <w:rPr>
                <w:noProof/>
                <w:webHidden/>
              </w:rPr>
              <w:fldChar w:fldCharType="begin"/>
            </w:r>
            <w:r w:rsidR="00185396">
              <w:rPr>
                <w:noProof/>
                <w:webHidden/>
              </w:rPr>
              <w:instrText xml:space="preserve"> PAGEREF _Toc80312269 \h </w:instrText>
            </w:r>
            <w:r w:rsidR="00185396">
              <w:rPr>
                <w:noProof/>
                <w:webHidden/>
              </w:rPr>
            </w:r>
            <w:r w:rsidR="00185396">
              <w:rPr>
                <w:noProof/>
                <w:webHidden/>
              </w:rPr>
              <w:fldChar w:fldCharType="separate"/>
            </w:r>
            <w:r w:rsidR="000D1F55">
              <w:rPr>
                <w:noProof/>
                <w:webHidden/>
              </w:rPr>
              <w:t>35</w:t>
            </w:r>
            <w:r w:rsidR="00185396">
              <w:rPr>
                <w:noProof/>
                <w:webHidden/>
              </w:rPr>
              <w:fldChar w:fldCharType="end"/>
            </w:r>
          </w:hyperlink>
        </w:p>
        <w:p w14:paraId="75DFE74C" w14:textId="384CA3B1" w:rsidR="00185396" w:rsidRDefault="00D23EF3">
          <w:pPr>
            <w:pStyle w:val="TDC3"/>
            <w:rPr>
              <w:rFonts w:asciiTheme="minorHAnsi" w:eastAsiaTheme="minorEastAsia" w:hAnsiTheme="minorHAnsi"/>
              <w:noProof/>
              <w:sz w:val="22"/>
              <w:lang w:val="es-EC" w:eastAsia="es-EC"/>
            </w:rPr>
          </w:pPr>
          <w:hyperlink w:anchor="_Toc80312270" w:history="1">
            <w:r w:rsidR="00185396" w:rsidRPr="00FD447E">
              <w:rPr>
                <w:rStyle w:val="Hipervnculo"/>
                <w:noProof/>
              </w:rPr>
              <w:t>3.4.6.</w:t>
            </w:r>
            <w:r w:rsidR="00185396">
              <w:rPr>
                <w:rFonts w:asciiTheme="minorHAnsi" w:eastAsiaTheme="minorEastAsia" w:hAnsiTheme="minorHAnsi"/>
                <w:noProof/>
                <w:sz w:val="22"/>
                <w:lang w:val="es-EC" w:eastAsia="es-EC"/>
              </w:rPr>
              <w:tab/>
            </w:r>
            <w:r w:rsidR="00185396" w:rsidRPr="00FD447E">
              <w:rPr>
                <w:rStyle w:val="Hipervnculo"/>
                <w:noProof/>
              </w:rPr>
              <w:t>Formas del potasio en el suelo</w:t>
            </w:r>
            <w:r w:rsidR="00185396">
              <w:rPr>
                <w:noProof/>
                <w:webHidden/>
              </w:rPr>
              <w:tab/>
            </w:r>
            <w:r w:rsidR="00185396">
              <w:rPr>
                <w:noProof/>
                <w:webHidden/>
              </w:rPr>
              <w:fldChar w:fldCharType="begin"/>
            </w:r>
            <w:r w:rsidR="00185396">
              <w:rPr>
                <w:noProof/>
                <w:webHidden/>
              </w:rPr>
              <w:instrText xml:space="preserve"> PAGEREF _Toc80312270 \h </w:instrText>
            </w:r>
            <w:r w:rsidR="00185396">
              <w:rPr>
                <w:noProof/>
                <w:webHidden/>
              </w:rPr>
            </w:r>
            <w:r w:rsidR="00185396">
              <w:rPr>
                <w:noProof/>
                <w:webHidden/>
              </w:rPr>
              <w:fldChar w:fldCharType="separate"/>
            </w:r>
            <w:r w:rsidR="000D1F55">
              <w:rPr>
                <w:noProof/>
                <w:webHidden/>
              </w:rPr>
              <w:t>35</w:t>
            </w:r>
            <w:r w:rsidR="00185396">
              <w:rPr>
                <w:noProof/>
                <w:webHidden/>
              </w:rPr>
              <w:fldChar w:fldCharType="end"/>
            </w:r>
          </w:hyperlink>
        </w:p>
        <w:p w14:paraId="29B955DB" w14:textId="3659AF4B" w:rsidR="00185396" w:rsidRDefault="00D23EF3">
          <w:pPr>
            <w:pStyle w:val="TDC3"/>
            <w:rPr>
              <w:rFonts w:asciiTheme="minorHAnsi" w:eastAsiaTheme="minorEastAsia" w:hAnsiTheme="minorHAnsi"/>
              <w:noProof/>
              <w:sz w:val="22"/>
              <w:lang w:val="es-EC" w:eastAsia="es-EC"/>
            </w:rPr>
          </w:pPr>
          <w:hyperlink w:anchor="_Toc80312271" w:history="1">
            <w:r w:rsidR="00185396" w:rsidRPr="00FD447E">
              <w:rPr>
                <w:rStyle w:val="Hipervnculo"/>
                <w:noProof/>
              </w:rPr>
              <w:t>3.4.7.</w:t>
            </w:r>
            <w:r w:rsidR="00185396">
              <w:rPr>
                <w:rFonts w:asciiTheme="minorHAnsi" w:eastAsiaTheme="minorEastAsia" w:hAnsiTheme="minorHAnsi"/>
                <w:noProof/>
                <w:sz w:val="22"/>
                <w:lang w:val="es-EC" w:eastAsia="es-EC"/>
              </w:rPr>
              <w:tab/>
            </w:r>
            <w:r w:rsidR="00185396" w:rsidRPr="00FD447E">
              <w:rPr>
                <w:rStyle w:val="Hipervnculo"/>
                <w:noProof/>
              </w:rPr>
              <w:t>Absorción de potasio por las plantas</w:t>
            </w:r>
            <w:r w:rsidR="00185396">
              <w:rPr>
                <w:noProof/>
                <w:webHidden/>
              </w:rPr>
              <w:tab/>
            </w:r>
            <w:r w:rsidR="00185396">
              <w:rPr>
                <w:noProof/>
                <w:webHidden/>
              </w:rPr>
              <w:fldChar w:fldCharType="begin"/>
            </w:r>
            <w:r w:rsidR="00185396">
              <w:rPr>
                <w:noProof/>
                <w:webHidden/>
              </w:rPr>
              <w:instrText xml:space="preserve"> PAGEREF _Toc80312271 \h </w:instrText>
            </w:r>
            <w:r w:rsidR="00185396">
              <w:rPr>
                <w:noProof/>
                <w:webHidden/>
              </w:rPr>
            </w:r>
            <w:r w:rsidR="00185396">
              <w:rPr>
                <w:noProof/>
                <w:webHidden/>
              </w:rPr>
              <w:fldChar w:fldCharType="separate"/>
            </w:r>
            <w:r w:rsidR="000D1F55">
              <w:rPr>
                <w:noProof/>
                <w:webHidden/>
              </w:rPr>
              <w:t>35</w:t>
            </w:r>
            <w:r w:rsidR="00185396">
              <w:rPr>
                <w:noProof/>
                <w:webHidden/>
              </w:rPr>
              <w:fldChar w:fldCharType="end"/>
            </w:r>
          </w:hyperlink>
        </w:p>
        <w:p w14:paraId="461F8727" w14:textId="798D2306" w:rsidR="00185396" w:rsidRDefault="00D23EF3">
          <w:pPr>
            <w:pStyle w:val="TDC3"/>
            <w:rPr>
              <w:rFonts w:asciiTheme="minorHAnsi" w:eastAsiaTheme="minorEastAsia" w:hAnsiTheme="minorHAnsi"/>
              <w:noProof/>
              <w:sz w:val="22"/>
              <w:lang w:val="es-EC" w:eastAsia="es-EC"/>
            </w:rPr>
          </w:pPr>
          <w:hyperlink w:anchor="_Toc80312272" w:history="1">
            <w:r w:rsidR="00185396" w:rsidRPr="00FD447E">
              <w:rPr>
                <w:rStyle w:val="Hipervnculo"/>
                <w:noProof/>
              </w:rPr>
              <w:t>3.4.8.</w:t>
            </w:r>
            <w:r w:rsidR="00185396">
              <w:rPr>
                <w:rFonts w:asciiTheme="minorHAnsi" w:eastAsiaTheme="minorEastAsia" w:hAnsiTheme="minorHAnsi"/>
                <w:noProof/>
                <w:sz w:val="22"/>
                <w:lang w:val="es-EC" w:eastAsia="es-EC"/>
              </w:rPr>
              <w:tab/>
            </w:r>
            <w:r w:rsidR="00185396" w:rsidRPr="00FD447E">
              <w:rPr>
                <w:rStyle w:val="Hipervnculo"/>
                <w:noProof/>
              </w:rPr>
              <w:t>Movimiento del potasio en el suelo</w:t>
            </w:r>
            <w:r w:rsidR="00185396">
              <w:rPr>
                <w:noProof/>
                <w:webHidden/>
              </w:rPr>
              <w:tab/>
            </w:r>
            <w:r w:rsidR="00185396">
              <w:rPr>
                <w:noProof/>
                <w:webHidden/>
              </w:rPr>
              <w:fldChar w:fldCharType="begin"/>
            </w:r>
            <w:r w:rsidR="00185396">
              <w:rPr>
                <w:noProof/>
                <w:webHidden/>
              </w:rPr>
              <w:instrText xml:space="preserve"> PAGEREF _Toc80312272 \h </w:instrText>
            </w:r>
            <w:r w:rsidR="00185396">
              <w:rPr>
                <w:noProof/>
                <w:webHidden/>
              </w:rPr>
            </w:r>
            <w:r w:rsidR="00185396">
              <w:rPr>
                <w:noProof/>
                <w:webHidden/>
              </w:rPr>
              <w:fldChar w:fldCharType="separate"/>
            </w:r>
            <w:r w:rsidR="000D1F55">
              <w:rPr>
                <w:noProof/>
                <w:webHidden/>
              </w:rPr>
              <w:t>36</w:t>
            </w:r>
            <w:r w:rsidR="00185396">
              <w:rPr>
                <w:noProof/>
                <w:webHidden/>
              </w:rPr>
              <w:fldChar w:fldCharType="end"/>
            </w:r>
          </w:hyperlink>
        </w:p>
        <w:p w14:paraId="4290BFC8" w14:textId="3DB198D5" w:rsidR="00185396" w:rsidRDefault="00D23EF3">
          <w:pPr>
            <w:pStyle w:val="TDC3"/>
            <w:rPr>
              <w:rFonts w:asciiTheme="minorHAnsi" w:eastAsiaTheme="minorEastAsia" w:hAnsiTheme="minorHAnsi"/>
              <w:noProof/>
              <w:sz w:val="22"/>
              <w:lang w:val="es-EC" w:eastAsia="es-EC"/>
            </w:rPr>
          </w:pPr>
          <w:hyperlink w:anchor="_Toc80312273" w:history="1">
            <w:r w:rsidR="00185396" w:rsidRPr="00FD447E">
              <w:rPr>
                <w:rStyle w:val="Hipervnculo"/>
                <w:noProof/>
              </w:rPr>
              <w:t>3.4.9.</w:t>
            </w:r>
            <w:r w:rsidR="00185396">
              <w:rPr>
                <w:rFonts w:asciiTheme="minorHAnsi" w:eastAsiaTheme="minorEastAsia" w:hAnsiTheme="minorHAnsi"/>
                <w:noProof/>
                <w:sz w:val="22"/>
                <w:lang w:val="es-EC" w:eastAsia="es-EC"/>
              </w:rPr>
              <w:tab/>
            </w:r>
            <w:r w:rsidR="00185396" w:rsidRPr="00FD447E">
              <w:rPr>
                <w:rStyle w:val="Hipervnculo"/>
                <w:noProof/>
              </w:rPr>
              <w:t>Factores que afectan el equilibrio del potasio en el suelo</w:t>
            </w:r>
            <w:r w:rsidR="00185396">
              <w:rPr>
                <w:noProof/>
                <w:webHidden/>
              </w:rPr>
              <w:tab/>
            </w:r>
            <w:r w:rsidR="00185396">
              <w:rPr>
                <w:noProof/>
                <w:webHidden/>
              </w:rPr>
              <w:fldChar w:fldCharType="begin"/>
            </w:r>
            <w:r w:rsidR="00185396">
              <w:rPr>
                <w:noProof/>
                <w:webHidden/>
              </w:rPr>
              <w:instrText xml:space="preserve"> PAGEREF _Toc80312273 \h </w:instrText>
            </w:r>
            <w:r w:rsidR="00185396">
              <w:rPr>
                <w:noProof/>
                <w:webHidden/>
              </w:rPr>
            </w:r>
            <w:r w:rsidR="00185396">
              <w:rPr>
                <w:noProof/>
                <w:webHidden/>
              </w:rPr>
              <w:fldChar w:fldCharType="separate"/>
            </w:r>
            <w:r w:rsidR="000D1F55">
              <w:rPr>
                <w:noProof/>
                <w:webHidden/>
              </w:rPr>
              <w:t>36</w:t>
            </w:r>
            <w:r w:rsidR="00185396">
              <w:rPr>
                <w:noProof/>
                <w:webHidden/>
              </w:rPr>
              <w:fldChar w:fldCharType="end"/>
            </w:r>
          </w:hyperlink>
        </w:p>
        <w:p w14:paraId="461A229D" w14:textId="166731B3" w:rsidR="00185396" w:rsidRDefault="00D23EF3">
          <w:pPr>
            <w:pStyle w:val="TDC3"/>
            <w:rPr>
              <w:rFonts w:asciiTheme="minorHAnsi" w:eastAsiaTheme="minorEastAsia" w:hAnsiTheme="minorHAnsi"/>
              <w:noProof/>
              <w:sz w:val="22"/>
              <w:lang w:val="es-EC" w:eastAsia="es-EC"/>
            </w:rPr>
          </w:pPr>
          <w:hyperlink w:anchor="_Toc80312274" w:history="1">
            <w:r w:rsidR="00185396" w:rsidRPr="00FD447E">
              <w:rPr>
                <w:rStyle w:val="Hipervnculo"/>
                <w:noProof/>
              </w:rPr>
              <w:t>3.4.10.</w:t>
            </w:r>
            <w:r w:rsidR="00185396">
              <w:rPr>
                <w:rFonts w:asciiTheme="minorHAnsi" w:eastAsiaTheme="minorEastAsia" w:hAnsiTheme="minorHAnsi"/>
                <w:noProof/>
                <w:sz w:val="22"/>
                <w:lang w:val="es-EC" w:eastAsia="es-EC"/>
              </w:rPr>
              <w:tab/>
            </w:r>
            <w:r w:rsidR="00185396" w:rsidRPr="00FD447E">
              <w:rPr>
                <w:rStyle w:val="Hipervnculo"/>
                <w:noProof/>
              </w:rPr>
              <w:t>Métodos de aplicación de potasio (K)</w:t>
            </w:r>
            <w:r w:rsidR="00185396">
              <w:rPr>
                <w:noProof/>
                <w:webHidden/>
              </w:rPr>
              <w:tab/>
            </w:r>
            <w:r w:rsidR="00185396">
              <w:rPr>
                <w:noProof/>
                <w:webHidden/>
              </w:rPr>
              <w:fldChar w:fldCharType="begin"/>
            </w:r>
            <w:r w:rsidR="00185396">
              <w:rPr>
                <w:noProof/>
                <w:webHidden/>
              </w:rPr>
              <w:instrText xml:space="preserve"> PAGEREF _Toc80312274 \h </w:instrText>
            </w:r>
            <w:r w:rsidR="00185396">
              <w:rPr>
                <w:noProof/>
                <w:webHidden/>
              </w:rPr>
            </w:r>
            <w:r w:rsidR="00185396">
              <w:rPr>
                <w:noProof/>
                <w:webHidden/>
              </w:rPr>
              <w:fldChar w:fldCharType="separate"/>
            </w:r>
            <w:r w:rsidR="000D1F55">
              <w:rPr>
                <w:noProof/>
                <w:webHidden/>
              </w:rPr>
              <w:t>37</w:t>
            </w:r>
            <w:r w:rsidR="00185396">
              <w:rPr>
                <w:noProof/>
                <w:webHidden/>
              </w:rPr>
              <w:fldChar w:fldCharType="end"/>
            </w:r>
          </w:hyperlink>
        </w:p>
        <w:p w14:paraId="73AEBB65" w14:textId="2B223295" w:rsidR="00185396" w:rsidRDefault="00D23EF3">
          <w:pPr>
            <w:pStyle w:val="TDC3"/>
            <w:rPr>
              <w:rFonts w:asciiTheme="minorHAnsi" w:eastAsiaTheme="minorEastAsia" w:hAnsiTheme="minorHAnsi"/>
              <w:noProof/>
              <w:sz w:val="22"/>
              <w:lang w:val="es-EC" w:eastAsia="es-EC"/>
            </w:rPr>
          </w:pPr>
          <w:hyperlink w:anchor="_Toc80312275" w:history="1">
            <w:r w:rsidR="00185396" w:rsidRPr="00FD447E">
              <w:rPr>
                <w:rStyle w:val="Hipervnculo"/>
                <w:noProof/>
              </w:rPr>
              <w:t>3.4.11.</w:t>
            </w:r>
            <w:r w:rsidR="00185396">
              <w:rPr>
                <w:rFonts w:asciiTheme="minorHAnsi" w:eastAsiaTheme="minorEastAsia" w:hAnsiTheme="minorHAnsi"/>
                <w:noProof/>
                <w:sz w:val="22"/>
                <w:lang w:val="es-EC" w:eastAsia="es-EC"/>
              </w:rPr>
              <w:tab/>
            </w:r>
            <w:r w:rsidR="00185396" w:rsidRPr="00FD447E">
              <w:rPr>
                <w:rStyle w:val="Hipervnculo"/>
                <w:noProof/>
              </w:rPr>
              <w:t>Contenido de potasio</w:t>
            </w:r>
            <w:r w:rsidR="00185396">
              <w:rPr>
                <w:noProof/>
                <w:webHidden/>
              </w:rPr>
              <w:tab/>
            </w:r>
            <w:r w:rsidR="00185396">
              <w:rPr>
                <w:noProof/>
                <w:webHidden/>
              </w:rPr>
              <w:fldChar w:fldCharType="begin"/>
            </w:r>
            <w:r w:rsidR="00185396">
              <w:rPr>
                <w:noProof/>
                <w:webHidden/>
              </w:rPr>
              <w:instrText xml:space="preserve"> PAGEREF _Toc80312275 \h </w:instrText>
            </w:r>
            <w:r w:rsidR="00185396">
              <w:rPr>
                <w:noProof/>
                <w:webHidden/>
              </w:rPr>
            </w:r>
            <w:r w:rsidR="00185396">
              <w:rPr>
                <w:noProof/>
                <w:webHidden/>
              </w:rPr>
              <w:fldChar w:fldCharType="separate"/>
            </w:r>
            <w:r w:rsidR="000D1F55">
              <w:rPr>
                <w:noProof/>
                <w:webHidden/>
              </w:rPr>
              <w:t>37</w:t>
            </w:r>
            <w:r w:rsidR="00185396">
              <w:rPr>
                <w:noProof/>
                <w:webHidden/>
              </w:rPr>
              <w:fldChar w:fldCharType="end"/>
            </w:r>
          </w:hyperlink>
        </w:p>
        <w:p w14:paraId="11581425" w14:textId="15B06D37" w:rsidR="00185396" w:rsidRDefault="00D23EF3">
          <w:pPr>
            <w:pStyle w:val="TDC2"/>
            <w:rPr>
              <w:rFonts w:asciiTheme="minorHAnsi" w:eastAsiaTheme="minorEastAsia" w:hAnsiTheme="minorHAnsi"/>
              <w:noProof/>
              <w:sz w:val="22"/>
              <w:lang w:val="es-EC" w:eastAsia="es-EC"/>
            </w:rPr>
          </w:pPr>
          <w:hyperlink w:anchor="_Toc80312276" w:history="1">
            <w:r w:rsidR="00185396" w:rsidRPr="00FD447E">
              <w:rPr>
                <w:rStyle w:val="Hipervnculo"/>
                <w:noProof/>
              </w:rPr>
              <w:t>3.5.</w:t>
            </w:r>
            <w:r w:rsidR="00185396">
              <w:rPr>
                <w:rFonts w:asciiTheme="minorHAnsi" w:eastAsiaTheme="minorEastAsia" w:hAnsiTheme="minorHAnsi"/>
                <w:noProof/>
                <w:sz w:val="22"/>
                <w:lang w:val="es-EC" w:eastAsia="es-EC"/>
              </w:rPr>
              <w:tab/>
            </w:r>
            <w:r w:rsidR="00185396" w:rsidRPr="00FD447E">
              <w:rPr>
                <w:rStyle w:val="Hipervnculo"/>
                <w:noProof/>
              </w:rPr>
              <w:t>Azufre (S)</w:t>
            </w:r>
            <w:r w:rsidR="00185396">
              <w:rPr>
                <w:noProof/>
                <w:webHidden/>
              </w:rPr>
              <w:tab/>
            </w:r>
            <w:r w:rsidR="00185396">
              <w:rPr>
                <w:noProof/>
                <w:webHidden/>
              </w:rPr>
              <w:fldChar w:fldCharType="begin"/>
            </w:r>
            <w:r w:rsidR="00185396">
              <w:rPr>
                <w:noProof/>
                <w:webHidden/>
              </w:rPr>
              <w:instrText xml:space="preserve"> PAGEREF _Toc80312276 \h </w:instrText>
            </w:r>
            <w:r w:rsidR="00185396">
              <w:rPr>
                <w:noProof/>
                <w:webHidden/>
              </w:rPr>
            </w:r>
            <w:r w:rsidR="00185396">
              <w:rPr>
                <w:noProof/>
                <w:webHidden/>
              </w:rPr>
              <w:fldChar w:fldCharType="separate"/>
            </w:r>
            <w:r w:rsidR="000D1F55">
              <w:rPr>
                <w:noProof/>
                <w:webHidden/>
              </w:rPr>
              <w:t>38</w:t>
            </w:r>
            <w:r w:rsidR="00185396">
              <w:rPr>
                <w:noProof/>
                <w:webHidden/>
              </w:rPr>
              <w:fldChar w:fldCharType="end"/>
            </w:r>
          </w:hyperlink>
        </w:p>
        <w:p w14:paraId="7B098C0E" w14:textId="29B7CE15" w:rsidR="00185396" w:rsidRDefault="00D23EF3">
          <w:pPr>
            <w:pStyle w:val="TDC3"/>
            <w:rPr>
              <w:rFonts w:asciiTheme="minorHAnsi" w:eastAsiaTheme="minorEastAsia" w:hAnsiTheme="minorHAnsi"/>
              <w:noProof/>
              <w:sz w:val="22"/>
              <w:lang w:val="es-EC" w:eastAsia="es-EC"/>
            </w:rPr>
          </w:pPr>
          <w:hyperlink w:anchor="_Toc80312277" w:history="1">
            <w:r w:rsidR="00185396" w:rsidRPr="00FD447E">
              <w:rPr>
                <w:rStyle w:val="Hipervnculo"/>
                <w:noProof/>
              </w:rPr>
              <w:t>3.5.1.</w:t>
            </w:r>
            <w:r w:rsidR="00185396">
              <w:rPr>
                <w:rFonts w:asciiTheme="minorHAnsi" w:eastAsiaTheme="minorEastAsia" w:hAnsiTheme="minorHAnsi"/>
                <w:noProof/>
                <w:sz w:val="22"/>
                <w:lang w:val="es-EC" w:eastAsia="es-EC"/>
              </w:rPr>
              <w:tab/>
            </w:r>
            <w:r w:rsidR="00185396" w:rsidRPr="00FD447E">
              <w:rPr>
                <w:rStyle w:val="Hipervnculo"/>
                <w:noProof/>
              </w:rPr>
              <w:t>Absorción y asimilación de azufre por las plantas</w:t>
            </w:r>
            <w:r w:rsidR="00185396">
              <w:rPr>
                <w:noProof/>
                <w:webHidden/>
              </w:rPr>
              <w:tab/>
            </w:r>
            <w:r w:rsidR="00185396">
              <w:rPr>
                <w:noProof/>
                <w:webHidden/>
              </w:rPr>
              <w:fldChar w:fldCharType="begin"/>
            </w:r>
            <w:r w:rsidR="00185396">
              <w:rPr>
                <w:noProof/>
                <w:webHidden/>
              </w:rPr>
              <w:instrText xml:space="preserve"> PAGEREF _Toc80312277 \h </w:instrText>
            </w:r>
            <w:r w:rsidR="00185396">
              <w:rPr>
                <w:noProof/>
                <w:webHidden/>
              </w:rPr>
            </w:r>
            <w:r w:rsidR="00185396">
              <w:rPr>
                <w:noProof/>
                <w:webHidden/>
              </w:rPr>
              <w:fldChar w:fldCharType="separate"/>
            </w:r>
            <w:r w:rsidR="000D1F55">
              <w:rPr>
                <w:noProof/>
                <w:webHidden/>
              </w:rPr>
              <w:t>38</w:t>
            </w:r>
            <w:r w:rsidR="00185396">
              <w:rPr>
                <w:noProof/>
                <w:webHidden/>
              </w:rPr>
              <w:fldChar w:fldCharType="end"/>
            </w:r>
          </w:hyperlink>
        </w:p>
        <w:p w14:paraId="384EF344" w14:textId="720A7DFC" w:rsidR="00185396" w:rsidRDefault="00D23EF3">
          <w:pPr>
            <w:pStyle w:val="TDC2"/>
            <w:rPr>
              <w:rFonts w:asciiTheme="minorHAnsi" w:eastAsiaTheme="minorEastAsia" w:hAnsiTheme="minorHAnsi"/>
              <w:noProof/>
              <w:sz w:val="22"/>
              <w:lang w:val="es-EC" w:eastAsia="es-EC"/>
            </w:rPr>
          </w:pPr>
          <w:hyperlink w:anchor="_Toc80312278" w:history="1">
            <w:r w:rsidR="00185396" w:rsidRPr="00FD447E">
              <w:rPr>
                <w:rStyle w:val="Hipervnculo"/>
                <w:noProof/>
              </w:rPr>
              <w:t>3.6.</w:t>
            </w:r>
            <w:r w:rsidR="00185396">
              <w:rPr>
                <w:rFonts w:asciiTheme="minorHAnsi" w:eastAsiaTheme="minorEastAsia" w:hAnsiTheme="minorHAnsi"/>
                <w:noProof/>
                <w:sz w:val="22"/>
                <w:lang w:val="es-EC" w:eastAsia="es-EC"/>
              </w:rPr>
              <w:tab/>
            </w:r>
            <w:r w:rsidR="00185396" w:rsidRPr="00FD447E">
              <w:rPr>
                <w:rStyle w:val="Hipervnculo"/>
                <w:noProof/>
              </w:rPr>
              <w:t>Magnesio (Mg)</w:t>
            </w:r>
            <w:r w:rsidR="00185396">
              <w:rPr>
                <w:noProof/>
                <w:webHidden/>
              </w:rPr>
              <w:tab/>
            </w:r>
            <w:r w:rsidR="00185396">
              <w:rPr>
                <w:noProof/>
                <w:webHidden/>
              </w:rPr>
              <w:fldChar w:fldCharType="begin"/>
            </w:r>
            <w:r w:rsidR="00185396">
              <w:rPr>
                <w:noProof/>
                <w:webHidden/>
              </w:rPr>
              <w:instrText xml:space="preserve"> PAGEREF _Toc80312278 \h </w:instrText>
            </w:r>
            <w:r w:rsidR="00185396">
              <w:rPr>
                <w:noProof/>
                <w:webHidden/>
              </w:rPr>
            </w:r>
            <w:r w:rsidR="00185396">
              <w:rPr>
                <w:noProof/>
                <w:webHidden/>
              </w:rPr>
              <w:fldChar w:fldCharType="separate"/>
            </w:r>
            <w:r w:rsidR="000D1F55">
              <w:rPr>
                <w:noProof/>
                <w:webHidden/>
              </w:rPr>
              <w:t>39</w:t>
            </w:r>
            <w:r w:rsidR="00185396">
              <w:rPr>
                <w:noProof/>
                <w:webHidden/>
              </w:rPr>
              <w:fldChar w:fldCharType="end"/>
            </w:r>
          </w:hyperlink>
        </w:p>
        <w:p w14:paraId="47D74D0C" w14:textId="0EEC8C20" w:rsidR="00185396" w:rsidRDefault="00D23EF3">
          <w:pPr>
            <w:pStyle w:val="TDC3"/>
            <w:rPr>
              <w:rFonts w:asciiTheme="minorHAnsi" w:eastAsiaTheme="minorEastAsia" w:hAnsiTheme="minorHAnsi"/>
              <w:noProof/>
              <w:sz w:val="22"/>
              <w:lang w:val="es-EC" w:eastAsia="es-EC"/>
            </w:rPr>
          </w:pPr>
          <w:hyperlink w:anchor="_Toc80312279" w:history="1">
            <w:r w:rsidR="00185396" w:rsidRPr="00FD447E">
              <w:rPr>
                <w:rStyle w:val="Hipervnculo"/>
                <w:noProof/>
              </w:rPr>
              <w:t>3.6.1.</w:t>
            </w:r>
            <w:r w:rsidR="00185396">
              <w:rPr>
                <w:rFonts w:asciiTheme="minorHAnsi" w:eastAsiaTheme="minorEastAsia" w:hAnsiTheme="minorHAnsi"/>
                <w:noProof/>
                <w:sz w:val="22"/>
                <w:lang w:val="es-EC" w:eastAsia="es-EC"/>
              </w:rPr>
              <w:tab/>
            </w:r>
            <w:r w:rsidR="00185396" w:rsidRPr="00FD447E">
              <w:rPr>
                <w:rStyle w:val="Hipervnculo"/>
                <w:noProof/>
                <w:shd w:val="clear" w:color="auto" w:fill="FFFFFF"/>
              </w:rPr>
              <w:t>Magnesio en el suelo</w:t>
            </w:r>
            <w:r w:rsidR="00185396">
              <w:rPr>
                <w:noProof/>
                <w:webHidden/>
              </w:rPr>
              <w:tab/>
            </w:r>
            <w:r w:rsidR="00185396">
              <w:rPr>
                <w:noProof/>
                <w:webHidden/>
              </w:rPr>
              <w:fldChar w:fldCharType="begin"/>
            </w:r>
            <w:r w:rsidR="00185396">
              <w:rPr>
                <w:noProof/>
                <w:webHidden/>
              </w:rPr>
              <w:instrText xml:space="preserve"> PAGEREF _Toc80312279 \h </w:instrText>
            </w:r>
            <w:r w:rsidR="00185396">
              <w:rPr>
                <w:noProof/>
                <w:webHidden/>
              </w:rPr>
            </w:r>
            <w:r w:rsidR="00185396">
              <w:rPr>
                <w:noProof/>
                <w:webHidden/>
              </w:rPr>
              <w:fldChar w:fldCharType="separate"/>
            </w:r>
            <w:r w:rsidR="000D1F55">
              <w:rPr>
                <w:noProof/>
                <w:webHidden/>
              </w:rPr>
              <w:t>39</w:t>
            </w:r>
            <w:r w:rsidR="00185396">
              <w:rPr>
                <w:noProof/>
                <w:webHidden/>
              </w:rPr>
              <w:fldChar w:fldCharType="end"/>
            </w:r>
          </w:hyperlink>
        </w:p>
        <w:p w14:paraId="29B39AEE" w14:textId="5B44449F" w:rsidR="00185396" w:rsidRDefault="00D23EF3">
          <w:pPr>
            <w:pStyle w:val="TDC2"/>
            <w:rPr>
              <w:rFonts w:asciiTheme="minorHAnsi" w:eastAsiaTheme="minorEastAsia" w:hAnsiTheme="minorHAnsi"/>
              <w:noProof/>
              <w:sz w:val="22"/>
              <w:lang w:val="es-EC" w:eastAsia="es-EC"/>
            </w:rPr>
          </w:pPr>
          <w:hyperlink w:anchor="_Toc80312280" w:history="1">
            <w:r w:rsidR="00185396" w:rsidRPr="00FD447E">
              <w:rPr>
                <w:rStyle w:val="Hipervnculo"/>
                <w:noProof/>
              </w:rPr>
              <w:t>3.7.</w:t>
            </w:r>
            <w:r w:rsidR="00185396">
              <w:rPr>
                <w:rFonts w:asciiTheme="minorHAnsi" w:eastAsiaTheme="minorEastAsia" w:hAnsiTheme="minorHAnsi"/>
                <w:noProof/>
                <w:sz w:val="22"/>
                <w:lang w:val="es-EC" w:eastAsia="es-EC"/>
              </w:rPr>
              <w:tab/>
            </w:r>
            <w:r w:rsidR="00185396" w:rsidRPr="00FD447E">
              <w:rPr>
                <w:rStyle w:val="Hipervnculo"/>
                <w:noProof/>
              </w:rPr>
              <w:t>Manejo de nutrientes por sitio especifico (MNSE)</w:t>
            </w:r>
            <w:r w:rsidR="00185396">
              <w:rPr>
                <w:noProof/>
                <w:webHidden/>
              </w:rPr>
              <w:tab/>
            </w:r>
            <w:r w:rsidR="00185396">
              <w:rPr>
                <w:noProof/>
                <w:webHidden/>
              </w:rPr>
              <w:fldChar w:fldCharType="begin"/>
            </w:r>
            <w:r w:rsidR="00185396">
              <w:rPr>
                <w:noProof/>
                <w:webHidden/>
              </w:rPr>
              <w:instrText xml:space="preserve"> PAGEREF _Toc80312280 \h </w:instrText>
            </w:r>
            <w:r w:rsidR="00185396">
              <w:rPr>
                <w:noProof/>
                <w:webHidden/>
              </w:rPr>
            </w:r>
            <w:r w:rsidR="00185396">
              <w:rPr>
                <w:noProof/>
                <w:webHidden/>
              </w:rPr>
              <w:fldChar w:fldCharType="separate"/>
            </w:r>
            <w:r w:rsidR="000D1F55">
              <w:rPr>
                <w:noProof/>
                <w:webHidden/>
              </w:rPr>
              <w:t>39</w:t>
            </w:r>
            <w:r w:rsidR="00185396">
              <w:rPr>
                <w:noProof/>
                <w:webHidden/>
              </w:rPr>
              <w:fldChar w:fldCharType="end"/>
            </w:r>
          </w:hyperlink>
        </w:p>
        <w:p w14:paraId="6A4B6092" w14:textId="34E677A0" w:rsidR="00185396" w:rsidRDefault="00D23EF3">
          <w:pPr>
            <w:pStyle w:val="TDC3"/>
            <w:rPr>
              <w:rFonts w:asciiTheme="minorHAnsi" w:eastAsiaTheme="minorEastAsia" w:hAnsiTheme="minorHAnsi"/>
              <w:noProof/>
              <w:sz w:val="22"/>
              <w:lang w:val="es-EC" w:eastAsia="es-EC"/>
            </w:rPr>
          </w:pPr>
          <w:hyperlink w:anchor="_Toc80312281" w:history="1">
            <w:r w:rsidR="00185396" w:rsidRPr="00FD447E">
              <w:rPr>
                <w:rStyle w:val="Hipervnculo"/>
                <w:noProof/>
              </w:rPr>
              <w:t>3.7.1.</w:t>
            </w:r>
            <w:r w:rsidR="00185396">
              <w:rPr>
                <w:rFonts w:asciiTheme="minorHAnsi" w:eastAsiaTheme="minorEastAsia" w:hAnsiTheme="minorHAnsi"/>
                <w:noProof/>
                <w:sz w:val="22"/>
                <w:lang w:val="es-EC" w:eastAsia="es-EC"/>
              </w:rPr>
              <w:tab/>
            </w:r>
            <w:r w:rsidR="00185396" w:rsidRPr="00FD447E">
              <w:rPr>
                <w:rStyle w:val="Hipervnculo"/>
                <w:noProof/>
              </w:rPr>
              <w:t>Nutrientes por sitio específico</w:t>
            </w:r>
            <w:r w:rsidR="00185396">
              <w:rPr>
                <w:noProof/>
                <w:webHidden/>
              </w:rPr>
              <w:tab/>
            </w:r>
            <w:r w:rsidR="00185396">
              <w:rPr>
                <w:noProof/>
                <w:webHidden/>
              </w:rPr>
              <w:fldChar w:fldCharType="begin"/>
            </w:r>
            <w:r w:rsidR="00185396">
              <w:rPr>
                <w:noProof/>
                <w:webHidden/>
              </w:rPr>
              <w:instrText xml:space="preserve"> PAGEREF _Toc80312281 \h </w:instrText>
            </w:r>
            <w:r w:rsidR="00185396">
              <w:rPr>
                <w:noProof/>
                <w:webHidden/>
              </w:rPr>
            </w:r>
            <w:r w:rsidR="00185396">
              <w:rPr>
                <w:noProof/>
                <w:webHidden/>
              </w:rPr>
              <w:fldChar w:fldCharType="separate"/>
            </w:r>
            <w:r w:rsidR="000D1F55">
              <w:rPr>
                <w:noProof/>
                <w:webHidden/>
              </w:rPr>
              <w:t>41</w:t>
            </w:r>
            <w:r w:rsidR="00185396">
              <w:rPr>
                <w:noProof/>
                <w:webHidden/>
              </w:rPr>
              <w:fldChar w:fldCharType="end"/>
            </w:r>
          </w:hyperlink>
        </w:p>
        <w:p w14:paraId="68C49F26" w14:textId="65E114D7" w:rsidR="00185396" w:rsidRDefault="00D23EF3">
          <w:pPr>
            <w:pStyle w:val="TDC2"/>
            <w:rPr>
              <w:rFonts w:asciiTheme="minorHAnsi" w:eastAsiaTheme="minorEastAsia" w:hAnsiTheme="minorHAnsi"/>
              <w:noProof/>
              <w:sz w:val="22"/>
              <w:lang w:val="es-EC" w:eastAsia="es-EC"/>
            </w:rPr>
          </w:pPr>
          <w:hyperlink w:anchor="_Toc80312282" w:history="1">
            <w:r w:rsidR="00185396" w:rsidRPr="00FD447E">
              <w:rPr>
                <w:rStyle w:val="Hipervnculo"/>
                <w:noProof/>
              </w:rPr>
              <w:t>3.8.</w:t>
            </w:r>
            <w:r w:rsidR="00185396">
              <w:rPr>
                <w:rFonts w:asciiTheme="minorHAnsi" w:eastAsiaTheme="minorEastAsia" w:hAnsiTheme="minorHAnsi"/>
                <w:noProof/>
                <w:sz w:val="22"/>
                <w:lang w:val="es-EC" w:eastAsia="es-EC"/>
              </w:rPr>
              <w:tab/>
            </w:r>
            <w:r w:rsidR="00185396" w:rsidRPr="00FD447E">
              <w:rPr>
                <w:rStyle w:val="Hipervnculo"/>
                <w:noProof/>
              </w:rPr>
              <w:t>Base de datos</w:t>
            </w:r>
            <w:r w:rsidR="00185396">
              <w:rPr>
                <w:noProof/>
                <w:webHidden/>
              </w:rPr>
              <w:tab/>
            </w:r>
            <w:r w:rsidR="00185396">
              <w:rPr>
                <w:noProof/>
                <w:webHidden/>
              </w:rPr>
              <w:fldChar w:fldCharType="begin"/>
            </w:r>
            <w:r w:rsidR="00185396">
              <w:rPr>
                <w:noProof/>
                <w:webHidden/>
              </w:rPr>
              <w:instrText xml:space="preserve"> PAGEREF _Toc80312282 \h </w:instrText>
            </w:r>
            <w:r w:rsidR="00185396">
              <w:rPr>
                <w:noProof/>
                <w:webHidden/>
              </w:rPr>
            </w:r>
            <w:r w:rsidR="00185396">
              <w:rPr>
                <w:noProof/>
                <w:webHidden/>
              </w:rPr>
              <w:fldChar w:fldCharType="separate"/>
            </w:r>
            <w:r w:rsidR="000D1F55">
              <w:rPr>
                <w:noProof/>
                <w:webHidden/>
              </w:rPr>
              <w:t>43</w:t>
            </w:r>
            <w:r w:rsidR="00185396">
              <w:rPr>
                <w:noProof/>
                <w:webHidden/>
              </w:rPr>
              <w:fldChar w:fldCharType="end"/>
            </w:r>
          </w:hyperlink>
        </w:p>
        <w:p w14:paraId="5A1A540A" w14:textId="45589F9F" w:rsidR="00185396" w:rsidRDefault="00D23EF3">
          <w:pPr>
            <w:pStyle w:val="TDC3"/>
            <w:rPr>
              <w:rFonts w:asciiTheme="minorHAnsi" w:eastAsiaTheme="minorEastAsia" w:hAnsiTheme="minorHAnsi"/>
              <w:noProof/>
              <w:sz w:val="22"/>
              <w:lang w:val="es-EC" w:eastAsia="es-EC"/>
            </w:rPr>
          </w:pPr>
          <w:hyperlink w:anchor="_Toc80312283" w:history="1">
            <w:r w:rsidR="00185396" w:rsidRPr="00FD447E">
              <w:rPr>
                <w:rStyle w:val="Hipervnculo"/>
                <w:noProof/>
              </w:rPr>
              <w:t>3.8.1.</w:t>
            </w:r>
            <w:r w:rsidR="00185396">
              <w:rPr>
                <w:rFonts w:asciiTheme="minorHAnsi" w:eastAsiaTheme="minorEastAsia" w:hAnsiTheme="minorHAnsi"/>
                <w:noProof/>
                <w:sz w:val="22"/>
                <w:lang w:val="es-EC" w:eastAsia="es-EC"/>
              </w:rPr>
              <w:tab/>
            </w:r>
            <w:r w:rsidR="00185396" w:rsidRPr="00FD447E">
              <w:rPr>
                <w:rStyle w:val="Hipervnculo"/>
                <w:noProof/>
              </w:rPr>
              <w:t>Sistema manejador de base de datos (DBMS)</w:t>
            </w:r>
            <w:r w:rsidR="00185396">
              <w:rPr>
                <w:noProof/>
                <w:webHidden/>
              </w:rPr>
              <w:tab/>
            </w:r>
            <w:r w:rsidR="00185396">
              <w:rPr>
                <w:noProof/>
                <w:webHidden/>
              </w:rPr>
              <w:fldChar w:fldCharType="begin"/>
            </w:r>
            <w:r w:rsidR="00185396">
              <w:rPr>
                <w:noProof/>
                <w:webHidden/>
              </w:rPr>
              <w:instrText xml:space="preserve"> PAGEREF _Toc80312283 \h </w:instrText>
            </w:r>
            <w:r w:rsidR="00185396">
              <w:rPr>
                <w:noProof/>
                <w:webHidden/>
              </w:rPr>
            </w:r>
            <w:r w:rsidR="00185396">
              <w:rPr>
                <w:noProof/>
                <w:webHidden/>
              </w:rPr>
              <w:fldChar w:fldCharType="separate"/>
            </w:r>
            <w:r w:rsidR="000D1F55">
              <w:rPr>
                <w:noProof/>
                <w:webHidden/>
              </w:rPr>
              <w:t>43</w:t>
            </w:r>
            <w:r w:rsidR="00185396">
              <w:rPr>
                <w:noProof/>
                <w:webHidden/>
              </w:rPr>
              <w:fldChar w:fldCharType="end"/>
            </w:r>
          </w:hyperlink>
        </w:p>
        <w:p w14:paraId="3F16D84D" w14:textId="6C081F80" w:rsidR="00185396" w:rsidRDefault="00D23EF3">
          <w:pPr>
            <w:pStyle w:val="TDC3"/>
            <w:rPr>
              <w:rFonts w:asciiTheme="minorHAnsi" w:eastAsiaTheme="minorEastAsia" w:hAnsiTheme="minorHAnsi"/>
              <w:noProof/>
              <w:sz w:val="22"/>
              <w:lang w:val="es-EC" w:eastAsia="es-EC"/>
            </w:rPr>
          </w:pPr>
          <w:hyperlink w:anchor="_Toc80312284" w:history="1">
            <w:r w:rsidR="00185396" w:rsidRPr="00FD447E">
              <w:rPr>
                <w:rStyle w:val="Hipervnculo"/>
                <w:noProof/>
              </w:rPr>
              <w:t>3.8.2.</w:t>
            </w:r>
            <w:r w:rsidR="00185396">
              <w:rPr>
                <w:rFonts w:asciiTheme="minorHAnsi" w:eastAsiaTheme="minorEastAsia" w:hAnsiTheme="minorHAnsi"/>
                <w:noProof/>
                <w:sz w:val="22"/>
                <w:lang w:val="es-EC" w:eastAsia="es-EC"/>
              </w:rPr>
              <w:tab/>
            </w:r>
            <w:r w:rsidR="00185396" w:rsidRPr="00FD447E">
              <w:rPr>
                <w:rStyle w:val="Hipervnculo"/>
                <w:noProof/>
              </w:rPr>
              <w:t>Sistemas de información en desarrollo agrícola</w:t>
            </w:r>
            <w:r w:rsidR="00185396">
              <w:rPr>
                <w:noProof/>
                <w:webHidden/>
              </w:rPr>
              <w:tab/>
            </w:r>
            <w:r w:rsidR="00185396">
              <w:rPr>
                <w:noProof/>
                <w:webHidden/>
              </w:rPr>
              <w:fldChar w:fldCharType="begin"/>
            </w:r>
            <w:r w:rsidR="00185396">
              <w:rPr>
                <w:noProof/>
                <w:webHidden/>
              </w:rPr>
              <w:instrText xml:space="preserve"> PAGEREF _Toc80312284 \h </w:instrText>
            </w:r>
            <w:r w:rsidR="00185396">
              <w:rPr>
                <w:noProof/>
                <w:webHidden/>
              </w:rPr>
            </w:r>
            <w:r w:rsidR="00185396">
              <w:rPr>
                <w:noProof/>
                <w:webHidden/>
              </w:rPr>
              <w:fldChar w:fldCharType="separate"/>
            </w:r>
            <w:r w:rsidR="000D1F55">
              <w:rPr>
                <w:noProof/>
                <w:webHidden/>
              </w:rPr>
              <w:t>43</w:t>
            </w:r>
            <w:r w:rsidR="00185396">
              <w:rPr>
                <w:noProof/>
                <w:webHidden/>
              </w:rPr>
              <w:fldChar w:fldCharType="end"/>
            </w:r>
          </w:hyperlink>
        </w:p>
        <w:p w14:paraId="6A74E58D" w14:textId="2CC2313A" w:rsidR="00185396" w:rsidRDefault="00D23EF3">
          <w:pPr>
            <w:pStyle w:val="TDC1"/>
            <w:rPr>
              <w:rFonts w:asciiTheme="minorHAnsi" w:eastAsiaTheme="minorEastAsia" w:hAnsiTheme="minorHAnsi"/>
              <w:noProof/>
              <w:sz w:val="22"/>
              <w:lang w:val="es-EC" w:eastAsia="es-EC"/>
            </w:rPr>
          </w:pPr>
          <w:hyperlink w:anchor="_Toc80312285" w:history="1">
            <w:r w:rsidR="00185396" w:rsidRPr="00FD447E">
              <w:rPr>
                <w:rStyle w:val="Hipervnculo"/>
                <w:rFonts w:eastAsia="Times New Roman"/>
                <w:noProof/>
              </w:rPr>
              <w:t>IV.</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MARCO METODOLÓGICO</w:t>
            </w:r>
            <w:r w:rsidR="00185396">
              <w:rPr>
                <w:noProof/>
                <w:webHidden/>
              </w:rPr>
              <w:tab/>
            </w:r>
            <w:r w:rsidR="00185396">
              <w:rPr>
                <w:noProof/>
                <w:webHidden/>
              </w:rPr>
              <w:fldChar w:fldCharType="begin"/>
            </w:r>
            <w:r w:rsidR="00185396">
              <w:rPr>
                <w:noProof/>
                <w:webHidden/>
              </w:rPr>
              <w:instrText xml:space="preserve"> PAGEREF _Toc80312285 \h </w:instrText>
            </w:r>
            <w:r w:rsidR="00185396">
              <w:rPr>
                <w:noProof/>
                <w:webHidden/>
              </w:rPr>
            </w:r>
            <w:r w:rsidR="00185396">
              <w:rPr>
                <w:noProof/>
                <w:webHidden/>
              </w:rPr>
              <w:fldChar w:fldCharType="separate"/>
            </w:r>
            <w:r w:rsidR="000D1F55">
              <w:rPr>
                <w:noProof/>
                <w:webHidden/>
              </w:rPr>
              <w:t>45</w:t>
            </w:r>
            <w:r w:rsidR="00185396">
              <w:rPr>
                <w:noProof/>
                <w:webHidden/>
              </w:rPr>
              <w:fldChar w:fldCharType="end"/>
            </w:r>
          </w:hyperlink>
        </w:p>
        <w:p w14:paraId="21973B6D" w14:textId="3632B6AC" w:rsidR="00185396" w:rsidRDefault="00D23EF3">
          <w:pPr>
            <w:pStyle w:val="TDC2"/>
            <w:rPr>
              <w:rFonts w:asciiTheme="minorHAnsi" w:eastAsiaTheme="minorEastAsia" w:hAnsiTheme="minorHAnsi"/>
              <w:noProof/>
              <w:sz w:val="22"/>
              <w:lang w:val="es-EC" w:eastAsia="es-EC"/>
            </w:rPr>
          </w:pPr>
          <w:hyperlink w:anchor="_Toc80312286" w:history="1">
            <w:r w:rsidR="00185396" w:rsidRPr="00FD447E">
              <w:rPr>
                <w:rStyle w:val="Hipervnculo"/>
                <w:rFonts w:eastAsia="Times New Roman"/>
                <w:noProof/>
              </w:rPr>
              <w:t>4.1.</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Materiales</w:t>
            </w:r>
            <w:r w:rsidR="00185396">
              <w:rPr>
                <w:noProof/>
                <w:webHidden/>
              </w:rPr>
              <w:tab/>
            </w:r>
            <w:r w:rsidR="00185396">
              <w:rPr>
                <w:noProof/>
                <w:webHidden/>
              </w:rPr>
              <w:fldChar w:fldCharType="begin"/>
            </w:r>
            <w:r w:rsidR="00185396">
              <w:rPr>
                <w:noProof/>
                <w:webHidden/>
              </w:rPr>
              <w:instrText xml:space="preserve"> PAGEREF _Toc80312286 \h </w:instrText>
            </w:r>
            <w:r w:rsidR="00185396">
              <w:rPr>
                <w:noProof/>
                <w:webHidden/>
              </w:rPr>
            </w:r>
            <w:r w:rsidR="00185396">
              <w:rPr>
                <w:noProof/>
                <w:webHidden/>
              </w:rPr>
              <w:fldChar w:fldCharType="separate"/>
            </w:r>
            <w:r w:rsidR="000D1F55">
              <w:rPr>
                <w:noProof/>
                <w:webHidden/>
              </w:rPr>
              <w:t>45</w:t>
            </w:r>
            <w:r w:rsidR="00185396">
              <w:rPr>
                <w:noProof/>
                <w:webHidden/>
              </w:rPr>
              <w:fldChar w:fldCharType="end"/>
            </w:r>
          </w:hyperlink>
        </w:p>
        <w:p w14:paraId="41CF78F9" w14:textId="78E88C29" w:rsidR="00185396" w:rsidRDefault="00D23EF3">
          <w:pPr>
            <w:pStyle w:val="TDC3"/>
            <w:rPr>
              <w:rFonts w:asciiTheme="minorHAnsi" w:eastAsiaTheme="minorEastAsia" w:hAnsiTheme="minorHAnsi"/>
              <w:noProof/>
              <w:sz w:val="22"/>
              <w:lang w:val="es-EC" w:eastAsia="es-EC"/>
            </w:rPr>
          </w:pPr>
          <w:hyperlink w:anchor="_Toc80312287" w:history="1">
            <w:r w:rsidR="00185396" w:rsidRPr="00FD447E">
              <w:rPr>
                <w:rStyle w:val="Hipervnculo"/>
                <w:rFonts w:eastAsia="Times New Roman"/>
                <w:noProof/>
              </w:rPr>
              <w:t>4.1.1.</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Ubicación del experimento</w:t>
            </w:r>
            <w:r w:rsidR="00185396">
              <w:rPr>
                <w:noProof/>
                <w:webHidden/>
              </w:rPr>
              <w:tab/>
            </w:r>
            <w:r w:rsidR="00185396">
              <w:rPr>
                <w:noProof/>
                <w:webHidden/>
              </w:rPr>
              <w:fldChar w:fldCharType="begin"/>
            </w:r>
            <w:r w:rsidR="00185396">
              <w:rPr>
                <w:noProof/>
                <w:webHidden/>
              </w:rPr>
              <w:instrText xml:space="preserve"> PAGEREF _Toc80312287 \h </w:instrText>
            </w:r>
            <w:r w:rsidR="00185396">
              <w:rPr>
                <w:noProof/>
                <w:webHidden/>
              </w:rPr>
            </w:r>
            <w:r w:rsidR="00185396">
              <w:rPr>
                <w:noProof/>
                <w:webHidden/>
              </w:rPr>
              <w:fldChar w:fldCharType="separate"/>
            </w:r>
            <w:r w:rsidR="000D1F55">
              <w:rPr>
                <w:noProof/>
                <w:webHidden/>
              </w:rPr>
              <w:t>45</w:t>
            </w:r>
            <w:r w:rsidR="00185396">
              <w:rPr>
                <w:noProof/>
                <w:webHidden/>
              </w:rPr>
              <w:fldChar w:fldCharType="end"/>
            </w:r>
          </w:hyperlink>
        </w:p>
        <w:p w14:paraId="4F60C106" w14:textId="5B74C23E" w:rsidR="00185396" w:rsidRDefault="00D23EF3">
          <w:pPr>
            <w:pStyle w:val="TDC3"/>
            <w:rPr>
              <w:rFonts w:asciiTheme="minorHAnsi" w:eastAsiaTheme="minorEastAsia" w:hAnsiTheme="minorHAnsi"/>
              <w:noProof/>
              <w:sz w:val="22"/>
              <w:lang w:val="es-EC" w:eastAsia="es-EC"/>
            </w:rPr>
          </w:pPr>
          <w:hyperlink w:anchor="_Toc80312288" w:history="1">
            <w:r w:rsidR="00185396" w:rsidRPr="00FD447E">
              <w:rPr>
                <w:rStyle w:val="Hipervnculo"/>
                <w:rFonts w:eastAsia="Times New Roman"/>
                <w:noProof/>
              </w:rPr>
              <w:t>4.1.2.</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Situación climática</w:t>
            </w:r>
            <w:r w:rsidR="00185396">
              <w:rPr>
                <w:noProof/>
                <w:webHidden/>
              </w:rPr>
              <w:tab/>
            </w:r>
            <w:r w:rsidR="00185396">
              <w:rPr>
                <w:noProof/>
                <w:webHidden/>
              </w:rPr>
              <w:fldChar w:fldCharType="begin"/>
            </w:r>
            <w:r w:rsidR="00185396">
              <w:rPr>
                <w:noProof/>
                <w:webHidden/>
              </w:rPr>
              <w:instrText xml:space="preserve"> PAGEREF _Toc80312288 \h </w:instrText>
            </w:r>
            <w:r w:rsidR="00185396">
              <w:rPr>
                <w:noProof/>
                <w:webHidden/>
              </w:rPr>
            </w:r>
            <w:r w:rsidR="00185396">
              <w:rPr>
                <w:noProof/>
                <w:webHidden/>
              </w:rPr>
              <w:fldChar w:fldCharType="separate"/>
            </w:r>
            <w:r w:rsidR="000D1F55">
              <w:rPr>
                <w:noProof/>
                <w:webHidden/>
              </w:rPr>
              <w:t>47</w:t>
            </w:r>
            <w:r w:rsidR="00185396">
              <w:rPr>
                <w:noProof/>
                <w:webHidden/>
              </w:rPr>
              <w:fldChar w:fldCharType="end"/>
            </w:r>
          </w:hyperlink>
        </w:p>
        <w:p w14:paraId="4DD9D17B" w14:textId="7DD9AB22" w:rsidR="00185396" w:rsidRDefault="00D23EF3">
          <w:pPr>
            <w:pStyle w:val="TDC3"/>
            <w:rPr>
              <w:rFonts w:asciiTheme="minorHAnsi" w:eastAsiaTheme="minorEastAsia" w:hAnsiTheme="minorHAnsi"/>
              <w:noProof/>
              <w:sz w:val="22"/>
              <w:lang w:val="es-EC" w:eastAsia="es-EC"/>
            </w:rPr>
          </w:pPr>
          <w:hyperlink w:anchor="_Toc80312289" w:history="1">
            <w:r w:rsidR="00185396" w:rsidRPr="00FD447E">
              <w:rPr>
                <w:rStyle w:val="Hipervnculo"/>
                <w:rFonts w:eastAsia="Times New Roman"/>
                <w:noProof/>
              </w:rPr>
              <w:t>4.1.3.</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Material experimental</w:t>
            </w:r>
            <w:r w:rsidR="00185396">
              <w:rPr>
                <w:noProof/>
                <w:webHidden/>
              </w:rPr>
              <w:tab/>
            </w:r>
            <w:r w:rsidR="00185396">
              <w:rPr>
                <w:noProof/>
                <w:webHidden/>
              </w:rPr>
              <w:fldChar w:fldCharType="begin"/>
            </w:r>
            <w:r w:rsidR="00185396">
              <w:rPr>
                <w:noProof/>
                <w:webHidden/>
              </w:rPr>
              <w:instrText xml:space="preserve"> PAGEREF _Toc80312289 \h </w:instrText>
            </w:r>
            <w:r w:rsidR="00185396">
              <w:rPr>
                <w:noProof/>
                <w:webHidden/>
              </w:rPr>
            </w:r>
            <w:r w:rsidR="00185396">
              <w:rPr>
                <w:noProof/>
                <w:webHidden/>
              </w:rPr>
              <w:fldChar w:fldCharType="separate"/>
            </w:r>
            <w:r w:rsidR="000D1F55">
              <w:rPr>
                <w:noProof/>
                <w:webHidden/>
              </w:rPr>
              <w:t>47</w:t>
            </w:r>
            <w:r w:rsidR="00185396">
              <w:rPr>
                <w:noProof/>
                <w:webHidden/>
              </w:rPr>
              <w:fldChar w:fldCharType="end"/>
            </w:r>
          </w:hyperlink>
        </w:p>
        <w:p w14:paraId="38462E68" w14:textId="355497D3" w:rsidR="00185396" w:rsidRDefault="00D23EF3">
          <w:pPr>
            <w:pStyle w:val="TDC3"/>
            <w:rPr>
              <w:rFonts w:asciiTheme="minorHAnsi" w:eastAsiaTheme="minorEastAsia" w:hAnsiTheme="minorHAnsi"/>
              <w:noProof/>
              <w:sz w:val="22"/>
              <w:lang w:val="es-EC" w:eastAsia="es-EC"/>
            </w:rPr>
          </w:pPr>
          <w:hyperlink w:anchor="_Toc80312290" w:history="1">
            <w:r w:rsidR="00185396" w:rsidRPr="00FD447E">
              <w:rPr>
                <w:rStyle w:val="Hipervnculo"/>
                <w:rFonts w:eastAsia="Calibri"/>
                <w:noProof/>
              </w:rPr>
              <w:t>4.1.4.</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Material de oficina</w:t>
            </w:r>
            <w:r w:rsidR="00185396">
              <w:rPr>
                <w:noProof/>
                <w:webHidden/>
              </w:rPr>
              <w:tab/>
            </w:r>
            <w:r w:rsidR="00185396">
              <w:rPr>
                <w:noProof/>
                <w:webHidden/>
              </w:rPr>
              <w:fldChar w:fldCharType="begin"/>
            </w:r>
            <w:r w:rsidR="00185396">
              <w:rPr>
                <w:noProof/>
                <w:webHidden/>
              </w:rPr>
              <w:instrText xml:space="preserve"> PAGEREF _Toc80312290 \h </w:instrText>
            </w:r>
            <w:r w:rsidR="00185396">
              <w:rPr>
                <w:noProof/>
                <w:webHidden/>
              </w:rPr>
            </w:r>
            <w:r w:rsidR="00185396">
              <w:rPr>
                <w:noProof/>
                <w:webHidden/>
              </w:rPr>
              <w:fldChar w:fldCharType="separate"/>
            </w:r>
            <w:r w:rsidR="000D1F55">
              <w:rPr>
                <w:noProof/>
                <w:webHidden/>
              </w:rPr>
              <w:t>47</w:t>
            </w:r>
            <w:r w:rsidR="00185396">
              <w:rPr>
                <w:noProof/>
                <w:webHidden/>
              </w:rPr>
              <w:fldChar w:fldCharType="end"/>
            </w:r>
          </w:hyperlink>
        </w:p>
        <w:p w14:paraId="776F13A2" w14:textId="0D48199E" w:rsidR="00185396" w:rsidRDefault="00D23EF3">
          <w:pPr>
            <w:pStyle w:val="TDC2"/>
            <w:rPr>
              <w:rFonts w:asciiTheme="minorHAnsi" w:eastAsiaTheme="minorEastAsia" w:hAnsiTheme="minorHAnsi"/>
              <w:noProof/>
              <w:sz w:val="22"/>
              <w:lang w:val="es-EC" w:eastAsia="es-EC"/>
            </w:rPr>
          </w:pPr>
          <w:hyperlink w:anchor="_Toc80312291" w:history="1">
            <w:r w:rsidR="00185396" w:rsidRPr="00FD447E">
              <w:rPr>
                <w:rStyle w:val="Hipervnculo"/>
                <w:rFonts w:eastAsia="Times New Roman"/>
                <w:noProof/>
              </w:rPr>
              <w:t>4.2.</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Métodos</w:t>
            </w:r>
            <w:r w:rsidR="00185396">
              <w:rPr>
                <w:noProof/>
                <w:webHidden/>
              </w:rPr>
              <w:tab/>
            </w:r>
            <w:r w:rsidR="00185396">
              <w:rPr>
                <w:noProof/>
                <w:webHidden/>
              </w:rPr>
              <w:fldChar w:fldCharType="begin"/>
            </w:r>
            <w:r w:rsidR="00185396">
              <w:rPr>
                <w:noProof/>
                <w:webHidden/>
              </w:rPr>
              <w:instrText xml:space="preserve"> PAGEREF _Toc80312291 \h </w:instrText>
            </w:r>
            <w:r w:rsidR="00185396">
              <w:rPr>
                <w:noProof/>
                <w:webHidden/>
              </w:rPr>
            </w:r>
            <w:r w:rsidR="00185396">
              <w:rPr>
                <w:noProof/>
                <w:webHidden/>
              </w:rPr>
              <w:fldChar w:fldCharType="separate"/>
            </w:r>
            <w:r w:rsidR="000D1F55">
              <w:rPr>
                <w:noProof/>
                <w:webHidden/>
              </w:rPr>
              <w:t>47</w:t>
            </w:r>
            <w:r w:rsidR="00185396">
              <w:rPr>
                <w:noProof/>
                <w:webHidden/>
              </w:rPr>
              <w:fldChar w:fldCharType="end"/>
            </w:r>
          </w:hyperlink>
        </w:p>
        <w:p w14:paraId="7B513578" w14:textId="2C00CC32" w:rsidR="00185396" w:rsidRDefault="00D23EF3">
          <w:pPr>
            <w:pStyle w:val="TDC3"/>
            <w:rPr>
              <w:rFonts w:asciiTheme="minorHAnsi" w:eastAsiaTheme="minorEastAsia" w:hAnsiTheme="minorHAnsi"/>
              <w:noProof/>
              <w:sz w:val="22"/>
              <w:lang w:val="es-EC" w:eastAsia="es-EC"/>
            </w:rPr>
          </w:pPr>
          <w:hyperlink w:anchor="_Toc80312292" w:history="1">
            <w:r w:rsidR="00185396" w:rsidRPr="00FD447E">
              <w:rPr>
                <w:rStyle w:val="Hipervnculo"/>
                <w:rFonts w:eastAsia="Times New Roman"/>
                <w:noProof/>
              </w:rPr>
              <w:t>4.2.1.</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Factores en estudio</w:t>
            </w:r>
            <w:r w:rsidR="00185396">
              <w:rPr>
                <w:noProof/>
                <w:webHidden/>
              </w:rPr>
              <w:tab/>
            </w:r>
            <w:r w:rsidR="00185396">
              <w:rPr>
                <w:noProof/>
                <w:webHidden/>
              </w:rPr>
              <w:fldChar w:fldCharType="begin"/>
            </w:r>
            <w:r w:rsidR="00185396">
              <w:rPr>
                <w:noProof/>
                <w:webHidden/>
              </w:rPr>
              <w:instrText xml:space="preserve"> PAGEREF _Toc80312292 \h </w:instrText>
            </w:r>
            <w:r w:rsidR="00185396">
              <w:rPr>
                <w:noProof/>
                <w:webHidden/>
              </w:rPr>
            </w:r>
            <w:r w:rsidR="00185396">
              <w:rPr>
                <w:noProof/>
                <w:webHidden/>
              </w:rPr>
              <w:fldChar w:fldCharType="separate"/>
            </w:r>
            <w:r w:rsidR="000D1F55">
              <w:rPr>
                <w:noProof/>
                <w:webHidden/>
              </w:rPr>
              <w:t>47</w:t>
            </w:r>
            <w:r w:rsidR="00185396">
              <w:rPr>
                <w:noProof/>
                <w:webHidden/>
              </w:rPr>
              <w:fldChar w:fldCharType="end"/>
            </w:r>
          </w:hyperlink>
        </w:p>
        <w:p w14:paraId="757D341A" w14:textId="4C55CC33" w:rsidR="00185396" w:rsidRDefault="00D23EF3">
          <w:pPr>
            <w:pStyle w:val="TDC3"/>
            <w:rPr>
              <w:rFonts w:asciiTheme="minorHAnsi" w:eastAsiaTheme="minorEastAsia" w:hAnsiTheme="minorHAnsi"/>
              <w:noProof/>
              <w:sz w:val="22"/>
              <w:lang w:val="es-EC" w:eastAsia="es-EC"/>
            </w:rPr>
          </w:pPr>
          <w:hyperlink w:anchor="_Toc80312293" w:history="1">
            <w:r w:rsidR="00185396" w:rsidRPr="00FD447E">
              <w:rPr>
                <w:rStyle w:val="Hipervnculo"/>
                <w:rFonts w:eastAsia="Times New Roman"/>
                <w:noProof/>
              </w:rPr>
              <w:t>4.2.2.</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Procedimiento</w:t>
            </w:r>
            <w:r w:rsidR="00185396">
              <w:rPr>
                <w:noProof/>
                <w:webHidden/>
              </w:rPr>
              <w:tab/>
            </w:r>
            <w:r w:rsidR="00185396">
              <w:rPr>
                <w:noProof/>
                <w:webHidden/>
              </w:rPr>
              <w:fldChar w:fldCharType="begin"/>
            </w:r>
            <w:r w:rsidR="00185396">
              <w:rPr>
                <w:noProof/>
                <w:webHidden/>
              </w:rPr>
              <w:instrText xml:space="preserve"> PAGEREF _Toc80312293 \h </w:instrText>
            </w:r>
            <w:r w:rsidR="00185396">
              <w:rPr>
                <w:noProof/>
                <w:webHidden/>
              </w:rPr>
            </w:r>
            <w:r w:rsidR="00185396">
              <w:rPr>
                <w:noProof/>
                <w:webHidden/>
              </w:rPr>
              <w:fldChar w:fldCharType="separate"/>
            </w:r>
            <w:r w:rsidR="000D1F55">
              <w:rPr>
                <w:noProof/>
                <w:webHidden/>
              </w:rPr>
              <w:t>48</w:t>
            </w:r>
            <w:r w:rsidR="00185396">
              <w:rPr>
                <w:noProof/>
                <w:webHidden/>
              </w:rPr>
              <w:fldChar w:fldCharType="end"/>
            </w:r>
          </w:hyperlink>
        </w:p>
        <w:p w14:paraId="5F44BEDB" w14:textId="799E1E45" w:rsidR="00185396" w:rsidRDefault="00D23EF3">
          <w:pPr>
            <w:pStyle w:val="TDC3"/>
            <w:rPr>
              <w:rFonts w:asciiTheme="minorHAnsi" w:eastAsiaTheme="minorEastAsia" w:hAnsiTheme="minorHAnsi"/>
              <w:noProof/>
              <w:sz w:val="22"/>
              <w:lang w:val="es-EC" w:eastAsia="es-EC"/>
            </w:rPr>
          </w:pPr>
          <w:hyperlink w:anchor="_Toc80312294" w:history="1">
            <w:r w:rsidR="00185396" w:rsidRPr="00FD447E">
              <w:rPr>
                <w:rStyle w:val="Hipervnculo"/>
                <w:rFonts w:eastAsia="Times New Roman"/>
                <w:noProof/>
              </w:rPr>
              <w:t>4.2.3.</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Tipo de análisis</w:t>
            </w:r>
            <w:r w:rsidR="00185396">
              <w:rPr>
                <w:noProof/>
                <w:webHidden/>
              </w:rPr>
              <w:tab/>
            </w:r>
            <w:r w:rsidR="00185396">
              <w:rPr>
                <w:noProof/>
                <w:webHidden/>
              </w:rPr>
              <w:fldChar w:fldCharType="begin"/>
            </w:r>
            <w:r w:rsidR="00185396">
              <w:rPr>
                <w:noProof/>
                <w:webHidden/>
              </w:rPr>
              <w:instrText xml:space="preserve"> PAGEREF _Toc80312294 \h </w:instrText>
            </w:r>
            <w:r w:rsidR="00185396">
              <w:rPr>
                <w:noProof/>
                <w:webHidden/>
              </w:rPr>
            </w:r>
            <w:r w:rsidR="00185396">
              <w:rPr>
                <w:noProof/>
                <w:webHidden/>
              </w:rPr>
              <w:fldChar w:fldCharType="separate"/>
            </w:r>
            <w:r w:rsidR="000D1F55">
              <w:rPr>
                <w:noProof/>
                <w:webHidden/>
              </w:rPr>
              <w:t>48</w:t>
            </w:r>
            <w:r w:rsidR="00185396">
              <w:rPr>
                <w:noProof/>
                <w:webHidden/>
              </w:rPr>
              <w:fldChar w:fldCharType="end"/>
            </w:r>
          </w:hyperlink>
        </w:p>
        <w:p w14:paraId="6B5AC9AC" w14:textId="05656AC7" w:rsidR="00185396" w:rsidRDefault="00D23EF3">
          <w:pPr>
            <w:pStyle w:val="TDC2"/>
            <w:rPr>
              <w:rFonts w:asciiTheme="minorHAnsi" w:eastAsiaTheme="minorEastAsia" w:hAnsiTheme="minorHAnsi"/>
              <w:noProof/>
              <w:sz w:val="22"/>
              <w:lang w:val="es-EC" w:eastAsia="es-EC"/>
            </w:rPr>
          </w:pPr>
          <w:hyperlink w:anchor="_Toc80312295" w:history="1">
            <w:r w:rsidR="00185396" w:rsidRPr="00FD447E">
              <w:rPr>
                <w:rStyle w:val="Hipervnculo"/>
                <w:rFonts w:eastAsia="Times New Roman"/>
                <w:noProof/>
              </w:rPr>
              <w:t>4.3.</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Métodos de evaluación y datos tomados</w:t>
            </w:r>
            <w:r w:rsidR="00185396">
              <w:rPr>
                <w:noProof/>
                <w:webHidden/>
              </w:rPr>
              <w:tab/>
            </w:r>
            <w:r w:rsidR="00185396">
              <w:rPr>
                <w:noProof/>
                <w:webHidden/>
              </w:rPr>
              <w:fldChar w:fldCharType="begin"/>
            </w:r>
            <w:r w:rsidR="00185396">
              <w:rPr>
                <w:noProof/>
                <w:webHidden/>
              </w:rPr>
              <w:instrText xml:space="preserve"> PAGEREF _Toc80312295 \h </w:instrText>
            </w:r>
            <w:r w:rsidR="00185396">
              <w:rPr>
                <w:noProof/>
                <w:webHidden/>
              </w:rPr>
            </w:r>
            <w:r w:rsidR="00185396">
              <w:rPr>
                <w:noProof/>
                <w:webHidden/>
              </w:rPr>
              <w:fldChar w:fldCharType="separate"/>
            </w:r>
            <w:r w:rsidR="000D1F55">
              <w:rPr>
                <w:noProof/>
                <w:webHidden/>
              </w:rPr>
              <w:t>49</w:t>
            </w:r>
            <w:r w:rsidR="00185396">
              <w:rPr>
                <w:noProof/>
                <w:webHidden/>
              </w:rPr>
              <w:fldChar w:fldCharType="end"/>
            </w:r>
          </w:hyperlink>
        </w:p>
        <w:p w14:paraId="14F7BDD4" w14:textId="7DC964E1" w:rsidR="00185396" w:rsidRDefault="00D23EF3">
          <w:pPr>
            <w:pStyle w:val="TDC3"/>
            <w:rPr>
              <w:rFonts w:asciiTheme="minorHAnsi" w:eastAsiaTheme="minorEastAsia" w:hAnsiTheme="minorHAnsi"/>
              <w:noProof/>
              <w:sz w:val="22"/>
              <w:lang w:val="es-EC" w:eastAsia="es-EC"/>
            </w:rPr>
          </w:pPr>
          <w:hyperlink w:anchor="_Toc80312296" w:history="1">
            <w:r w:rsidR="00185396" w:rsidRPr="00FD447E">
              <w:rPr>
                <w:rStyle w:val="Hipervnculo"/>
                <w:rFonts w:eastAsia="Times New Roman"/>
                <w:noProof/>
              </w:rPr>
              <w:t>4.3.1.</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Rendimiento de grano (ajustado al 14% de humedad) Kg/ha (RG)</w:t>
            </w:r>
            <w:r w:rsidR="00185396">
              <w:rPr>
                <w:noProof/>
                <w:webHidden/>
              </w:rPr>
              <w:tab/>
            </w:r>
            <w:r w:rsidR="00185396">
              <w:rPr>
                <w:noProof/>
                <w:webHidden/>
              </w:rPr>
              <w:fldChar w:fldCharType="begin"/>
            </w:r>
            <w:r w:rsidR="00185396">
              <w:rPr>
                <w:noProof/>
                <w:webHidden/>
              </w:rPr>
              <w:instrText xml:space="preserve"> PAGEREF _Toc80312296 \h </w:instrText>
            </w:r>
            <w:r w:rsidR="00185396">
              <w:rPr>
                <w:noProof/>
                <w:webHidden/>
              </w:rPr>
            </w:r>
            <w:r w:rsidR="00185396">
              <w:rPr>
                <w:noProof/>
                <w:webHidden/>
              </w:rPr>
              <w:fldChar w:fldCharType="separate"/>
            </w:r>
            <w:r w:rsidR="000D1F55">
              <w:rPr>
                <w:noProof/>
                <w:webHidden/>
              </w:rPr>
              <w:t>49</w:t>
            </w:r>
            <w:r w:rsidR="00185396">
              <w:rPr>
                <w:noProof/>
                <w:webHidden/>
              </w:rPr>
              <w:fldChar w:fldCharType="end"/>
            </w:r>
          </w:hyperlink>
        </w:p>
        <w:p w14:paraId="7F3A28AE" w14:textId="75FF6879" w:rsidR="00185396" w:rsidRDefault="00D23EF3">
          <w:pPr>
            <w:pStyle w:val="TDC3"/>
            <w:rPr>
              <w:rFonts w:asciiTheme="minorHAnsi" w:eastAsiaTheme="minorEastAsia" w:hAnsiTheme="minorHAnsi"/>
              <w:noProof/>
              <w:sz w:val="22"/>
              <w:lang w:val="es-EC" w:eastAsia="es-EC"/>
            </w:rPr>
          </w:pPr>
          <w:hyperlink w:anchor="_Toc80312297" w:history="1">
            <w:r w:rsidR="00185396" w:rsidRPr="00FD447E">
              <w:rPr>
                <w:rStyle w:val="Hipervnculo"/>
                <w:rFonts w:eastAsia="Times New Roman"/>
                <w:noProof/>
              </w:rPr>
              <w:t>4.3.2.</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Absorción total</w:t>
            </w:r>
            <w:r w:rsidR="00185396">
              <w:rPr>
                <w:noProof/>
                <w:webHidden/>
              </w:rPr>
              <w:tab/>
            </w:r>
            <w:r w:rsidR="00185396">
              <w:rPr>
                <w:noProof/>
                <w:webHidden/>
              </w:rPr>
              <w:fldChar w:fldCharType="begin"/>
            </w:r>
            <w:r w:rsidR="00185396">
              <w:rPr>
                <w:noProof/>
                <w:webHidden/>
              </w:rPr>
              <w:instrText xml:space="preserve"> PAGEREF _Toc80312297 \h </w:instrText>
            </w:r>
            <w:r w:rsidR="00185396">
              <w:rPr>
                <w:noProof/>
                <w:webHidden/>
              </w:rPr>
            </w:r>
            <w:r w:rsidR="00185396">
              <w:rPr>
                <w:noProof/>
                <w:webHidden/>
              </w:rPr>
              <w:fldChar w:fldCharType="separate"/>
            </w:r>
            <w:r w:rsidR="000D1F55">
              <w:rPr>
                <w:noProof/>
                <w:webHidden/>
              </w:rPr>
              <w:t>50</w:t>
            </w:r>
            <w:r w:rsidR="00185396">
              <w:rPr>
                <w:noProof/>
                <w:webHidden/>
              </w:rPr>
              <w:fldChar w:fldCharType="end"/>
            </w:r>
          </w:hyperlink>
        </w:p>
        <w:p w14:paraId="7537A407" w14:textId="6091264B" w:rsidR="00185396" w:rsidRDefault="00D23EF3">
          <w:pPr>
            <w:pStyle w:val="TDC2"/>
            <w:rPr>
              <w:rFonts w:asciiTheme="minorHAnsi" w:eastAsiaTheme="minorEastAsia" w:hAnsiTheme="minorHAnsi"/>
              <w:noProof/>
              <w:sz w:val="22"/>
              <w:lang w:val="es-EC" w:eastAsia="es-EC"/>
            </w:rPr>
          </w:pPr>
          <w:hyperlink w:anchor="_Toc80312298" w:history="1">
            <w:r w:rsidR="00185396" w:rsidRPr="00FD447E">
              <w:rPr>
                <w:rStyle w:val="Hipervnculo"/>
                <w:rFonts w:eastAsia="Times New Roman"/>
                <w:noProof/>
              </w:rPr>
              <w:t>4.4.</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Manejo del experimento</w:t>
            </w:r>
            <w:r w:rsidR="00185396">
              <w:rPr>
                <w:noProof/>
                <w:webHidden/>
              </w:rPr>
              <w:tab/>
            </w:r>
            <w:r w:rsidR="00185396">
              <w:rPr>
                <w:noProof/>
                <w:webHidden/>
              </w:rPr>
              <w:fldChar w:fldCharType="begin"/>
            </w:r>
            <w:r w:rsidR="00185396">
              <w:rPr>
                <w:noProof/>
                <w:webHidden/>
              </w:rPr>
              <w:instrText xml:space="preserve"> PAGEREF _Toc80312298 \h </w:instrText>
            </w:r>
            <w:r w:rsidR="00185396">
              <w:rPr>
                <w:noProof/>
                <w:webHidden/>
              </w:rPr>
            </w:r>
            <w:r w:rsidR="00185396">
              <w:rPr>
                <w:noProof/>
                <w:webHidden/>
              </w:rPr>
              <w:fldChar w:fldCharType="separate"/>
            </w:r>
            <w:r w:rsidR="000D1F55">
              <w:rPr>
                <w:noProof/>
                <w:webHidden/>
              </w:rPr>
              <w:t>51</w:t>
            </w:r>
            <w:r w:rsidR="00185396">
              <w:rPr>
                <w:noProof/>
                <w:webHidden/>
              </w:rPr>
              <w:fldChar w:fldCharType="end"/>
            </w:r>
          </w:hyperlink>
        </w:p>
        <w:p w14:paraId="729C9474" w14:textId="5EDFC4E4" w:rsidR="00185396" w:rsidRDefault="00D23EF3">
          <w:pPr>
            <w:pStyle w:val="TDC3"/>
            <w:rPr>
              <w:rFonts w:asciiTheme="minorHAnsi" w:eastAsiaTheme="minorEastAsia" w:hAnsiTheme="minorHAnsi"/>
              <w:noProof/>
              <w:sz w:val="22"/>
              <w:lang w:val="es-EC" w:eastAsia="es-EC"/>
            </w:rPr>
          </w:pPr>
          <w:hyperlink w:anchor="_Toc80312299" w:history="1">
            <w:r w:rsidR="00185396" w:rsidRPr="00FD447E">
              <w:rPr>
                <w:rStyle w:val="Hipervnculo"/>
                <w:rFonts w:eastAsia="Times New Roman"/>
                <w:noProof/>
              </w:rPr>
              <w:t>4.4.1.</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Depuración de la base de datos</w:t>
            </w:r>
            <w:r w:rsidR="00185396">
              <w:rPr>
                <w:noProof/>
                <w:webHidden/>
              </w:rPr>
              <w:tab/>
            </w:r>
            <w:r w:rsidR="00185396">
              <w:rPr>
                <w:noProof/>
                <w:webHidden/>
              </w:rPr>
              <w:fldChar w:fldCharType="begin"/>
            </w:r>
            <w:r w:rsidR="00185396">
              <w:rPr>
                <w:noProof/>
                <w:webHidden/>
              </w:rPr>
              <w:instrText xml:space="preserve"> PAGEREF _Toc80312299 \h </w:instrText>
            </w:r>
            <w:r w:rsidR="00185396">
              <w:rPr>
                <w:noProof/>
                <w:webHidden/>
              </w:rPr>
            </w:r>
            <w:r w:rsidR="00185396">
              <w:rPr>
                <w:noProof/>
                <w:webHidden/>
              </w:rPr>
              <w:fldChar w:fldCharType="separate"/>
            </w:r>
            <w:r w:rsidR="000D1F55">
              <w:rPr>
                <w:noProof/>
                <w:webHidden/>
              </w:rPr>
              <w:t>51</w:t>
            </w:r>
            <w:r w:rsidR="00185396">
              <w:rPr>
                <w:noProof/>
                <w:webHidden/>
              </w:rPr>
              <w:fldChar w:fldCharType="end"/>
            </w:r>
          </w:hyperlink>
        </w:p>
        <w:p w14:paraId="7BF82657" w14:textId="64E41685" w:rsidR="00185396" w:rsidRDefault="00D23EF3">
          <w:pPr>
            <w:pStyle w:val="TDC3"/>
            <w:rPr>
              <w:rFonts w:asciiTheme="minorHAnsi" w:eastAsiaTheme="minorEastAsia" w:hAnsiTheme="minorHAnsi"/>
              <w:noProof/>
              <w:sz w:val="22"/>
              <w:lang w:val="es-EC" w:eastAsia="es-EC"/>
            </w:rPr>
          </w:pPr>
          <w:hyperlink w:anchor="_Toc80312300" w:history="1">
            <w:r w:rsidR="00185396" w:rsidRPr="00FD447E">
              <w:rPr>
                <w:rStyle w:val="Hipervnculo"/>
                <w:rFonts w:eastAsia="Times New Roman"/>
                <w:noProof/>
              </w:rPr>
              <w:t>4.4.2.</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Sistematización de la base de datos</w:t>
            </w:r>
            <w:r w:rsidR="00185396">
              <w:rPr>
                <w:noProof/>
                <w:webHidden/>
              </w:rPr>
              <w:tab/>
            </w:r>
            <w:r w:rsidR="00185396">
              <w:rPr>
                <w:noProof/>
                <w:webHidden/>
              </w:rPr>
              <w:fldChar w:fldCharType="begin"/>
            </w:r>
            <w:r w:rsidR="00185396">
              <w:rPr>
                <w:noProof/>
                <w:webHidden/>
              </w:rPr>
              <w:instrText xml:space="preserve"> PAGEREF _Toc80312300 \h </w:instrText>
            </w:r>
            <w:r w:rsidR="00185396">
              <w:rPr>
                <w:noProof/>
                <w:webHidden/>
              </w:rPr>
            </w:r>
            <w:r w:rsidR="00185396">
              <w:rPr>
                <w:noProof/>
                <w:webHidden/>
              </w:rPr>
              <w:fldChar w:fldCharType="separate"/>
            </w:r>
            <w:r w:rsidR="000D1F55">
              <w:rPr>
                <w:noProof/>
                <w:webHidden/>
              </w:rPr>
              <w:t>51</w:t>
            </w:r>
            <w:r w:rsidR="00185396">
              <w:rPr>
                <w:noProof/>
                <w:webHidden/>
              </w:rPr>
              <w:fldChar w:fldCharType="end"/>
            </w:r>
          </w:hyperlink>
        </w:p>
        <w:p w14:paraId="79E3CFB6" w14:textId="5EA49D27" w:rsidR="00185396" w:rsidRDefault="00D23EF3">
          <w:pPr>
            <w:pStyle w:val="TDC3"/>
            <w:rPr>
              <w:rFonts w:asciiTheme="minorHAnsi" w:eastAsiaTheme="minorEastAsia" w:hAnsiTheme="minorHAnsi"/>
              <w:noProof/>
              <w:sz w:val="22"/>
              <w:lang w:val="es-EC" w:eastAsia="es-EC"/>
            </w:rPr>
          </w:pPr>
          <w:hyperlink w:anchor="_Toc80312301" w:history="1">
            <w:r w:rsidR="00185396" w:rsidRPr="00FD447E">
              <w:rPr>
                <w:rStyle w:val="Hipervnculo"/>
                <w:rFonts w:eastAsia="Times New Roman"/>
                <w:noProof/>
              </w:rPr>
              <w:t>4.4.3.</w:t>
            </w:r>
            <w:r w:rsidR="00185396">
              <w:rPr>
                <w:rFonts w:asciiTheme="minorHAnsi" w:eastAsiaTheme="minorEastAsia" w:hAnsiTheme="minorHAnsi"/>
                <w:noProof/>
                <w:sz w:val="22"/>
                <w:lang w:val="es-EC" w:eastAsia="es-EC"/>
              </w:rPr>
              <w:tab/>
            </w:r>
            <w:r w:rsidR="00185396" w:rsidRPr="00FD447E">
              <w:rPr>
                <w:rStyle w:val="Hipervnculo"/>
                <w:rFonts w:eastAsia="Times New Roman"/>
                <w:noProof/>
              </w:rPr>
              <w:t>Generación de base de datos</w:t>
            </w:r>
            <w:r w:rsidR="00185396">
              <w:rPr>
                <w:noProof/>
                <w:webHidden/>
              </w:rPr>
              <w:tab/>
            </w:r>
            <w:r w:rsidR="00185396">
              <w:rPr>
                <w:noProof/>
                <w:webHidden/>
              </w:rPr>
              <w:fldChar w:fldCharType="begin"/>
            </w:r>
            <w:r w:rsidR="00185396">
              <w:rPr>
                <w:noProof/>
                <w:webHidden/>
              </w:rPr>
              <w:instrText xml:space="preserve"> PAGEREF _Toc80312301 \h </w:instrText>
            </w:r>
            <w:r w:rsidR="00185396">
              <w:rPr>
                <w:noProof/>
                <w:webHidden/>
              </w:rPr>
            </w:r>
            <w:r w:rsidR="00185396">
              <w:rPr>
                <w:noProof/>
                <w:webHidden/>
              </w:rPr>
              <w:fldChar w:fldCharType="separate"/>
            </w:r>
            <w:r w:rsidR="000D1F55">
              <w:rPr>
                <w:noProof/>
                <w:webHidden/>
              </w:rPr>
              <w:t>51</w:t>
            </w:r>
            <w:r w:rsidR="00185396">
              <w:rPr>
                <w:noProof/>
                <w:webHidden/>
              </w:rPr>
              <w:fldChar w:fldCharType="end"/>
            </w:r>
          </w:hyperlink>
        </w:p>
        <w:p w14:paraId="33A47FEA" w14:textId="3129F060" w:rsidR="00185396" w:rsidRDefault="00D23EF3">
          <w:pPr>
            <w:pStyle w:val="TDC1"/>
            <w:rPr>
              <w:rFonts w:asciiTheme="minorHAnsi" w:eastAsiaTheme="minorEastAsia" w:hAnsiTheme="minorHAnsi"/>
              <w:noProof/>
              <w:sz w:val="22"/>
              <w:lang w:val="es-EC" w:eastAsia="es-EC"/>
            </w:rPr>
          </w:pPr>
          <w:hyperlink w:anchor="_Toc80312302" w:history="1">
            <w:r w:rsidR="00185396" w:rsidRPr="00FD447E">
              <w:rPr>
                <w:rStyle w:val="Hipervnculo"/>
                <w:noProof/>
              </w:rPr>
              <w:t>V.</w:t>
            </w:r>
            <w:r w:rsidR="00185396">
              <w:rPr>
                <w:rFonts w:asciiTheme="minorHAnsi" w:eastAsiaTheme="minorEastAsia" w:hAnsiTheme="minorHAnsi"/>
                <w:noProof/>
                <w:sz w:val="22"/>
                <w:lang w:val="es-EC" w:eastAsia="es-EC"/>
              </w:rPr>
              <w:tab/>
            </w:r>
            <w:r w:rsidR="00185396" w:rsidRPr="00FD447E">
              <w:rPr>
                <w:rStyle w:val="Hipervnculo"/>
                <w:noProof/>
              </w:rPr>
              <w:t>RESULTADOS Y DISCUSIÓN</w:t>
            </w:r>
            <w:r w:rsidR="00185396">
              <w:rPr>
                <w:noProof/>
                <w:webHidden/>
              </w:rPr>
              <w:tab/>
            </w:r>
            <w:r w:rsidR="00185396">
              <w:rPr>
                <w:noProof/>
                <w:webHidden/>
              </w:rPr>
              <w:fldChar w:fldCharType="begin"/>
            </w:r>
            <w:r w:rsidR="00185396">
              <w:rPr>
                <w:noProof/>
                <w:webHidden/>
              </w:rPr>
              <w:instrText xml:space="preserve"> PAGEREF _Toc80312302 \h </w:instrText>
            </w:r>
            <w:r w:rsidR="00185396">
              <w:rPr>
                <w:noProof/>
                <w:webHidden/>
              </w:rPr>
            </w:r>
            <w:r w:rsidR="00185396">
              <w:rPr>
                <w:noProof/>
                <w:webHidden/>
              </w:rPr>
              <w:fldChar w:fldCharType="separate"/>
            </w:r>
            <w:r w:rsidR="000D1F55">
              <w:rPr>
                <w:noProof/>
                <w:webHidden/>
              </w:rPr>
              <w:t>52</w:t>
            </w:r>
            <w:r w:rsidR="00185396">
              <w:rPr>
                <w:noProof/>
                <w:webHidden/>
              </w:rPr>
              <w:fldChar w:fldCharType="end"/>
            </w:r>
          </w:hyperlink>
        </w:p>
        <w:p w14:paraId="48CC0528" w14:textId="1BF91DD9" w:rsidR="00185396" w:rsidRDefault="00D23EF3">
          <w:pPr>
            <w:pStyle w:val="TDC2"/>
            <w:rPr>
              <w:rFonts w:asciiTheme="minorHAnsi" w:eastAsiaTheme="minorEastAsia" w:hAnsiTheme="minorHAnsi"/>
              <w:noProof/>
              <w:sz w:val="22"/>
              <w:lang w:val="es-EC" w:eastAsia="es-EC"/>
            </w:rPr>
          </w:pPr>
          <w:hyperlink w:anchor="_Toc80312303" w:history="1">
            <w:r w:rsidR="00185396" w:rsidRPr="00FD447E">
              <w:rPr>
                <w:rStyle w:val="Hipervnculo"/>
                <w:noProof/>
              </w:rPr>
              <w:t>5.1.</w:t>
            </w:r>
            <w:r w:rsidR="00185396">
              <w:rPr>
                <w:rFonts w:asciiTheme="minorHAnsi" w:eastAsiaTheme="minorEastAsia" w:hAnsiTheme="minorHAnsi"/>
                <w:noProof/>
                <w:sz w:val="22"/>
                <w:lang w:val="es-EC" w:eastAsia="es-EC"/>
              </w:rPr>
              <w:tab/>
            </w:r>
            <w:r w:rsidR="00185396" w:rsidRPr="00FD447E">
              <w:rPr>
                <w:rStyle w:val="Hipervnculo"/>
                <w:noProof/>
              </w:rPr>
              <w:t>Base de datos con resultados de ensayos de fertilización en maíz suave</w:t>
            </w:r>
            <w:r w:rsidR="00185396">
              <w:rPr>
                <w:noProof/>
                <w:webHidden/>
              </w:rPr>
              <w:tab/>
            </w:r>
            <w:r w:rsidR="00185396">
              <w:rPr>
                <w:noProof/>
                <w:webHidden/>
              </w:rPr>
              <w:fldChar w:fldCharType="begin"/>
            </w:r>
            <w:r w:rsidR="00185396">
              <w:rPr>
                <w:noProof/>
                <w:webHidden/>
              </w:rPr>
              <w:instrText xml:space="preserve"> PAGEREF _Toc80312303 \h </w:instrText>
            </w:r>
            <w:r w:rsidR="00185396">
              <w:rPr>
                <w:noProof/>
                <w:webHidden/>
              </w:rPr>
            </w:r>
            <w:r w:rsidR="00185396">
              <w:rPr>
                <w:noProof/>
                <w:webHidden/>
              </w:rPr>
              <w:fldChar w:fldCharType="separate"/>
            </w:r>
            <w:r w:rsidR="000D1F55">
              <w:rPr>
                <w:noProof/>
                <w:webHidden/>
              </w:rPr>
              <w:t>52</w:t>
            </w:r>
            <w:r w:rsidR="00185396">
              <w:rPr>
                <w:noProof/>
                <w:webHidden/>
              </w:rPr>
              <w:fldChar w:fldCharType="end"/>
            </w:r>
          </w:hyperlink>
        </w:p>
        <w:p w14:paraId="55EE9E81" w14:textId="387FDB36" w:rsidR="00185396" w:rsidRDefault="00D23EF3">
          <w:pPr>
            <w:pStyle w:val="TDC2"/>
            <w:rPr>
              <w:rFonts w:asciiTheme="minorHAnsi" w:eastAsiaTheme="minorEastAsia" w:hAnsiTheme="minorHAnsi"/>
              <w:noProof/>
              <w:sz w:val="22"/>
              <w:lang w:val="es-EC" w:eastAsia="es-EC"/>
            </w:rPr>
          </w:pPr>
          <w:hyperlink w:anchor="_Toc80312304" w:history="1">
            <w:r w:rsidR="00185396" w:rsidRPr="00FD447E">
              <w:rPr>
                <w:rStyle w:val="Hipervnculo"/>
                <w:noProof/>
              </w:rPr>
              <w:t>5.2.</w:t>
            </w:r>
            <w:r w:rsidR="00185396">
              <w:rPr>
                <w:rFonts w:asciiTheme="minorHAnsi" w:eastAsiaTheme="minorEastAsia" w:hAnsiTheme="minorHAnsi"/>
                <w:noProof/>
                <w:sz w:val="22"/>
                <w:lang w:val="es-EC" w:eastAsia="es-EC"/>
              </w:rPr>
              <w:tab/>
            </w:r>
            <w:r w:rsidR="00185396" w:rsidRPr="00FD447E">
              <w:rPr>
                <w:rStyle w:val="Hipervnculo"/>
                <w:noProof/>
              </w:rPr>
              <w:t>Análisis exploratorio de la base de datos</w:t>
            </w:r>
            <w:r w:rsidR="00185396">
              <w:rPr>
                <w:noProof/>
                <w:webHidden/>
              </w:rPr>
              <w:tab/>
            </w:r>
            <w:r w:rsidR="00185396">
              <w:rPr>
                <w:noProof/>
                <w:webHidden/>
              </w:rPr>
              <w:fldChar w:fldCharType="begin"/>
            </w:r>
            <w:r w:rsidR="00185396">
              <w:rPr>
                <w:noProof/>
                <w:webHidden/>
              </w:rPr>
              <w:instrText xml:space="preserve"> PAGEREF _Toc80312304 \h </w:instrText>
            </w:r>
            <w:r w:rsidR="00185396">
              <w:rPr>
                <w:noProof/>
                <w:webHidden/>
              </w:rPr>
            </w:r>
            <w:r w:rsidR="00185396">
              <w:rPr>
                <w:noProof/>
                <w:webHidden/>
              </w:rPr>
              <w:fldChar w:fldCharType="separate"/>
            </w:r>
            <w:r w:rsidR="000D1F55">
              <w:rPr>
                <w:noProof/>
                <w:webHidden/>
              </w:rPr>
              <w:t>54</w:t>
            </w:r>
            <w:r w:rsidR="00185396">
              <w:rPr>
                <w:noProof/>
                <w:webHidden/>
              </w:rPr>
              <w:fldChar w:fldCharType="end"/>
            </w:r>
          </w:hyperlink>
        </w:p>
        <w:p w14:paraId="3E43A5F0" w14:textId="3363DC3F" w:rsidR="00185396" w:rsidRDefault="00D23EF3">
          <w:pPr>
            <w:pStyle w:val="TDC2"/>
            <w:rPr>
              <w:rFonts w:asciiTheme="minorHAnsi" w:eastAsiaTheme="minorEastAsia" w:hAnsiTheme="minorHAnsi"/>
              <w:noProof/>
              <w:sz w:val="22"/>
              <w:lang w:val="es-EC" w:eastAsia="es-EC"/>
            </w:rPr>
          </w:pPr>
          <w:hyperlink w:anchor="_Toc80312305" w:history="1">
            <w:r w:rsidR="00185396" w:rsidRPr="00FD447E">
              <w:rPr>
                <w:rStyle w:val="Hipervnculo"/>
                <w:noProof/>
              </w:rPr>
              <w:t>5.3.</w:t>
            </w:r>
            <w:r w:rsidR="00185396">
              <w:rPr>
                <w:rFonts w:asciiTheme="minorHAnsi" w:eastAsiaTheme="minorEastAsia" w:hAnsiTheme="minorHAnsi"/>
                <w:noProof/>
                <w:sz w:val="22"/>
                <w:lang w:val="es-EC" w:eastAsia="es-EC"/>
              </w:rPr>
              <w:tab/>
            </w:r>
            <w:r w:rsidR="00185396" w:rsidRPr="00FD447E">
              <w:rPr>
                <w:rStyle w:val="Hipervnculo"/>
                <w:noProof/>
              </w:rPr>
              <w:t>Respuesta del maíz a la fertilización en la Provincia de Bolívar</w:t>
            </w:r>
            <w:r w:rsidR="00185396">
              <w:rPr>
                <w:noProof/>
                <w:webHidden/>
              </w:rPr>
              <w:tab/>
            </w:r>
            <w:r w:rsidR="00185396">
              <w:rPr>
                <w:noProof/>
                <w:webHidden/>
              </w:rPr>
              <w:fldChar w:fldCharType="begin"/>
            </w:r>
            <w:r w:rsidR="00185396">
              <w:rPr>
                <w:noProof/>
                <w:webHidden/>
              </w:rPr>
              <w:instrText xml:space="preserve"> PAGEREF _Toc80312305 \h </w:instrText>
            </w:r>
            <w:r w:rsidR="00185396">
              <w:rPr>
                <w:noProof/>
                <w:webHidden/>
              </w:rPr>
            </w:r>
            <w:r w:rsidR="00185396">
              <w:rPr>
                <w:noProof/>
                <w:webHidden/>
              </w:rPr>
              <w:fldChar w:fldCharType="separate"/>
            </w:r>
            <w:r w:rsidR="000D1F55">
              <w:rPr>
                <w:noProof/>
                <w:webHidden/>
              </w:rPr>
              <w:t>58</w:t>
            </w:r>
            <w:r w:rsidR="00185396">
              <w:rPr>
                <w:noProof/>
                <w:webHidden/>
              </w:rPr>
              <w:fldChar w:fldCharType="end"/>
            </w:r>
          </w:hyperlink>
        </w:p>
        <w:p w14:paraId="4441B151" w14:textId="766222A3" w:rsidR="00185396" w:rsidRDefault="00D23EF3">
          <w:pPr>
            <w:pStyle w:val="TDC3"/>
            <w:rPr>
              <w:rFonts w:asciiTheme="minorHAnsi" w:eastAsiaTheme="minorEastAsia" w:hAnsiTheme="minorHAnsi"/>
              <w:noProof/>
              <w:sz w:val="22"/>
              <w:lang w:val="es-EC" w:eastAsia="es-EC"/>
            </w:rPr>
          </w:pPr>
          <w:hyperlink w:anchor="_Toc80312306" w:history="1">
            <w:r w:rsidR="00185396" w:rsidRPr="00FD447E">
              <w:rPr>
                <w:rStyle w:val="Hipervnculo"/>
                <w:noProof/>
              </w:rPr>
              <w:t>5.3.1.</w:t>
            </w:r>
            <w:r w:rsidR="00185396">
              <w:rPr>
                <w:rFonts w:asciiTheme="minorHAnsi" w:eastAsiaTheme="minorEastAsia" w:hAnsiTheme="minorHAnsi"/>
                <w:noProof/>
                <w:sz w:val="22"/>
                <w:lang w:val="es-EC" w:eastAsia="es-EC"/>
              </w:rPr>
              <w:tab/>
            </w:r>
            <w:r w:rsidR="00185396" w:rsidRPr="00FD447E">
              <w:rPr>
                <w:rStyle w:val="Hipervnculo"/>
                <w:noProof/>
              </w:rPr>
              <w:t>Rendimiento de grano (t 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_Toc80312306 \h </w:instrText>
            </w:r>
            <w:r w:rsidR="00185396">
              <w:rPr>
                <w:noProof/>
                <w:webHidden/>
              </w:rPr>
            </w:r>
            <w:r w:rsidR="00185396">
              <w:rPr>
                <w:noProof/>
                <w:webHidden/>
              </w:rPr>
              <w:fldChar w:fldCharType="separate"/>
            </w:r>
            <w:r w:rsidR="000D1F55">
              <w:rPr>
                <w:noProof/>
                <w:webHidden/>
              </w:rPr>
              <w:t>58</w:t>
            </w:r>
            <w:r w:rsidR="00185396">
              <w:rPr>
                <w:noProof/>
                <w:webHidden/>
              </w:rPr>
              <w:fldChar w:fldCharType="end"/>
            </w:r>
          </w:hyperlink>
        </w:p>
        <w:p w14:paraId="6B56A085" w14:textId="4A9F9EE5" w:rsidR="00185396" w:rsidRDefault="00D23EF3">
          <w:pPr>
            <w:pStyle w:val="TDC3"/>
            <w:rPr>
              <w:rFonts w:asciiTheme="minorHAnsi" w:eastAsiaTheme="minorEastAsia" w:hAnsiTheme="minorHAnsi"/>
              <w:noProof/>
              <w:sz w:val="22"/>
              <w:lang w:val="es-EC" w:eastAsia="es-EC"/>
            </w:rPr>
          </w:pPr>
          <w:hyperlink w:anchor="_Toc80312309" w:history="1">
            <w:r w:rsidR="00185396" w:rsidRPr="00FD447E">
              <w:rPr>
                <w:rStyle w:val="Hipervnculo"/>
                <w:noProof/>
              </w:rPr>
              <w:t>5.3.2.</w:t>
            </w:r>
            <w:r w:rsidR="00185396">
              <w:rPr>
                <w:rFonts w:asciiTheme="minorHAnsi" w:eastAsiaTheme="minorEastAsia" w:hAnsiTheme="minorHAnsi"/>
                <w:noProof/>
                <w:sz w:val="22"/>
                <w:lang w:val="es-EC" w:eastAsia="es-EC"/>
              </w:rPr>
              <w:tab/>
            </w:r>
            <w:r w:rsidR="00185396" w:rsidRPr="00FD447E">
              <w:rPr>
                <w:rStyle w:val="Hipervnculo"/>
                <w:noProof/>
              </w:rPr>
              <w:t>Absorción de nitrógeno (Kg</w:t>
            </w:r>
            <w:r w:rsidR="00185396" w:rsidRPr="00FD447E">
              <w:rPr>
                <w:rStyle w:val="Hipervnculo"/>
                <w:rFonts w:eastAsia="Times New Roman"/>
                <w:noProof/>
                <w:lang w:eastAsia="es-EC"/>
              </w:rPr>
              <w:t>/</w:t>
            </w:r>
            <w:r w:rsidR="00185396" w:rsidRPr="00FD447E">
              <w:rPr>
                <w:rStyle w:val="Hipervnculo"/>
                <w:noProof/>
              </w:rPr>
              <w:t xml:space="preserve"> 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_Toc80312309 \h </w:instrText>
            </w:r>
            <w:r w:rsidR="00185396">
              <w:rPr>
                <w:noProof/>
                <w:webHidden/>
              </w:rPr>
            </w:r>
            <w:r w:rsidR="00185396">
              <w:rPr>
                <w:noProof/>
                <w:webHidden/>
              </w:rPr>
              <w:fldChar w:fldCharType="separate"/>
            </w:r>
            <w:r w:rsidR="000D1F55">
              <w:rPr>
                <w:noProof/>
                <w:webHidden/>
              </w:rPr>
              <w:t>62</w:t>
            </w:r>
            <w:r w:rsidR="00185396">
              <w:rPr>
                <w:noProof/>
                <w:webHidden/>
              </w:rPr>
              <w:fldChar w:fldCharType="end"/>
            </w:r>
          </w:hyperlink>
        </w:p>
        <w:p w14:paraId="7558EC20" w14:textId="4A276D20" w:rsidR="00185396" w:rsidRDefault="00D23EF3">
          <w:pPr>
            <w:pStyle w:val="TDC3"/>
            <w:rPr>
              <w:rFonts w:asciiTheme="minorHAnsi" w:eastAsiaTheme="minorEastAsia" w:hAnsiTheme="minorHAnsi"/>
              <w:noProof/>
              <w:sz w:val="22"/>
              <w:lang w:val="es-EC" w:eastAsia="es-EC"/>
            </w:rPr>
          </w:pPr>
          <w:hyperlink w:anchor="_Toc80312310" w:history="1">
            <w:r w:rsidR="00185396" w:rsidRPr="00FD447E">
              <w:rPr>
                <w:rStyle w:val="Hipervnculo"/>
                <w:rFonts w:eastAsia="Times New Roman"/>
                <w:noProof/>
                <w:lang w:eastAsia="es-EC"/>
              </w:rPr>
              <w:t>5.3.3.</w:t>
            </w:r>
            <w:r w:rsidR="00185396">
              <w:rPr>
                <w:rFonts w:asciiTheme="minorHAnsi" w:eastAsiaTheme="minorEastAsia" w:hAnsiTheme="minorHAnsi"/>
                <w:noProof/>
                <w:sz w:val="22"/>
                <w:lang w:val="es-EC" w:eastAsia="es-EC"/>
              </w:rPr>
              <w:tab/>
            </w:r>
            <w:r w:rsidR="00185396" w:rsidRPr="00FD447E">
              <w:rPr>
                <w:rStyle w:val="Hipervnculo"/>
                <w:noProof/>
              </w:rPr>
              <w:t>Absorción de fósforo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_Toc80312310 \h </w:instrText>
            </w:r>
            <w:r w:rsidR="00185396">
              <w:rPr>
                <w:noProof/>
                <w:webHidden/>
              </w:rPr>
            </w:r>
            <w:r w:rsidR="00185396">
              <w:rPr>
                <w:noProof/>
                <w:webHidden/>
              </w:rPr>
              <w:fldChar w:fldCharType="separate"/>
            </w:r>
            <w:r w:rsidR="000D1F55">
              <w:rPr>
                <w:noProof/>
                <w:webHidden/>
              </w:rPr>
              <w:t>65</w:t>
            </w:r>
            <w:r w:rsidR="00185396">
              <w:rPr>
                <w:noProof/>
                <w:webHidden/>
              </w:rPr>
              <w:fldChar w:fldCharType="end"/>
            </w:r>
          </w:hyperlink>
        </w:p>
        <w:p w14:paraId="6E74488F" w14:textId="35B29591" w:rsidR="00185396" w:rsidRDefault="00D23EF3" w:rsidP="00185396">
          <w:pPr>
            <w:pStyle w:val="TDC3"/>
            <w:rPr>
              <w:rFonts w:asciiTheme="minorHAnsi" w:eastAsiaTheme="minorEastAsia" w:hAnsiTheme="minorHAnsi"/>
              <w:noProof/>
              <w:sz w:val="22"/>
              <w:lang w:val="es-EC" w:eastAsia="es-EC"/>
            </w:rPr>
          </w:pPr>
          <w:hyperlink w:anchor="_Toc80312311" w:history="1">
            <w:r w:rsidR="00185396" w:rsidRPr="00FD447E">
              <w:rPr>
                <w:rStyle w:val="Hipervnculo"/>
                <w:noProof/>
              </w:rPr>
              <w:t>5.3.5.</w:t>
            </w:r>
            <w:r w:rsidR="00185396">
              <w:rPr>
                <w:rFonts w:asciiTheme="minorHAnsi" w:eastAsiaTheme="minorEastAsia" w:hAnsiTheme="minorHAnsi"/>
                <w:noProof/>
                <w:sz w:val="22"/>
                <w:lang w:val="es-EC" w:eastAsia="es-EC"/>
              </w:rPr>
              <w:tab/>
            </w:r>
            <w:r w:rsidR="00185396" w:rsidRPr="00FD447E">
              <w:rPr>
                <w:rStyle w:val="Hipervnculo"/>
                <w:noProof/>
              </w:rPr>
              <w:t>Absorción de potasio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_Toc80312311 \h </w:instrText>
            </w:r>
            <w:r w:rsidR="00185396">
              <w:rPr>
                <w:noProof/>
                <w:webHidden/>
              </w:rPr>
            </w:r>
            <w:r w:rsidR="00185396">
              <w:rPr>
                <w:noProof/>
                <w:webHidden/>
              </w:rPr>
              <w:fldChar w:fldCharType="separate"/>
            </w:r>
            <w:r w:rsidR="000D1F55">
              <w:rPr>
                <w:noProof/>
                <w:webHidden/>
              </w:rPr>
              <w:t>69</w:t>
            </w:r>
            <w:r w:rsidR="00185396">
              <w:rPr>
                <w:noProof/>
                <w:webHidden/>
              </w:rPr>
              <w:fldChar w:fldCharType="end"/>
            </w:r>
          </w:hyperlink>
        </w:p>
        <w:p w14:paraId="4E6C6DAC" w14:textId="45F16E57" w:rsidR="00185396" w:rsidRDefault="00D23EF3" w:rsidP="00185396">
          <w:pPr>
            <w:pStyle w:val="TDC3"/>
            <w:rPr>
              <w:rFonts w:asciiTheme="minorHAnsi" w:eastAsiaTheme="minorEastAsia" w:hAnsiTheme="minorHAnsi"/>
              <w:noProof/>
              <w:sz w:val="22"/>
              <w:lang w:val="es-EC" w:eastAsia="es-EC"/>
            </w:rPr>
          </w:pPr>
          <w:hyperlink w:anchor="_Toc80312313" w:history="1">
            <w:r w:rsidR="00185396" w:rsidRPr="00FD447E">
              <w:rPr>
                <w:rStyle w:val="Hipervnculo"/>
                <w:noProof/>
              </w:rPr>
              <w:t>5.3.6.</w:t>
            </w:r>
            <w:r w:rsidR="00185396">
              <w:rPr>
                <w:rFonts w:asciiTheme="minorHAnsi" w:eastAsiaTheme="minorEastAsia" w:hAnsiTheme="minorHAnsi"/>
                <w:noProof/>
                <w:sz w:val="22"/>
                <w:lang w:val="es-EC" w:eastAsia="es-EC"/>
              </w:rPr>
              <w:tab/>
            </w:r>
            <w:r w:rsidR="00185396" w:rsidRPr="00FD447E">
              <w:rPr>
                <w:rStyle w:val="Hipervnculo"/>
                <w:noProof/>
              </w:rPr>
              <w:t>Absorción de azufre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_Toc80312313 \h </w:instrText>
            </w:r>
            <w:r w:rsidR="00185396">
              <w:rPr>
                <w:noProof/>
                <w:webHidden/>
              </w:rPr>
            </w:r>
            <w:r w:rsidR="00185396">
              <w:rPr>
                <w:noProof/>
                <w:webHidden/>
              </w:rPr>
              <w:fldChar w:fldCharType="separate"/>
            </w:r>
            <w:r w:rsidR="000D1F55">
              <w:rPr>
                <w:noProof/>
                <w:webHidden/>
              </w:rPr>
              <w:t>72</w:t>
            </w:r>
            <w:r w:rsidR="00185396">
              <w:rPr>
                <w:noProof/>
                <w:webHidden/>
              </w:rPr>
              <w:fldChar w:fldCharType="end"/>
            </w:r>
          </w:hyperlink>
        </w:p>
        <w:p w14:paraId="30B831FB" w14:textId="04BDAA72" w:rsidR="00185396" w:rsidRDefault="00D23EF3">
          <w:pPr>
            <w:pStyle w:val="TDC3"/>
            <w:rPr>
              <w:rFonts w:asciiTheme="minorHAnsi" w:eastAsiaTheme="minorEastAsia" w:hAnsiTheme="minorHAnsi"/>
              <w:noProof/>
              <w:sz w:val="22"/>
              <w:lang w:val="es-EC" w:eastAsia="es-EC"/>
            </w:rPr>
          </w:pPr>
          <w:hyperlink w:anchor="_Toc80312317" w:history="1">
            <w:r w:rsidR="00185396" w:rsidRPr="00FD447E">
              <w:rPr>
                <w:rStyle w:val="Hipervnculo"/>
                <w:noProof/>
              </w:rPr>
              <w:t>5.3.7.</w:t>
            </w:r>
            <w:r w:rsidR="00185396">
              <w:rPr>
                <w:rFonts w:asciiTheme="minorHAnsi" w:eastAsiaTheme="minorEastAsia" w:hAnsiTheme="minorHAnsi"/>
                <w:noProof/>
                <w:sz w:val="22"/>
                <w:lang w:val="es-EC" w:eastAsia="es-EC"/>
              </w:rPr>
              <w:tab/>
            </w:r>
            <w:r w:rsidR="00185396" w:rsidRPr="00FD447E">
              <w:rPr>
                <w:rStyle w:val="Hipervnculo"/>
                <w:noProof/>
              </w:rPr>
              <w:t>Absorción de magnesio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_Toc80312317 \h </w:instrText>
            </w:r>
            <w:r w:rsidR="00185396">
              <w:rPr>
                <w:noProof/>
                <w:webHidden/>
              </w:rPr>
            </w:r>
            <w:r w:rsidR="00185396">
              <w:rPr>
                <w:noProof/>
                <w:webHidden/>
              </w:rPr>
              <w:fldChar w:fldCharType="separate"/>
            </w:r>
            <w:r w:rsidR="000D1F55">
              <w:rPr>
                <w:noProof/>
                <w:webHidden/>
              </w:rPr>
              <w:t>75</w:t>
            </w:r>
            <w:r w:rsidR="00185396">
              <w:rPr>
                <w:noProof/>
                <w:webHidden/>
              </w:rPr>
              <w:fldChar w:fldCharType="end"/>
            </w:r>
          </w:hyperlink>
        </w:p>
        <w:p w14:paraId="16C17E5A" w14:textId="759BC451" w:rsidR="00185396" w:rsidRDefault="00D23EF3">
          <w:pPr>
            <w:pStyle w:val="TDC2"/>
            <w:rPr>
              <w:rFonts w:asciiTheme="minorHAnsi" w:eastAsiaTheme="minorEastAsia" w:hAnsiTheme="minorHAnsi"/>
              <w:noProof/>
              <w:sz w:val="22"/>
              <w:lang w:val="es-EC" w:eastAsia="es-EC"/>
            </w:rPr>
          </w:pPr>
          <w:hyperlink w:anchor="_Toc80312320" w:history="1">
            <w:r w:rsidR="00185396" w:rsidRPr="00FD447E">
              <w:rPr>
                <w:rStyle w:val="Hipervnculo"/>
                <w:noProof/>
              </w:rPr>
              <w:t>5.4.</w:t>
            </w:r>
            <w:r w:rsidR="00185396">
              <w:rPr>
                <w:rFonts w:asciiTheme="minorHAnsi" w:eastAsiaTheme="minorEastAsia" w:hAnsiTheme="minorHAnsi"/>
                <w:noProof/>
                <w:sz w:val="22"/>
                <w:lang w:val="es-EC" w:eastAsia="es-EC"/>
              </w:rPr>
              <w:tab/>
            </w:r>
            <w:r w:rsidR="00185396" w:rsidRPr="00FD447E">
              <w:rPr>
                <w:rStyle w:val="Hipervnculo"/>
                <w:noProof/>
              </w:rPr>
              <w:t>Respuesta del maíz a la fertilización c en la provincia de Chimborazo</w:t>
            </w:r>
            <w:r w:rsidR="00185396">
              <w:rPr>
                <w:noProof/>
                <w:webHidden/>
              </w:rPr>
              <w:tab/>
            </w:r>
            <w:r w:rsidR="00185396">
              <w:rPr>
                <w:noProof/>
                <w:webHidden/>
              </w:rPr>
              <w:fldChar w:fldCharType="begin"/>
            </w:r>
            <w:r w:rsidR="00185396">
              <w:rPr>
                <w:noProof/>
                <w:webHidden/>
              </w:rPr>
              <w:instrText xml:space="preserve"> PAGEREF _Toc80312320 \h </w:instrText>
            </w:r>
            <w:r w:rsidR="00185396">
              <w:rPr>
                <w:noProof/>
                <w:webHidden/>
              </w:rPr>
            </w:r>
            <w:r w:rsidR="00185396">
              <w:rPr>
                <w:noProof/>
                <w:webHidden/>
              </w:rPr>
              <w:fldChar w:fldCharType="separate"/>
            </w:r>
            <w:r w:rsidR="000D1F55">
              <w:rPr>
                <w:noProof/>
                <w:webHidden/>
              </w:rPr>
              <w:t>79</w:t>
            </w:r>
            <w:r w:rsidR="00185396">
              <w:rPr>
                <w:noProof/>
                <w:webHidden/>
              </w:rPr>
              <w:fldChar w:fldCharType="end"/>
            </w:r>
          </w:hyperlink>
        </w:p>
        <w:p w14:paraId="18190E4D" w14:textId="4076D8E0" w:rsidR="00185396" w:rsidRDefault="00D23EF3">
          <w:pPr>
            <w:pStyle w:val="TDC3"/>
            <w:rPr>
              <w:rFonts w:asciiTheme="minorHAnsi" w:eastAsiaTheme="minorEastAsia" w:hAnsiTheme="minorHAnsi"/>
              <w:noProof/>
              <w:sz w:val="22"/>
              <w:lang w:val="es-EC" w:eastAsia="es-EC"/>
            </w:rPr>
          </w:pPr>
          <w:hyperlink w:anchor="_Toc80312321" w:history="1">
            <w:r w:rsidR="00185396" w:rsidRPr="00FD447E">
              <w:rPr>
                <w:rStyle w:val="Hipervnculo"/>
                <w:noProof/>
              </w:rPr>
              <w:t>5.4.1.</w:t>
            </w:r>
            <w:r w:rsidR="00185396">
              <w:rPr>
                <w:rFonts w:asciiTheme="minorHAnsi" w:eastAsiaTheme="minorEastAsia" w:hAnsiTheme="minorHAnsi"/>
                <w:noProof/>
                <w:sz w:val="22"/>
                <w:lang w:val="es-EC" w:eastAsia="es-EC"/>
              </w:rPr>
              <w:tab/>
            </w:r>
            <w:r w:rsidR="00185396" w:rsidRPr="00FD447E">
              <w:rPr>
                <w:rStyle w:val="Hipervnculo"/>
                <w:noProof/>
              </w:rPr>
              <w:t>Rendimiento (t 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_Toc80312321 \h </w:instrText>
            </w:r>
            <w:r w:rsidR="00185396">
              <w:rPr>
                <w:noProof/>
                <w:webHidden/>
              </w:rPr>
            </w:r>
            <w:r w:rsidR="00185396">
              <w:rPr>
                <w:noProof/>
                <w:webHidden/>
              </w:rPr>
              <w:fldChar w:fldCharType="separate"/>
            </w:r>
            <w:r w:rsidR="000D1F55">
              <w:rPr>
                <w:noProof/>
                <w:webHidden/>
              </w:rPr>
              <w:t>79</w:t>
            </w:r>
            <w:r w:rsidR="00185396">
              <w:rPr>
                <w:noProof/>
                <w:webHidden/>
              </w:rPr>
              <w:fldChar w:fldCharType="end"/>
            </w:r>
          </w:hyperlink>
        </w:p>
        <w:p w14:paraId="14465E04" w14:textId="60AFD141" w:rsidR="00185396" w:rsidRDefault="00D23EF3">
          <w:pPr>
            <w:pStyle w:val="TDC3"/>
            <w:rPr>
              <w:rFonts w:asciiTheme="minorHAnsi" w:eastAsiaTheme="minorEastAsia" w:hAnsiTheme="minorHAnsi"/>
              <w:noProof/>
              <w:sz w:val="22"/>
              <w:lang w:val="es-EC" w:eastAsia="es-EC"/>
            </w:rPr>
          </w:pPr>
          <w:hyperlink w:anchor="_Toc80312322" w:history="1">
            <w:r w:rsidR="00185396" w:rsidRPr="00FD447E">
              <w:rPr>
                <w:rStyle w:val="Hipervnculo"/>
                <w:noProof/>
              </w:rPr>
              <w:t>5.4.2.</w:t>
            </w:r>
            <w:r w:rsidR="00185396">
              <w:rPr>
                <w:rFonts w:asciiTheme="minorHAnsi" w:eastAsiaTheme="minorEastAsia" w:hAnsiTheme="minorHAnsi"/>
                <w:noProof/>
                <w:sz w:val="22"/>
                <w:lang w:val="es-EC" w:eastAsia="es-EC"/>
              </w:rPr>
              <w:tab/>
            </w:r>
            <w:r w:rsidR="00185396" w:rsidRPr="00FD447E">
              <w:rPr>
                <w:rStyle w:val="Hipervnculo"/>
                <w:noProof/>
              </w:rPr>
              <w:t>Absorción de nitrógeno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_Toc80312322 \h </w:instrText>
            </w:r>
            <w:r w:rsidR="00185396">
              <w:rPr>
                <w:noProof/>
                <w:webHidden/>
              </w:rPr>
            </w:r>
            <w:r w:rsidR="00185396">
              <w:rPr>
                <w:noProof/>
                <w:webHidden/>
              </w:rPr>
              <w:fldChar w:fldCharType="separate"/>
            </w:r>
            <w:r w:rsidR="000D1F55">
              <w:rPr>
                <w:noProof/>
                <w:webHidden/>
              </w:rPr>
              <w:t>82</w:t>
            </w:r>
            <w:r w:rsidR="00185396">
              <w:rPr>
                <w:noProof/>
                <w:webHidden/>
              </w:rPr>
              <w:fldChar w:fldCharType="end"/>
            </w:r>
          </w:hyperlink>
        </w:p>
        <w:p w14:paraId="6B3D4BBF" w14:textId="77A9F30B" w:rsidR="00185396" w:rsidRDefault="00D23EF3">
          <w:pPr>
            <w:pStyle w:val="TDC3"/>
            <w:rPr>
              <w:rFonts w:asciiTheme="minorHAnsi" w:eastAsiaTheme="minorEastAsia" w:hAnsiTheme="minorHAnsi"/>
              <w:noProof/>
              <w:sz w:val="22"/>
              <w:lang w:val="es-EC" w:eastAsia="es-EC"/>
            </w:rPr>
          </w:pPr>
          <w:hyperlink w:anchor="_Toc80312324" w:history="1">
            <w:r w:rsidR="00185396" w:rsidRPr="00FD447E">
              <w:rPr>
                <w:rStyle w:val="Hipervnculo"/>
                <w:noProof/>
              </w:rPr>
              <w:t>5.4.3.</w:t>
            </w:r>
            <w:r w:rsidR="00185396">
              <w:rPr>
                <w:rFonts w:asciiTheme="minorHAnsi" w:eastAsiaTheme="minorEastAsia" w:hAnsiTheme="minorHAnsi"/>
                <w:noProof/>
                <w:sz w:val="22"/>
                <w:lang w:val="es-EC" w:eastAsia="es-EC"/>
              </w:rPr>
              <w:tab/>
            </w:r>
            <w:r w:rsidR="00185396" w:rsidRPr="00FD447E">
              <w:rPr>
                <w:rStyle w:val="Hipervnculo"/>
                <w:noProof/>
              </w:rPr>
              <w:t>Absorción del fósforo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_Toc80312324 \h </w:instrText>
            </w:r>
            <w:r w:rsidR="00185396">
              <w:rPr>
                <w:noProof/>
                <w:webHidden/>
              </w:rPr>
            </w:r>
            <w:r w:rsidR="00185396">
              <w:rPr>
                <w:noProof/>
                <w:webHidden/>
              </w:rPr>
              <w:fldChar w:fldCharType="separate"/>
            </w:r>
            <w:r w:rsidR="000D1F55">
              <w:rPr>
                <w:noProof/>
                <w:webHidden/>
              </w:rPr>
              <w:t>86</w:t>
            </w:r>
            <w:r w:rsidR="00185396">
              <w:rPr>
                <w:noProof/>
                <w:webHidden/>
              </w:rPr>
              <w:fldChar w:fldCharType="end"/>
            </w:r>
          </w:hyperlink>
        </w:p>
        <w:p w14:paraId="298FE170" w14:textId="56CD44AB" w:rsidR="00185396" w:rsidRDefault="00D23EF3">
          <w:pPr>
            <w:pStyle w:val="TDC3"/>
            <w:rPr>
              <w:rFonts w:asciiTheme="minorHAnsi" w:eastAsiaTheme="minorEastAsia" w:hAnsiTheme="minorHAnsi"/>
              <w:noProof/>
              <w:sz w:val="22"/>
              <w:lang w:val="es-EC" w:eastAsia="es-EC"/>
            </w:rPr>
          </w:pPr>
          <w:hyperlink w:anchor="_Toc80312325" w:history="1">
            <w:r w:rsidR="00185396" w:rsidRPr="00FD447E">
              <w:rPr>
                <w:rStyle w:val="Hipervnculo"/>
                <w:noProof/>
              </w:rPr>
              <w:t>5.4.4.</w:t>
            </w:r>
            <w:r w:rsidR="00185396">
              <w:rPr>
                <w:rFonts w:asciiTheme="minorHAnsi" w:eastAsiaTheme="minorEastAsia" w:hAnsiTheme="minorHAnsi"/>
                <w:noProof/>
                <w:sz w:val="22"/>
                <w:lang w:val="es-EC" w:eastAsia="es-EC"/>
              </w:rPr>
              <w:tab/>
            </w:r>
            <w:r w:rsidR="00185396" w:rsidRPr="00FD447E">
              <w:rPr>
                <w:rStyle w:val="Hipervnculo"/>
                <w:noProof/>
              </w:rPr>
              <w:t>Absorción de potasio (Kg</w:t>
            </w:r>
            <w:r w:rsidR="00185396" w:rsidRPr="00FD447E">
              <w:rPr>
                <w:rStyle w:val="Hipervnculo"/>
                <w:rFonts w:eastAsia="Times New Roman"/>
                <w:noProof/>
                <w:lang w:eastAsia="es-EC"/>
              </w:rPr>
              <w:t>/</w:t>
            </w:r>
            <w:r w:rsidR="00185396" w:rsidRPr="00FD447E">
              <w:rPr>
                <w:rStyle w:val="Hipervnculo"/>
                <w:noProof/>
              </w:rPr>
              <w:t>ha)</w:t>
            </w:r>
            <w:r w:rsidR="00185396">
              <w:rPr>
                <w:noProof/>
                <w:webHidden/>
              </w:rPr>
              <w:tab/>
            </w:r>
            <w:r w:rsidR="00185396">
              <w:rPr>
                <w:noProof/>
                <w:webHidden/>
              </w:rPr>
              <w:fldChar w:fldCharType="begin"/>
            </w:r>
            <w:r w:rsidR="00185396">
              <w:rPr>
                <w:noProof/>
                <w:webHidden/>
              </w:rPr>
              <w:instrText xml:space="preserve"> PAGEREF _Toc80312325 \h </w:instrText>
            </w:r>
            <w:r w:rsidR="00185396">
              <w:rPr>
                <w:noProof/>
                <w:webHidden/>
              </w:rPr>
            </w:r>
            <w:r w:rsidR="00185396">
              <w:rPr>
                <w:noProof/>
                <w:webHidden/>
              </w:rPr>
              <w:fldChar w:fldCharType="separate"/>
            </w:r>
            <w:r w:rsidR="000D1F55">
              <w:rPr>
                <w:noProof/>
                <w:webHidden/>
              </w:rPr>
              <w:t>89</w:t>
            </w:r>
            <w:r w:rsidR="00185396">
              <w:rPr>
                <w:noProof/>
                <w:webHidden/>
              </w:rPr>
              <w:fldChar w:fldCharType="end"/>
            </w:r>
          </w:hyperlink>
        </w:p>
        <w:p w14:paraId="01F1DE26" w14:textId="1E93D01E" w:rsidR="00185396" w:rsidRDefault="00D23EF3">
          <w:pPr>
            <w:pStyle w:val="TDC3"/>
            <w:rPr>
              <w:rFonts w:asciiTheme="minorHAnsi" w:eastAsiaTheme="minorEastAsia" w:hAnsiTheme="minorHAnsi"/>
              <w:noProof/>
              <w:sz w:val="22"/>
              <w:lang w:val="es-EC" w:eastAsia="es-EC"/>
            </w:rPr>
          </w:pPr>
          <w:hyperlink w:anchor="_Toc80312328" w:history="1">
            <w:r w:rsidR="00185396" w:rsidRPr="00FD447E">
              <w:rPr>
                <w:rStyle w:val="Hipervnculo"/>
                <w:noProof/>
              </w:rPr>
              <w:t>5.4.5.</w:t>
            </w:r>
            <w:r w:rsidR="00185396">
              <w:rPr>
                <w:rFonts w:asciiTheme="minorHAnsi" w:eastAsiaTheme="minorEastAsia" w:hAnsiTheme="minorHAnsi"/>
                <w:noProof/>
                <w:sz w:val="22"/>
                <w:lang w:val="es-EC" w:eastAsia="es-EC"/>
              </w:rPr>
              <w:tab/>
            </w:r>
            <w:r w:rsidR="00185396" w:rsidRPr="00FD447E">
              <w:rPr>
                <w:rStyle w:val="Hipervnculo"/>
                <w:noProof/>
              </w:rPr>
              <w:t>Absorción de azufre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_Toc80312328 \h </w:instrText>
            </w:r>
            <w:r w:rsidR="00185396">
              <w:rPr>
                <w:noProof/>
                <w:webHidden/>
              </w:rPr>
            </w:r>
            <w:r w:rsidR="00185396">
              <w:rPr>
                <w:noProof/>
                <w:webHidden/>
              </w:rPr>
              <w:fldChar w:fldCharType="separate"/>
            </w:r>
            <w:r w:rsidR="000D1F55">
              <w:rPr>
                <w:noProof/>
                <w:webHidden/>
              </w:rPr>
              <w:t>92</w:t>
            </w:r>
            <w:r w:rsidR="00185396">
              <w:rPr>
                <w:noProof/>
                <w:webHidden/>
              </w:rPr>
              <w:fldChar w:fldCharType="end"/>
            </w:r>
          </w:hyperlink>
        </w:p>
        <w:p w14:paraId="6674B09D" w14:textId="510E46EA" w:rsidR="00185396" w:rsidRDefault="00D23EF3">
          <w:pPr>
            <w:pStyle w:val="TDC3"/>
            <w:rPr>
              <w:rFonts w:asciiTheme="minorHAnsi" w:eastAsiaTheme="minorEastAsia" w:hAnsiTheme="minorHAnsi"/>
              <w:noProof/>
              <w:sz w:val="22"/>
              <w:lang w:val="es-EC" w:eastAsia="es-EC"/>
            </w:rPr>
          </w:pPr>
          <w:hyperlink w:anchor="_Toc80312330" w:history="1">
            <w:r w:rsidR="00185396" w:rsidRPr="00FD447E">
              <w:rPr>
                <w:rStyle w:val="Hipervnculo"/>
                <w:rFonts w:eastAsia="Times New Roman"/>
                <w:noProof/>
                <w:lang w:eastAsia="es-EC"/>
              </w:rPr>
              <w:t>5.4.6.</w:t>
            </w:r>
            <w:r w:rsidR="00185396">
              <w:rPr>
                <w:rFonts w:asciiTheme="minorHAnsi" w:eastAsiaTheme="minorEastAsia" w:hAnsiTheme="minorHAnsi"/>
                <w:noProof/>
                <w:sz w:val="22"/>
                <w:lang w:val="es-EC" w:eastAsia="es-EC"/>
              </w:rPr>
              <w:tab/>
            </w:r>
            <w:r w:rsidR="00185396" w:rsidRPr="00FD447E">
              <w:rPr>
                <w:rStyle w:val="Hipervnculo"/>
                <w:noProof/>
              </w:rPr>
              <w:t xml:space="preserve">Absorción de magnesio </w:t>
            </w:r>
            <w:r w:rsidR="00185396" w:rsidRPr="00FD447E">
              <w:rPr>
                <w:rStyle w:val="Hipervnculo"/>
                <w:rFonts w:eastAsia="Times New Roman"/>
                <w:noProof/>
                <w:lang w:eastAsia="es-EC"/>
              </w:rPr>
              <w:t>(kg/ha</w:t>
            </w:r>
            <w:r w:rsidR="00185396" w:rsidRPr="00FD447E">
              <w:rPr>
                <w:rStyle w:val="Hipervnculo"/>
                <w:rFonts w:eastAsia="Times New Roman"/>
                <w:noProof/>
                <w:vertAlign w:val="superscript"/>
                <w:lang w:eastAsia="es-EC"/>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_Toc80312330 \h </w:instrText>
            </w:r>
            <w:r w:rsidR="00185396">
              <w:rPr>
                <w:noProof/>
                <w:webHidden/>
              </w:rPr>
            </w:r>
            <w:r w:rsidR="00185396">
              <w:rPr>
                <w:noProof/>
                <w:webHidden/>
              </w:rPr>
              <w:fldChar w:fldCharType="separate"/>
            </w:r>
            <w:r w:rsidR="000D1F55">
              <w:rPr>
                <w:noProof/>
                <w:webHidden/>
              </w:rPr>
              <w:t>95</w:t>
            </w:r>
            <w:r w:rsidR="00185396">
              <w:rPr>
                <w:noProof/>
                <w:webHidden/>
              </w:rPr>
              <w:fldChar w:fldCharType="end"/>
            </w:r>
          </w:hyperlink>
        </w:p>
        <w:p w14:paraId="65C61A84" w14:textId="03F18371" w:rsidR="00185396" w:rsidRDefault="00D23EF3">
          <w:pPr>
            <w:pStyle w:val="TDC2"/>
            <w:rPr>
              <w:rFonts w:asciiTheme="minorHAnsi" w:eastAsiaTheme="minorEastAsia" w:hAnsiTheme="minorHAnsi"/>
              <w:noProof/>
              <w:sz w:val="22"/>
              <w:lang w:val="es-EC" w:eastAsia="es-EC"/>
            </w:rPr>
          </w:pPr>
          <w:hyperlink w:anchor="_Toc80312334" w:history="1">
            <w:r w:rsidR="00185396" w:rsidRPr="00FD447E">
              <w:rPr>
                <w:rStyle w:val="Hipervnculo"/>
                <w:noProof/>
              </w:rPr>
              <w:t>5.5.</w:t>
            </w:r>
            <w:r w:rsidR="00185396">
              <w:rPr>
                <w:rFonts w:asciiTheme="minorHAnsi" w:eastAsiaTheme="minorEastAsia" w:hAnsiTheme="minorHAnsi"/>
                <w:noProof/>
                <w:sz w:val="22"/>
                <w:lang w:val="es-EC" w:eastAsia="es-EC"/>
              </w:rPr>
              <w:tab/>
            </w:r>
            <w:r w:rsidR="00185396" w:rsidRPr="00FD447E">
              <w:rPr>
                <w:rStyle w:val="Hipervnculo"/>
                <w:noProof/>
              </w:rPr>
              <w:t>Respuesta del maíz suave a la fertilización  en la provincia de Imbabura</w:t>
            </w:r>
            <w:r w:rsidR="00185396">
              <w:rPr>
                <w:noProof/>
                <w:webHidden/>
              </w:rPr>
              <w:tab/>
            </w:r>
            <w:r w:rsidR="00185396">
              <w:rPr>
                <w:noProof/>
                <w:webHidden/>
              </w:rPr>
              <w:fldChar w:fldCharType="begin"/>
            </w:r>
            <w:r w:rsidR="00185396">
              <w:rPr>
                <w:noProof/>
                <w:webHidden/>
              </w:rPr>
              <w:instrText xml:space="preserve"> PAGEREF _Toc80312334 \h </w:instrText>
            </w:r>
            <w:r w:rsidR="00185396">
              <w:rPr>
                <w:noProof/>
                <w:webHidden/>
              </w:rPr>
            </w:r>
            <w:r w:rsidR="00185396">
              <w:rPr>
                <w:noProof/>
                <w:webHidden/>
              </w:rPr>
              <w:fldChar w:fldCharType="separate"/>
            </w:r>
            <w:r w:rsidR="000D1F55">
              <w:rPr>
                <w:noProof/>
                <w:webHidden/>
              </w:rPr>
              <w:t>99</w:t>
            </w:r>
            <w:r w:rsidR="00185396">
              <w:rPr>
                <w:noProof/>
                <w:webHidden/>
              </w:rPr>
              <w:fldChar w:fldCharType="end"/>
            </w:r>
          </w:hyperlink>
        </w:p>
        <w:p w14:paraId="7BF434C2" w14:textId="7F86D35B" w:rsidR="00185396" w:rsidRDefault="00D23EF3">
          <w:pPr>
            <w:pStyle w:val="TDC3"/>
            <w:rPr>
              <w:rFonts w:asciiTheme="minorHAnsi" w:eastAsiaTheme="minorEastAsia" w:hAnsiTheme="minorHAnsi"/>
              <w:noProof/>
              <w:sz w:val="22"/>
              <w:lang w:val="es-EC" w:eastAsia="es-EC"/>
            </w:rPr>
          </w:pPr>
          <w:hyperlink w:anchor="_Toc80312335" w:history="1">
            <w:r w:rsidR="00185396" w:rsidRPr="00FD447E">
              <w:rPr>
                <w:rStyle w:val="Hipervnculo"/>
                <w:noProof/>
              </w:rPr>
              <w:t>5.5.1.</w:t>
            </w:r>
            <w:r w:rsidR="00185396">
              <w:rPr>
                <w:rFonts w:asciiTheme="minorHAnsi" w:eastAsiaTheme="minorEastAsia" w:hAnsiTheme="minorHAnsi"/>
                <w:noProof/>
                <w:sz w:val="22"/>
                <w:lang w:val="es-EC" w:eastAsia="es-EC"/>
              </w:rPr>
              <w:tab/>
            </w:r>
            <w:r w:rsidR="00185396" w:rsidRPr="00FD447E">
              <w:rPr>
                <w:rStyle w:val="Hipervnculo"/>
                <w:noProof/>
              </w:rPr>
              <w:t>Rendimiento (t 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_Toc80312335 \h </w:instrText>
            </w:r>
            <w:r w:rsidR="00185396">
              <w:rPr>
                <w:noProof/>
                <w:webHidden/>
              </w:rPr>
            </w:r>
            <w:r w:rsidR="00185396">
              <w:rPr>
                <w:noProof/>
                <w:webHidden/>
              </w:rPr>
              <w:fldChar w:fldCharType="separate"/>
            </w:r>
            <w:r w:rsidR="000D1F55">
              <w:rPr>
                <w:noProof/>
                <w:webHidden/>
              </w:rPr>
              <w:t>99</w:t>
            </w:r>
            <w:r w:rsidR="00185396">
              <w:rPr>
                <w:noProof/>
                <w:webHidden/>
              </w:rPr>
              <w:fldChar w:fldCharType="end"/>
            </w:r>
          </w:hyperlink>
        </w:p>
        <w:p w14:paraId="70E8CF85" w14:textId="7FF799BE" w:rsidR="00185396" w:rsidRDefault="00D23EF3">
          <w:pPr>
            <w:pStyle w:val="TDC3"/>
            <w:rPr>
              <w:rFonts w:asciiTheme="minorHAnsi" w:eastAsiaTheme="minorEastAsia" w:hAnsiTheme="minorHAnsi"/>
              <w:noProof/>
              <w:sz w:val="22"/>
              <w:lang w:val="es-EC" w:eastAsia="es-EC"/>
            </w:rPr>
          </w:pPr>
          <w:hyperlink w:anchor="_Toc80312338" w:history="1">
            <w:r w:rsidR="00185396" w:rsidRPr="00FD447E">
              <w:rPr>
                <w:rStyle w:val="Hipervnculo"/>
                <w:noProof/>
              </w:rPr>
              <w:t>5.5.2.</w:t>
            </w:r>
            <w:r w:rsidR="00185396">
              <w:rPr>
                <w:rFonts w:asciiTheme="minorHAnsi" w:eastAsiaTheme="minorEastAsia" w:hAnsiTheme="minorHAnsi"/>
                <w:noProof/>
                <w:sz w:val="22"/>
                <w:lang w:val="es-EC" w:eastAsia="es-EC"/>
              </w:rPr>
              <w:tab/>
            </w:r>
            <w:r w:rsidR="00185396" w:rsidRPr="00FD447E">
              <w:rPr>
                <w:rStyle w:val="Hipervnculo"/>
                <w:noProof/>
              </w:rPr>
              <w:t>Absorción de nitrógeno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_Toc80312338 \h </w:instrText>
            </w:r>
            <w:r w:rsidR="00185396">
              <w:rPr>
                <w:noProof/>
                <w:webHidden/>
              </w:rPr>
            </w:r>
            <w:r w:rsidR="00185396">
              <w:rPr>
                <w:noProof/>
                <w:webHidden/>
              </w:rPr>
              <w:fldChar w:fldCharType="separate"/>
            </w:r>
            <w:r w:rsidR="000D1F55">
              <w:rPr>
                <w:noProof/>
                <w:webHidden/>
              </w:rPr>
              <w:t>103</w:t>
            </w:r>
            <w:r w:rsidR="00185396">
              <w:rPr>
                <w:noProof/>
                <w:webHidden/>
              </w:rPr>
              <w:fldChar w:fldCharType="end"/>
            </w:r>
          </w:hyperlink>
        </w:p>
        <w:p w14:paraId="5230FB40" w14:textId="0A483D8D" w:rsidR="00185396" w:rsidRDefault="00D23EF3">
          <w:pPr>
            <w:pStyle w:val="TDC3"/>
            <w:rPr>
              <w:rFonts w:asciiTheme="minorHAnsi" w:eastAsiaTheme="minorEastAsia" w:hAnsiTheme="minorHAnsi"/>
              <w:noProof/>
              <w:sz w:val="22"/>
              <w:lang w:val="es-EC" w:eastAsia="es-EC"/>
            </w:rPr>
          </w:pPr>
          <w:hyperlink w:anchor="_Toc80312340" w:history="1">
            <w:r w:rsidR="00185396" w:rsidRPr="00FD447E">
              <w:rPr>
                <w:rStyle w:val="Hipervnculo"/>
                <w:rFonts w:eastAsia="Times New Roman"/>
                <w:noProof/>
                <w:lang w:eastAsia="es-EC"/>
              </w:rPr>
              <w:t>5.5.3.</w:t>
            </w:r>
            <w:r w:rsidR="00185396">
              <w:rPr>
                <w:rFonts w:asciiTheme="minorHAnsi" w:eastAsiaTheme="minorEastAsia" w:hAnsiTheme="minorHAnsi"/>
                <w:noProof/>
                <w:sz w:val="22"/>
                <w:lang w:val="es-EC" w:eastAsia="es-EC"/>
              </w:rPr>
              <w:tab/>
            </w:r>
            <w:r w:rsidR="00185396" w:rsidRPr="00FD447E">
              <w:rPr>
                <w:rStyle w:val="Hipervnculo"/>
                <w:noProof/>
              </w:rPr>
              <w:t>Absorción de fósforo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_Toc80312340 \h </w:instrText>
            </w:r>
            <w:r w:rsidR="00185396">
              <w:rPr>
                <w:noProof/>
                <w:webHidden/>
              </w:rPr>
            </w:r>
            <w:r w:rsidR="00185396">
              <w:rPr>
                <w:noProof/>
                <w:webHidden/>
              </w:rPr>
              <w:fldChar w:fldCharType="separate"/>
            </w:r>
            <w:r w:rsidR="000D1F55">
              <w:rPr>
                <w:noProof/>
                <w:webHidden/>
              </w:rPr>
              <w:t>107</w:t>
            </w:r>
            <w:r w:rsidR="00185396">
              <w:rPr>
                <w:noProof/>
                <w:webHidden/>
              </w:rPr>
              <w:fldChar w:fldCharType="end"/>
            </w:r>
          </w:hyperlink>
        </w:p>
        <w:p w14:paraId="438D2931" w14:textId="64D04309" w:rsidR="00185396" w:rsidRDefault="00D23EF3">
          <w:pPr>
            <w:pStyle w:val="TDC3"/>
            <w:rPr>
              <w:rFonts w:asciiTheme="minorHAnsi" w:eastAsiaTheme="minorEastAsia" w:hAnsiTheme="minorHAnsi"/>
              <w:noProof/>
              <w:sz w:val="22"/>
              <w:lang w:val="es-EC" w:eastAsia="es-EC"/>
            </w:rPr>
          </w:pPr>
          <w:hyperlink w:anchor="_Toc80312344" w:history="1">
            <w:r w:rsidR="00185396" w:rsidRPr="00FD447E">
              <w:rPr>
                <w:rStyle w:val="Hipervnculo"/>
                <w:noProof/>
              </w:rPr>
              <w:t>5.5.6.</w:t>
            </w:r>
            <w:r w:rsidR="00185396">
              <w:rPr>
                <w:rFonts w:asciiTheme="minorHAnsi" w:eastAsiaTheme="minorEastAsia" w:hAnsiTheme="minorHAnsi"/>
                <w:noProof/>
                <w:sz w:val="22"/>
                <w:lang w:val="es-EC" w:eastAsia="es-EC"/>
              </w:rPr>
              <w:tab/>
            </w:r>
            <w:r w:rsidR="00185396" w:rsidRPr="00FD447E">
              <w:rPr>
                <w:rStyle w:val="Hipervnculo"/>
                <w:noProof/>
              </w:rPr>
              <w:t>Absorción de potasio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_Toc80312344 \h </w:instrText>
            </w:r>
            <w:r w:rsidR="00185396">
              <w:rPr>
                <w:noProof/>
                <w:webHidden/>
              </w:rPr>
            </w:r>
            <w:r w:rsidR="00185396">
              <w:rPr>
                <w:noProof/>
                <w:webHidden/>
              </w:rPr>
              <w:fldChar w:fldCharType="separate"/>
            </w:r>
            <w:r w:rsidR="000D1F55">
              <w:rPr>
                <w:noProof/>
                <w:webHidden/>
              </w:rPr>
              <w:t>111</w:t>
            </w:r>
            <w:r w:rsidR="00185396">
              <w:rPr>
                <w:noProof/>
                <w:webHidden/>
              </w:rPr>
              <w:fldChar w:fldCharType="end"/>
            </w:r>
          </w:hyperlink>
        </w:p>
        <w:p w14:paraId="6FF74F29" w14:textId="74E056A3" w:rsidR="00185396" w:rsidRDefault="00D23EF3">
          <w:pPr>
            <w:pStyle w:val="TDC3"/>
            <w:rPr>
              <w:rFonts w:asciiTheme="minorHAnsi" w:eastAsiaTheme="minorEastAsia" w:hAnsiTheme="minorHAnsi"/>
              <w:noProof/>
              <w:sz w:val="22"/>
              <w:lang w:val="es-EC" w:eastAsia="es-EC"/>
            </w:rPr>
          </w:pPr>
          <w:hyperlink w:anchor="_Toc80312347" w:history="1">
            <w:r w:rsidR="00185396" w:rsidRPr="00FD447E">
              <w:rPr>
                <w:rStyle w:val="Hipervnculo"/>
                <w:noProof/>
              </w:rPr>
              <w:t>5.5.7.</w:t>
            </w:r>
            <w:r w:rsidR="00185396">
              <w:rPr>
                <w:rFonts w:asciiTheme="minorHAnsi" w:eastAsiaTheme="minorEastAsia" w:hAnsiTheme="minorHAnsi"/>
                <w:noProof/>
                <w:sz w:val="22"/>
                <w:lang w:val="es-EC" w:eastAsia="es-EC"/>
              </w:rPr>
              <w:tab/>
            </w:r>
            <w:r w:rsidR="00185396" w:rsidRPr="00FD447E">
              <w:rPr>
                <w:rStyle w:val="Hipervnculo"/>
                <w:noProof/>
              </w:rPr>
              <w:t>Absorción de azufre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_Toc80312347 \h </w:instrText>
            </w:r>
            <w:r w:rsidR="00185396">
              <w:rPr>
                <w:noProof/>
                <w:webHidden/>
              </w:rPr>
            </w:r>
            <w:r w:rsidR="00185396">
              <w:rPr>
                <w:noProof/>
                <w:webHidden/>
              </w:rPr>
              <w:fldChar w:fldCharType="separate"/>
            </w:r>
            <w:r w:rsidR="000D1F55">
              <w:rPr>
                <w:noProof/>
                <w:webHidden/>
              </w:rPr>
              <w:t>114</w:t>
            </w:r>
            <w:r w:rsidR="00185396">
              <w:rPr>
                <w:noProof/>
                <w:webHidden/>
              </w:rPr>
              <w:fldChar w:fldCharType="end"/>
            </w:r>
          </w:hyperlink>
        </w:p>
        <w:p w14:paraId="3442F406" w14:textId="1240284F" w:rsidR="00185396" w:rsidRDefault="00D23EF3">
          <w:pPr>
            <w:pStyle w:val="TDC3"/>
            <w:rPr>
              <w:rFonts w:asciiTheme="minorHAnsi" w:eastAsiaTheme="minorEastAsia" w:hAnsiTheme="minorHAnsi"/>
              <w:noProof/>
              <w:sz w:val="22"/>
              <w:lang w:val="es-EC" w:eastAsia="es-EC"/>
            </w:rPr>
          </w:pPr>
          <w:hyperlink w:anchor="_Toc80312349" w:history="1">
            <w:r w:rsidR="00185396" w:rsidRPr="00FD447E">
              <w:rPr>
                <w:rStyle w:val="Hipervnculo"/>
                <w:noProof/>
              </w:rPr>
              <w:t>5.5.8.</w:t>
            </w:r>
            <w:r w:rsidR="00185396">
              <w:rPr>
                <w:rFonts w:asciiTheme="minorHAnsi" w:eastAsiaTheme="minorEastAsia" w:hAnsiTheme="minorHAnsi"/>
                <w:noProof/>
                <w:sz w:val="22"/>
                <w:lang w:val="es-EC" w:eastAsia="es-EC"/>
              </w:rPr>
              <w:tab/>
            </w:r>
            <w:r w:rsidR="00185396" w:rsidRPr="00FD447E">
              <w:rPr>
                <w:rStyle w:val="Hipervnculo"/>
                <w:noProof/>
              </w:rPr>
              <w:t>Absorción de magnesio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_Toc80312349 \h </w:instrText>
            </w:r>
            <w:r w:rsidR="00185396">
              <w:rPr>
                <w:noProof/>
                <w:webHidden/>
              </w:rPr>
            </w:r>
            <w:r w:rsidR="00185396">
              <w:rPr>
                <w:noProof/>
                <w:webHidden/>
              </w:rPr>
              <w:fldChar w:fldCharType="separate"/>
            </w:r>
            <w:r w:rsidR="000D1F55">
              <w:rPr>
                <w:noProof/>
                <w:webHidden/>
              </w:rPr>
              <w:t>117</w:t>
            </w:r>
            <w:r w:rsidR="00185396">
              <w:rPr>
                <w:noProof/>
                <w:webHidden/>
              </w:rPr>
              <w:fldChar w:fldCharType="end"/>
            </w:r>
          </w:hyperlink>
        </w:p>
        <w:p w14:paraId="0C2A3D0C" w14:textId="24329990" w:rsidR="00185396" w:rsidRDefault="00D23EF3">
          <w:pPr>
            <w:pStyle w:val="TDC2"/>
            <w:rPr>
              <w:rFonts w:asciiTheme="minorHAnsi" w:eastAsiaTheme="minorEastAsia" w:hAnsiTheme="minorHAnsi"/>
              <w:noProof/>
              <w:sz w:val="22"/>
              <w:lang w:val="es-EC" w:eastAsia="es-EC"/>
            </w:rPr>
          </w:pPr>
          <w:hyperlink w:anchor="_Toc80312353" w:history="1">
            <w:r w:rsidR="00185396" w:rsidRPr="00FD447E">
              <w:rPr>
                <w:rStyle w:val="Hipervnculo"/>
                <w:noProof/>
              </w:rPr>
              <w:t>5.6.</w:t>
            </w:r>
            <w:r w:rsidR="00185396">
              <w:rPr>
                <w:rFonts w:asciiTheme="minorHAnsi" w:eastAsiaTheme="minorEastAsia" w:hAnsiTheme="minorHAnsi"/>
                <w:noProof/>
                <w:sz w:val="22"/>
                <w:lang w:val="es-EC" w:eastAsia="es-EC"/>
              </w:rPr>
              <w:tab/>
            </w:r>
            <w:r w:rsidR="00185396" w:rsidRPr="00FD447E">
              <w:rPr>
                <w:rStyle w:val="Hipervnculo"/>
                <w:noProof/>
              </w:rPr>
              <w:t>Respuesta del maíz suave a la fertilización de las tres provincias</w:t>
            </w:r>
            <w:r w:rsidR="00185396">
              <w:rPr>
                <w:noProof/>
                <w:webHidden/>
              </w:rPr>
              <w:tab/>
            </w:r>
            <w:r w:rsidR="00185396">
              <w:rPr>
                <w:noProof/>
                <w:webHidden/>
              </w:rPr>
              <w:fldChar w:fldCharType="begin"/>
            </w:r>
            <w:r w:rsidR="00185396">
              <w:rPr>
                <w:noProof/>
                <w:webHidden/>
              </w:rPr>
              <w:instrText xml:space="preserve"> PAGEREF _Toc80312353 \h </w:instrText>
            </w:r>
            <w:r w:rsidR="00185396">
              <w:rPr>
                <w:noProof/>
                <w:webHidden/>
              </w:rPr>
            </w:r>
            <w:r w:rsidR="00185396">
              <w:rPr>
                <w:noProof/>
                <w:webHidden/>
              </w:rPr>
              <w:fldChar w:fldCharType="separate"/>
            </w:r>
            <w:r w:rsidR="000D1F55">
              <w:rPr>
                <w:noProof/>
                <w:webHidden/>
              </w:rPr>
              <w:t>121</w:t>
            </w:r>
            <w:r w:rsidR="00185396">
              <w:rPr>
                <w:noProof/>
                <w:webHidden/>
              </w:rPr>
              <w:fldChar w:fldCharType="end"/>
            </w:r>
          </w:hyperlink>
        </w:p>
        <w:p w14:paraId="4B74B93E" w14:textId="7AFD615F" w:rsidR="00185396" w:rsidRDefault="00D23EF3">
          <w:pPr>
            <w:pStyle w:val="TDC3"/>
            <w:rPr>
              <w:rFonts w:asciiTheme="minorHAnsi" w:eastAsiaTheme="minorEastAsia" w:hAnsiTheme="minorHAnsi"/>
              <w:noProof/>
              <w:sz w:val="22"/>
              <w:lang w:val="es-EC" w:eastAsia="es-EC"/>
            </w:rPr>
          </w:pPr>
          <w:hyperlink w:anchor="_Toc80312354" w:history="1">
            <w:r w:rsidR="00185396" w:rsidRPr="00FD447E">
              <w:rPr>
                <w:rStyle w:val="Hipervnculo"/>
                <w:noProof/>
              </w:rPr>
              <w:t>5.6.1.</w:t>
            </w:r>
            <w:r w:rsidR="00185396">
              <w:rPr>
                <w:rFonts w:asciiTheme="minorHAnsi" w:eastAsiaTheme="minorEastAsia" w:hAnsiTheme="minorHAnsi"/>
                <w:noProof/>
                <w:sz w:val="22"/>
                <w:lang w:val="es-EC" w:eastAsia="es-EC"/>
              </w:rPr>
              <w:tab/>
            </w:r>
            <w:r w:rsidR="00185396" w:rsidRPr="00FD447E">
              <w:rPr>
                <w:rStyle w:val="Hipervnculo"/>
                <w:noProof/>
              </w:rPr>
              <w:t>Rendimiento (t/ha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_Toc80312354 \h </w:instrText>
            </w:r>
            <w:r w:rsidR="00185396">
              <w:rPr>
                <w:noProof/>
                <w:webHidden/>
              </w:rPr>
            </w:r>
            <w:r w:rsidR="00185396">
              <w:rPr>
                <w:noProof/>
                <w:webHidden/>
              </w:rPr>
              <w:fldChar w:fldCharType="separate"/>
            </w:r>
            <w:r w:rsidR="000D1F55">
              <w:rPr>
                <w:noProof/>
                <w:webHidden/>
              </w:rPr>
              <w:t>121</w:t>
            </w:r>
            <w:r w:rsidR="00185396">
              <w:rPr>
                <w:noProof/>
                <w:webHidden/>
              </w:rPr>
              <w:fldChar w:fldCharType="end"/>
            </w:r>
          </w:hyperlink>
        </w:p>
        <w:p w14:paraId="57F36F17" w14:textId="7D2A6E54" w:rsidR="00185396" w:rsidRDefault="00D23EF3">
          <w:pPr>
            <w:pStyle w:val="TDC3"/>
            <w:rPr>
              <w:rFonts w:asciiTheme="minorHAnsi" w:eastAsiaTheme="minorEastAsia" w:hAnsiTheme="minorHAnsi"/>
              <w:noProof/>
              <w:sz w:val="22"/>
              <w:lang w:val="es-EC" w:eastAsia="es-EC"/>
            </w:rPr>
          </w:pPr>
          <w:hyperlink w:anchor="_Toc80312355" w:history="1">
            <w:r w:rsidR="00185396" w:rsidRPr="00FD447E">
              <w:rPr>
                <w:rStyle w:val="Hipervnculo"/>
                <w:noProof/>
              </w:rPr>
              <w:t>5.6.2.</w:t>
            </w:r>
            <w:r w:rsidR="00185396">
              <w:rPr>
                <w:rFonts w:asciiTheme="minorHAnsi" w:eastAsiaTheme="minorEastAsia" w:hAnsiTheme="minorHAnsi"/>
                <w:noProof/>
                <w:sz w:val="22"/>
                <w:lang w:val="es-EC" w:eastAsia="es-EC"/>
              </w:rPr>
              <w:tab/>
            </w:r>
            <w:r w:rsidR="00185396" w:rsidRPr="00FD447E">
              <w:rPr>
                <w:rStyle w:val="Hipervnculo"/>
                <w:noProof/>
              </w:rPr>
              <w:t>Absorción de nitrógeno (Kg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_Toc80312355 \h </w:instrText>
            </w:r>
            <w:r w:rsidR="00185396">
              <w:rPr>
                <w:noProof/>
                <w:webHidden/>
              </w:rPr>
            </w:r>
            <w:r w:rsidR="00185396">
              <w:rPr>
                <w:noProof/>
                <w:webHidden/>
              </w:rPr>
              <w:fldChar w:fldCharType="separate"/>
            </w:r>
            <w:r w:rsidR="000D1F55">
              <w:rPr>
                <w:noProof/>
                <w:webHidden/>
              </w:rPr>
              <w:t>125</w:t>
            </w:r>
            <w:r w:rsidR="00185396">
              <w:rPr>
                <w:noProof/>
                <w:webHidden/>
              </w:rPr>
              <w:fldChar w:fldCharType="end"/>
            </w:r>
          </w:hyperlink>
        </w:p>
        <w:p w14:paraId="399E02E7" w14:textId="6A1BEDBA" w:rsidR="00185396" w:rsidRDefault="00D23EF3">
          <w:pPr>
            <w:pStyle w:val="TDC3"/>
            <w:rPr>
              <w:rFonts w:asciiTheme="minorHAnsi" w:eastAsiaTheme="minorEastAsia" w:hAnsiTheme="minorHAnsi"/>
              <w:noProof/>
              <w:sz w:val="22"/>
              <w:lang w:val="es-EC" w:eastAsia="es-EC"/>
            </w:rPr>
          </w:pPr>
          <w:hyperlink w:anchor="_Toc80312362" w:history="1">
            <w:r w:rsidR="00185396" w:rsidRPr="00FD447E">
              <w:rPr>
                <w:rStyle w:val="Hipervnculo"/>
                <w:rFonts w:eastAsia="Times New Roman"/>
                <w:noProof/>
                <w:lang w:eastAsia="es-EC"/>
              </w:rPr>
              <w:t>5.6.3.</w:t>
            </w:r>
            <w:r w:rsidR="00185396">
              <w:rPr>
                <w:rFonts w:asciiTheme="minorHAnsi" w:eastAsiaTheme="minorEastAsia" w:hAnsiTheme="minorHAnsi"/>
                <w:noProof/>
                <w:sz w:val="22"/>
                <w:lang w:val="es-EC" w:eastAsia="es-EC"/>
              </w:rPr>
              <w:tab/>
            </w:r>
            <w:r w:rsidR="00185396" w:rsidRPr="00FD447E">
              <w:rPr>
                <w:rStyle w:val="Hipervnculo"/>
                <w:noProof/>
              </w:rPr>
              <w:t>Absorción de fósforo</w:t>
            </w:r>
            <w:r w:rsidR="00185396" w:rsidRPr="00FD447E">
              <w:rPr>
                <w:rStyle w:val="Hipervnculo"/>
                <w:rFonts w:eastAsia="Times New Roman"/>
                <w:noProof/>
                <w:lang w:eastAsia="es-EC"/>
              </w:rPr>
              <w:t xml:space="preserve"> (</w:t>
            </w:r>
            <w:r w:rsidR="00185396" w:rsidRPr="00FD447E">
              <w:rPr>
                <w:rStyle w:val="Hipervnculo"/>
                <w:noProof/>
              </w:rPr>
              <w:t>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_Toc80312362 \h </w:instrText>
            </w:r>
            <w:r w:rsidR="00185396">
              <w:rPr>
                <w:noProof/>
                <w:webHidden/>
              </w:rPr>
            </w:r>
            <w:r w:rsidR="00185396">
              <w:rPr>
                <w:noProof/>
                <w:webHidden/>
              </w:rPr>
              <w:fldChar w:fldCharType="separate"/>
            </w:r>
            <w:r w:rsidR="000D1F55">
              <w:rPr>
                <w:noProof/>
                <w:webHidden/>
              </w:rPr>
              <w:t>130</w:t>
            </w:r>
            <w:r w:rsidR="00185396">
              <w:rPr>
                <w:noProof/>
                <w:webHidden/>
              </w:rPr>
              <w:fldChar w:fldCharType="end"/>
            </w:r>
          </w:hyperlink>
        </w:p>
        <w:p w14:paraId="24D9A759" w14:textId="466BEA7F" w:rsidR="00185396" w:rsidRDefault="00D23EF3">
          <w:pPr>
            <w:pStyle w:val="TDC3"/>
            <w:rPr>
              <w:rFonts w:asciiTheme="minorHAnsi" w:eastAsiaTheme="minorEastAsia" w:hAnsiTheme="minorHAnsi"/>
              <w:noProof/>
              <w:sz w:val="22"/>
              <w:lang w:val="es-EC" w:eastAsia="es-EC"/>
            </w:rPr>
          </w:pPr>
          <w:hyperlink w:anchor="_Toc80312365" w:history="1">
            <w:r w:rsidR="00185396" w:rsidRPr="00FD447E">
              <w:rPr>
                <w:rStyle w:val="Hipervnculo"/>
                <w:rFonts w:eastAsia="Times New Roman"/>
                <w:noProof/>
                <w:lang w:eastAsia="es-EC"/>
              </w:rPr>
              <w:t>5.6.4.</w:t>
            </w:r>
            <w:r w:rsidR="00185396">
              <w:rPr>
                <w:rFonts w:asciiTheme="minorHAnsi" w:eastAsiaTheme="minorEastAsia" w:hAnsiTheme="minorHAnsi"/>
                <w:noProof/>
                <w:sz w:val="22"/>
                <w:lang w:val="es-EC" w:eastAsia="es-EC"/>
              </w:rPr>
              <w:tab/>
            </w:r>
            <w:r w:rsidR="00185396" w:rsidRPr="00FD447E">
              <w:rPr>
                <w:rStyle w:val="Hipervnculo"/>
                <w:noProof/>
              </w:rPr>
              <w:t xml:space="preserve">Absorción de potasio </w:t>
            </w:r>
            <w:r w:rsidR="00185396" w:rsidRPr="00FD447E">
              <w:rPr>
                <w:rStyle w:val="Hipervnculo"/>
                <w:rFonts w:eastAsia="Times New Roman"/>
                <w:noProof/>
                <w:lang w:eastAsia="es-EC"/>
              </w:rPr>
              <w:t>(kg/ha</w:t>
            </w:r>
            <w:r w:rsidR="00185396" w:rsidRPr="00FD447E">
              <w:rPr>
                <w:rStyle w:val="Hipervnculo"/>
                <w:rFonts w:eastAsia="Times New Roman"/>
                <w:noProof/>
                <w:vertAlign w:val="superscript"/>
                <w:lang w:eastAsia="es-EC"/>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_Toc80312365 \h </w:instrText>
            </w:r>
            <w:r w:rsidR="00185396">
              <w:rPr>
                <w:noProof/>
                <w:webHidden/>
              </w:rPr>
            </w:r>
            <w:r w:rsidR="00185396">
              <w:rPr>
                <w:noProof/>
                <w:webHidden/>
              </w:rPr>
              <w:fldChar w:fldCharType="separate"/>
            </w:r>
            <w:r w:rsidR="000D1F55">
              <w:rPr>
                <w:noProof/>
                <w:webHidden/>
              </w:rPr>
              <w:t>134</w:t>
            </w:r>
            <w:r w:rsidR="00185396">
              <w:rPr>
                <w:noProof/>
                <w:webHidden/>
              </w:rPr>
              <w:fldChar w:fldCharType="end"/>
            </w:r>
          </w:hyperlink>
        </w:p>
        <w:p w14:paraId="3F6BD526" w14:textId="3D39A489" w:rsidR="00185396" w:rsidRDefault="00D23EF3">
          <w:pPr>
            <w:pStyle w:val="TDC3"/>
            <w:rPr>
              <w:rFonts w:asciiTheme="minorHAnsi" w:eastAsiaTheme="minorEastAsia" w:hAnsiTheme="minorHAnsi"/>
              <w:noProof/>
              <w:sz w:val="22"/>
              <w:lang w:val="es-EC" w:eastAsia="es-EC"/>
            </w:rPr>
          </w:pPr>
          <w:hyperlink w:anchor="_Toc80312368" w:history="1">
            <w:r w:rsidR="00185396" w:rsidRPr="00FD447E">
              <w:rPr>
                <w:rStyle w:val="Hipervnculo"/>
                <w:noProof/>
              </w:rPr>
              <w:t>5.6.5.</w:t>
            </w:r>
            <w:r w:rsidR="00185396">
              <w:rPr>
                <w:rFonts w:asciiTheme="minorHAnsi" w:eastAsiaTheme="minorEastAsia" w:hAnsiTheme="minorHAnsi"/>
                <w:noProof/>
                <w:sz w:val="22"/>
                <w:lang w:val="es-EC" w:eastAsia="es-EC"/>
              </w:rPr>
              <w:tab/>
            </w:r>
            <w:r w:rsidR="00185396" w:rsidRPr="00FD447E">
              <w:rPr>
                <w:rStyle w:val="Hipervnculo"/>
                <w:noProof/>
              </w:rPr>
              <w:t>Absorción de azufre (kg/ha</w:t>
            </w:r>
            <w:r w:rsidR="00185396" w:rsidRPr="00FD447E">
              <w:rPr>
                <w:rStyle w:val="Hipervnculo"/>
                <w:noProof/>
                <w:vertAlign w:val="superscript"/>
              </w:rPr>
              <w:t>-1</w:t>
            </w:r>
            <w:r w:rsidR="00185396" w:rsidRPr="00FD447E">
              <w:rPr>
                <w:rStyle w:val="Hipervnculo"/>
                <w:noProof/>
              </w:rPr>
              <w:t>)</w:t>
            </w:r>
            <w:r w:rsidR="00185396">
              <w:rPr>
                <w:noProof/>
                <w:webHidden/>
              </w:rPr>
              <w:tab/>
            </w:r>
            <w:r w:rsidR="00185396">
              <w:rPr>
                <w:noProof/>
                <w:webHidden/>
              </w:rPr>
              <w:fldChar w:fldCharType="begin"/>
            </w:r>
            <w:r w:rsidR="00185396">
              <w:rPr>
                <w:noProof/>
                <w:webHidden/>
              </w:rPr>
              <w:instrText xml:space="preserve"> PAGEREF _Toc80312368 \h </w:instrText>
            </w:r>
            <w:r w:rsidR="00185396">
              <w:rPr>
                <w:noProof/>
                <w:webHidden/>
              </w:rPr>
            </w:r>
            <w:r w:rsidR="00185396">
              <w:rPr>
                <w:noProof/>
                <w:webHidden/>
              </w:rPr>
              <w:fldChar w:fldCharType="separate"/>
            </w:r>
            <w:r w:rsidR="000D1F55">
              <w:rPr>
                <w:noProof/>
                <w:webHidden/>
              </w:rPr>
              <w:t>137</w:t>
            </w:r>
            <w:r w:rsidR="00185396">
              <w:rPr>
                <w:noProof/>
                <w:webHidden/>
              </w:rPr>
              <w:fldChar w:fldCharType="end"/>
            </w:r>
          </w:hyperlink>
        </w:p>
        <w:p w14:paraId="08B6300F" w14:textId="6805C793" w:rsidR="00185396" w:rsidRDefault="00D23EF3">
          <w:pPr>
            <w:pStyle w:val="TDC3"/>
            <w:rPr>
              <w:rFonts w:asciiTheme="minorHAnsi" w:eastAsiaTheme="minorEastAsia" w:hAnsiTheme="minorHAnsi"/>
              <w:noProof/>
              <w:sz w:val="22"/>
              <w:lang w:val="es-EC" w:eastAsia="es-EC"/>
            </w:rPr>
          </w:pPr>
          <w:hyperlink w:anchor="_Toc80312371" w:history="1">
            <w:r w:rsidR="00185396" w:rsidRPr="00FD447E">
              <w:rPr>
                <w:rStyle w:val="Hipervnculo"/>
                <w:rFonts w:eastAsia="Times New Roman"/>
                <w:noProof/>
                <w:lang w:eastAsia="es-EC"/>
              </w:rPr>
              <w:t>5.6.6.</w:t>
            </w:r>
            <w:r w:rsidR="00185396">
              <w:rPr>
                <w:rFonts w:asciiTheme="minorHAnsi" w:eastAsiaTheme="minorEastAsia" w:hAnsiTheme="minorHAnsi"/>
                <w:noProof/>
                <w:sz w:val="22"/>
                <w:lang w:val="es-EC" w:eastAsia="es-EC"/>
              </w:rPr>
              <w:tab/>
            </w:r>
            <w:r w:rsidR="00185396" w:rsidRPr="00FD447E">
              <w:rPr>
                <w:rStyle w:val="Hipervnculo"/>
                <w:noProof/>
              </w:rPr>
              <w:t>Absorción de magnesio (</w:t>
            </w:r>
            <w:r w:rsidR="00185396" w:rsidRPr="00FD447E">
              <w:rPr>
                <w:rStyle w:val="Hipervnculo"/>
                <w:rFonts w:eastAsia="Times New Roman"/>
                <w:noProof/>
                <w:lang w:eastAsia="es-EC"/>
              </w:rPr>
              <w:t>kg/ha</w:t>
            </w:r>
            <w:r w:rsidR="00185396" w:rsidRPr="00FD447E">
              <w:rPr>
                <w:rStyle w:val="Hipervnculo"/>
                <w:rFonts w:eastAsia="Times New Roman"/>
                <w:noProof/>
                <w:vertAlign w:val="superscript"/>
                <w:lang w:eastAsia="es-EC"/>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_Toc80312371 \h </w:instrText>
            </w:r>
            <w:r w:rsidR="00185396">
              <w:rPr>
                <w:noProof/>
                <w:webHidden/>
              </w:rPr>
            </w:r>
            <w:r w:rsidR="00185396">
              <w:rPr>
                <w:noProof/>
                <w:webHidden/>
              </w:rPr>
              <w:fldChar w:fldCharType="separate"/>
            </w:r>
            <w:r w:rsidR="000D1F55">
              <w:rPr>
                <w:noProof/>
                <w:webHidden/>
              </w:rPr>
              <w:t>142</w:t>
            </w:r>
            <w:r w:rsidR="00185396">
              <w:rPr>
                <w:noProof/>
                <w:webHidden/>
              </w:rPr>
              <w:fldChar w:fldCharType="end"/>
            </w:r>
          </w:hyperlink>
        </w:p>
        <w:p w14:paraId="65D3446C" w14:textId="0ED56A1A" w:rsidR="00185396" w:rsidRDefault="00D23EF3">
          <w:pPr>
            <w:pStyle w:val="TDC2"/>
            <w:rPr>
              <w:rFonts w:asciiTheme="minorHAnsi" w:eastAsiaTheme="minorEastAsia" w:hAnsiTheme="minorHAnsi"/>
              <w:noProof/>
              <w:sz w:val="22"/>
              <w:lang w:val="es-EC" w:eastAsia="es-EC"/>
            </w:rPr>
          </w:pPr>
          <w:hyperlink w:anchor="_Toc80312375" w:history="1">
            <w:r w:rsidR="00185396" w:rsidRPr="00FD447E">
              <w:rPr>
                <w:rStyle w:val="Hipervnculo"/>
                <w:noProof/>
              </w:rPr>
              <w:t>5.7.</w:t>
            </w:r>
            <w:r w:rsidR="00185396">
              <w:rPr>
                <w:rFonts w:asciiTheme="minorHAnsi" w:eastAsiaTheme="minorEastAsia" w:hAnsiTheme="minorHAnsi"/>
                <w:noProof/>
                <w:sz w:val="22"/>
                <w:lang w:val="es-EC" w:eastAsia="es-EC"/>
              </w:rPr>
              <w:tab/>
            </w:r>
            <w:r w:rsidR="00185396" w:rsidRPr="00FD447E">
              <w:rPr>
                <w:rStyle w:val="Hipervnculo"/>
                <w:noProof/>
              </w:rPr>
              <w:t>Análisis consolidado de los resultados</w:t>
            </w:r>
            <w:r w:rsidR="00185396">
              <w:rPr>
                <w:noProof/>
                <w:webHidden/>
              </w:rPr>
              <w:tab/>
            </w:r>
            <w:r w:rsidR="00185396">
              <w:rPr>
                <w:noProof/>
                <w:webHidden/>
              </w:rPr>
              <w:fldChar w:fldCharType="begin"/>
            </w:r>
            <w:r w:rsidR="00185396">
              <w:rPr>
                <w:noProof/>
                <w:webHidden/>
              </w:rPr>
              <w:instrText xml:space="preserve"> PAGEREF _Toc80312375 \h </w:instrText>
            </w:r>
            <w:r w:rsidR="00185396">
              <w:rPr>
                <w:noProof/>
                <w:webHidden/>
              </w:rPr>
            </w:r>
            <w:r w:rsidR="00185396">
              <w:rPr>
                <w:noProof/>
                <w:webHidden/>
              </w:rPr>
              <w:fldChar w:fldCharType="separate"/>
            </w:r>
            <w:r w:rsidR="000D1F55">
              <w:rPr>
                <w:noProof/>
                <w:webHidden/>
              </w:rPr>
              <w:t>146</w:t>
            </w:r>
            <w:r w:rsidR="00185396">
              <w:rPr>
                <w:noProof/>
                <w:webHidden/>
              </w:rPr>
              <w:fldChar w:fldCharType="end"/>
            </w:r>
          </w:hyperlink>
        </w:p>
        <w:p w14:paraId="74F4C1F1" w14:textId="3334AEEA" w:rsidR="00185396" w:rsidRDefault="00D23EF3">
          <w:pPr>
            <w:pStyle w:val="TDC3"/>
            <w:rPr>
              <w:rFonts w:asciiTheme="minorHAnsi" w:eastAsiaTheme="minorEastAsia" w:hAnsiTheme="minorHAnsi"/>
              <w:noProof/>
              <w:sz w:val="22"/>
              <w:lang w:val="es-EC" w:eastAsia="es-EC"/>
            </w:rPr>
          </w:pPr>
          <w:hyperlink w:anchor="_Toc80312376" w:history="1">
            <w:r w:rsidR="00185396" w:rsidRPr="00FD447E">
              <w:rPr>
                <w:rStyle w:val="Hipervnculo"/>
                <w:noProof/>
              </w:rPr>
              <w:t>5.7.1.</w:t>
            </w:r>
            <w:r w:rsidR="00185396">
              <w:rPr>
                <w:rFonts w:asciiTheme="minorHAnsi" w:eastAsiaTheme="minorEastAsia" w:hAnsiTheme="minorHAnsi"/>
                <w:noProof/>
                <w:sz w:val="22"/>
                <w:lang w:val="es-EC" w:eastAsia="es-EC"/>
              </w:rPr>
              <w:tab/>
            </w:r>
            <w:r w:rsidR="00185396" w:rsidRPr="00FD447E">
              <w:rPr>
                <w:rStyle w:val="Hipervnculo"/>
                <w:noProof/>
              </w:rPr>
              <w:t xml:space="preserve">Absorción de nitrógeno </w:t>
            </w:r>
            <w:r w:rsidR="00185396" w:rsidRPr="00FD447E">
              <w:rPr>
                <w:rStyle w:val="Hipervnculo"/>
                <w:rFonts w:eastAsia="Times New Roman"/>
                <w:noProof/>
                <w:lang w:eastAsia="es-EC"/>
              </w:rPr>
              <w:t>(</w:t>
            </w:r>
            <w:r w:rsidR="00185396" w:rsidRPr="00FD447E">
              <w:rPr>
                <w:rStyle w:val="Hipervnculo"/>
                <w:noProof/>
              </w:rPr>
              <w:t>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_Toc80312376 \h </w:instrText>
            </w:r>
            <w:r w:rsidR="00185396">
              <w:rPr>
                <w:noProof/>
                <w:webHidden/>
              </w:rPr>
            </w:r>
            <w:r w:rsidR="00185396">
              <w:rPr>
                <w:noProof/>
                <w:webHidden/>
              </w:rPr>
              <w:fldChar w:fldCharType="separate"/>
            </w:r>
            <w:r w:rsidR="000D1F55">
              <w:rPr>
                <w:noProof/>
                <w:webHidden/>
              </w:rPr>
              <w:t>150</w:t>
            </w:r>
            <w:r w:rsidR="00185396">
              <w:rPr>
                <w:noProof/>
                <w:webHidden/>
              </w:rPr>
              <w:fldChar w:fldCharType="end"/>
            </w:r>
          </w:hyperlink>
        </w:p>
        <w:p w14:paraId="6CC12B2A" w14:textId="00FEEF36" w:rsidR="00185396" w:rsidRDefault="00D23EF3">
          <w:pPr>
            <w:pStyle w:val="TDC3"/>
            <w:rPr>
              <w:rFonts w:asciiTheme="minorHAnsi" w:eastAsiaTheme="minorEastAsia" w:hAnsiTheme="minorHAnsi"/>
              <w:noProof/>
              <w:sz w:val="22"/>
              <w:lang w:val="es-EC" w:eastAsia="es-EC"/>
            </w:rPr>
          </w:pPr>
          <w:hyperlink w:anchor="_Toc80312377" w:history="1">
            <w:r w:rsidR="00185396" w:rsidRPr="00FD447E">
              <w:rPr>
                <w:rStyle w:val="Hipervnculo"/>
                <w:noProof/>
              </w:rPr>
              <w:t>5.7.2.</w:t>
            </w:r>
            <w:r w:rsidR="00185396">
              <w:rPr>
                <w:rFonts w:asciiTheme="minorHAnsi" w:eastAsiaTheme="minorEastAsia" w:hAnsiTheme="minorHAnsi"/>
                <w:noProof/>
                <w:sz w:val="22"/>
                <w:lang w:val="es-EC" w:eastAsia="es-EC"/>
              </w:rPr>
              <w:tab/>
            </w:r>
            <w:r w:rsidR="00185396" w:rsidRPr="00FD447E">
              <w:rPr>
                <w:rStyle w:val="Hipervnculo"/>
                <w:noProof/>
              </w:rPr>
              <w:t xml:space="preserve">Absorción de fósforo </w:t>
            </w:r>
            <w:r w:rsidR="00185396" w:rsidRPr="00FD447E">
              <w:rPr>
                <w:rStyle w:val="Hipervnculo"/>
                <w:rFonts w:eastAsia="Times New Roman"/>
                <w:noProof/>
                <w:lang w:eastAsia="es-EC"/>
              </w:rPr>
              <w:t>(</w:t>
            </w:r>
            <w:r w:rsidR="00185396" w:rsidRPr="00FD447E">
              <w:rPr>
                <w:rStyle w:val="Hipervnculo"/>
                <w:noProof/>
              </w:rPr>
              <w:t>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_Toc80312377 \h </w:instrText>
            </w:r>
            <w:r w:rsidR="00185396">
              <w:rPr>
                <w:noProof/>
                <w:webHidden/>
              </w:rPr>
            </w:r>
            <w:r w:rsidR="00185396">
              <w:rPr>
                <w:noProof/>
                <w:webHidden/>
              </w:rPr>
              <w:fldChar w:fldCharType="separate"/>
            </w:r>
            <w:r w:rsidR="000D1F55">
              <w:rPr>
                <w:noProof/>
                <w:webHidden/>
              </w:rPr>
              <w:t>151</w:t>
            </w:r>
            <w:r w:rsidR="00185396">
              <w:rPr>
                <w:noProof/>
                <w:webHidden/>
              </w:rPr>
              <w:fldChar w:fldCharType="end"/>
            </w:r>
          </w:hyperlink>
        </w:p>
        <w:p w14:paraId="49A1EAC2" w14:textId="5485911C" w:rsidR="00185396" w:rsidRDefault="00D23EF3">
          <w:pPr>
            <w:pStyle w:val="TDC3"/>
            <w:rPr>
              <w:rFonts w:asciiTheme="minorHAnsi" w:eastAsiaTheme="minorEastAsia" w:hAnsiTheme="minorHAnsi"/>
              <w:noProof/>
              <w:sz w:val="22"/>
              <w:lang w:val="es-EC" w:eastAsia="es-EC"/>
            </w:rPr>
          </w:pPr>
          <w:hyperlink w:anchor="_Toc80312378" w:history="1">
            <w:r w:rsidR="00185396" w:rsidRPr="00FD447E">
              <w:rPr>
                <w:rStyle w:val="Hipervnculo"/>
                <w:noProof/>
              </w:rPr>
              <w:t>5.7.3.</w:t>
            </w:r>
            <w:r w:rsidR="00185396">
              <w:rPr>
                <w:rFonts w:asciiTheme="minorHAnsi" w:eastAsiaTheme="minorEastAsia" w:hAnsiTheme="minorHAnsi"/>
                <w:noProof/>
                <w:sz w:val="22"/>
                <w:lang w:val="es-EC" w:eastAsia="es-EC"/>
              </w:rPr>
              <w:tab/>
            </w:r>
            <w:r w:rsidR="00185396" w:rsidRPr="00FD447E">
              <w:rPr>
                <w:rStyle w:val="Hipervnculo"/>
                <w:noProof/>
              </w:rPr>
              <w:t xml:space="preserve">Absorción de potasio </w:t>
            </w:r>
            <w:r w:rsidR="00185396" w:rsidRPr="00FD447E">
              <w:rPr>
                <w:rStyle w:val="Hipervnculo"/>
                <w:rFonts w:eastAsia="Times New Roman"/>
                <w:noProof/>
                <w:lang w:eastAsia="es-EC"/>
              </w:rPr>
              <w:t>(</w:t>
            </w:r>
            <w:r w:rsidR="00185396" w:rsidRPr="00FD447E">
              <w:rPr>
                <w:rStyle w:val="Hipervnculo"/>
                <w:noProof/>
              </w:rPr>
              <w:t>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_Toc80312378 \h </w:instrText>
            </w:r>
            <w:r w:rsidR="00185396">
              <w:rPr>
                <w:noProof/>
                <w:webHidden/>
              </w:rPr>
            </w:r>
            <w:r w:rsidR="00185396">
              <w:rPr>
                <w:noProof/>
                <w:webHidden/>
              </w:rPr>
              <w:fldChar w:fldCharType="separate"/>
            </w:r>
            <w:r w:rsidR="000D1F55">
              <w:rPr>
                <w:noProof/>
                <w:webHidden/>
              </w:rPr>
              <w:t>152</w:t>
            </w:r>
            <w:r w:rsidR="00185396">
              <w:rPr>
                <w:noProof/>
                <w:webHidden/>
              </w:rPr>
              <w:fldChar w:fldCharType="end"/>
            </w:r>
          </w:hyperlink>
        </w:p>
        <w:p w14:paraId="63B80218" w14:textId="229E9AFC" w:rsidR="00185396" w:rsidRDefault="00D23EF3">
          <w:pPr>
            <w:pStyle w:val="TDC3"/>
            <w:rPr>
              <w:rFonts w:asciiTheme="minorHAnsi" w:eastAsiaTheme="minorEastAsia" w:hAnsiTheme="minorHAnsi"/>
              <w:noProof/>
              <w:sz w:val="22"/>
              <w:lang w:val="es-EC" w:eastAsia="es-EC"/>
            </w:rPr>
          </w:pPr>
          <w:hyperlink w:anchor="_Toc80312379" w:history="1">
            <w:r w:rsidR="00185396" w:rsidRPr="00FD447E">
              <w:rPr>
                <w:rStyle w:val="Hipervnculo"/>
                <w:noProof/>
              </w:rPr>
              <w:t>5.7.4.</w:t>
            </w:r>
            <w:r w:rsidR="00185396">
              <w:rPr>
                <w:rFonts w:asciiTheme="minorHAnsi" w:eastAsiaTheme="minorEastAsia" w:hAnsiTheme="minorHAnsi"/>
                <w:noProof/>
                <w:sz w:val="22"/>
                <w:lang w:val="es-EC" w:eastAsia="es-EC"/>
              </w:rPr>
              <w:tab/>
            </w:r>
            <w:r w:rsidR="00185396" w:rsidRPr="00FD447E">
              <w:rPr>
                <w:rStyle w:val="Hipervnculo"/>
                <w:noProof/>
              </w:rPr>
              <w:t xml:space="preserve">Absorción de azufre </w:t>
            </w:r>
            <w:r w:rsidR="00185396" w:rsidRPr="00FD447E">
              <w:rPr>
                <w:rStyle w:val="Hipervnculo"/>
                <w:rFonts w:eastAsia="Times New Roman"/>
                <w:noProof/>
                <w:lang w:eastAsia="es-EC"/>
              </w:rPr>
              <w:t>(</w:t>
            </w:r>
            <w:r w:rsidR="00185396" w:rsidRPr="00FD447E">
              <w:rPr>
                <w:rStyle w:val="Hipervnculo"/>
                <w:noProof/>
              </w:rPr>
              <w:t>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_Toc80312379 \h </w:instrText>
            </w:r>
            <w:r w:rsidR="00185396">
              <w:rPr>
                <w:noProof/>
                <w:webHidden/>
              </w:rPr>
            </w:r>
            <w:r w:rsidR="00185396">
              <w:rPr>
                <w:noProof/>
                <w:webHidden/>
              </w:rPr>
              <w:fldChar w:fldCharType="separate"/>
            </w:r>
            <w:r w:rsidR="000D1F55">
              <w:rPr>
                <w:noProof/>
                <w:webHidden/>
              </w:rPr>
              <w:t>153</w:t>
            </w:r>
            <w:r w:rsidR="00185396">
              <w:rPr>
                <w:noProof/>
                <w:webHidden/>
              </w:rPr>
              <w:fldChar w:fldCharType="end"/>
            </w:r>
          </w:hyperlink>
        </w:p>
        <w:p w14:paraId="253548F5" w14:textId="28B2C0EB" w:rsidR="00185396" w:rsidRDefault="00D23EF3">
          <w:pPr>
            <w:pStyle w:val="TDC3"/>
            <w:rPr>
              <w:rFonts w:asciiTheme="minorHAnsi" w:eastAsiaTheme="minorEastAsia" w:hAnsiTheme="minorHAnsi"/>
              <w:noProof/>
              <w:sz w:val="22"/>
              <w:lang w:val="es-EC" w:eastAsia="es-EC"/>
            </w:rPr>
          </w:pPr>
          <w:hyperlink w:anchor="_Toc80312380" w:history="1">
            <w:r w:rsidR="00185396" w:rsidRPr="00FD447E">
              <w:rPr>
                <w:rStyle w:val="Hipervnculo"/>
                <w:noProof/>
              </w:rPr>
              <w:t>5.7.5.</w:t>
            </w:r>
            <w:r w:rsidR="00185396">
              <w:rPr>
                <w:rFonts w:asciiTheme="minorHAnsi" w:eastAsiaTheme="minorEastAsia" w:hAnsiTheme="minorHAnsi"/>
                <w:noProof/>
                <w:sz w:val="22"/>
                <w:lang w:val="es-EC" w:eastAsia="es-EC"/>
              </w:rPr>
              <w:tab/>
            </w:r>
            <w:r w:rsidR="00185396" w:rsidRPr="00FD447E">
              <w:rPr>
                <w:rStyle w:val="Hipervnculo"/>
                <w:noProof/>
              </w:rPr>
              <w:t xml:space="preserve">Absorción de magnesio </w:t>
            </w:r>
            <w:r w:rsidR="00185396" w:rsidRPr="00FD447E">
              <w:rPr>
                <w:rStyle w:val="Hipervnculo"/>
                <w:rFonts w:eastAsia="Times New Roman"/>
                <w:noProof/>
                <w:lang w:eastAsia="es-EC"/>
              </w:rPr>
              <w:t>(</w:t>
            </w:r>
            <w:r w:rsidR="00185396" w:rsidRPr="00FD447E">
              <w:rPr>
                <w:rStyle w:val="Hipervnculo"/>
                <w:noProof/>
              </w:rPr>
              <w:t>Kg</w:t>
            </w:r>
            <w:r w:rsidR="00185396" w:rsidRPr="00FD447E">
              <w:rPr>
                <w:rStyle w:val="Hipervnculo"/>
                <w:rFonts w:eastAsia="Times New Roman"/>
                <w:noProof/>
                <w:lang w:eastAsia="es-EC"/>
              </w:rPr>
              <w:t>/</w:t>
            </w:r>
            <w:r w:rsidR="00185396" w:rsidRPr="00FD447E">
              <w:rPr>
                <w:rStyle w:val="Hipervnculo"/>
                <w:noProof/>
              </w:rPr>
              <w:t>ha</w:t>
            </w:r>
            <w:r w:rsidR="00185396" w:rsidRPr="00FD447E">
              <w:rPr>
                <w:rStyle w:val="Hipervnculo"/>
                <w:noProof/>
                <w:vertAlign w:val="superscript"/>
              </w:rPr>
              <w:t>-1</w:t>
            </w:r>
            <w:r w:rsidR="00185396" w:rsidRPr="00FD447E">
              <w:rPr>
                <w:rStyle w:val="Hipervnculo"/>
                <w:rFonts w:eastAsia="Times New Roman"/>
                <w:noProof/>
                <w:lang w:eastAsia="es-EC"/>
              </w:rPr>
              <w:t>)</w:t>
            </w:r>
            <w:r w:rsidR="00185396">
              <w:rPr>
                <w:noProof/>
                <w:webHidden/>
              </w:rPr>
              <w:tab/>
            </w:r>
            <w:r w:rsidR="00185396">
              <w:rPr>
                <w:noProof/>
                <w:webHidden/>
              </w:rPr>
              <w:fldChar w:fldCharType="begin"/>
            </w:r>
            <w:r w:rsidR="00185396">
              <w:rPr>
                <w:noProof/>
                <w:webHidden/>
              </w:rPr>
              <w:instrText xml:space="preserve"> PAGEREF _Toc80312380 \h </w:instrText>
            </w:r>
            <w:r w:rsidR="00185396">
              <w:rPr>
                <w:noProof/>
                <w:webHidden/>
              </w:rPr>
            </w:r>
            <w:r w:rsidR="00185396">
              <w:rPr>
                <w:noProof/>
                <w:webHidden/>
              </w:rPr>
              <w:fldChar w:fldCharType="separate"/>
            </w:r>
            <w:r w:rsidR="000D1F55">
              <w:rPr>
                <w:noProof/>
                <w:webHidden/>
              </w:rPr>
              <w:t>154</w:t>
            </w:r>
            <w:r w:rsidR="00185396">
              <w:rPr>
                <w:noProof/>
                <w:webHidden/>
              </w:rPr>
              <w:fldChar w:fldCharType="end"/>
            </w:r>
          </w:hyperlink>
        </w:p>
        <w:p w14:paraId="083CAA9C" w14:textId="48EDA484" w:rsidR="00185396" w:rsidRDefault="00D23EF3">
          <w:pPr>
            <w:pStyle w:val="TDC1"/>
            <w:rPr>
              <w:rFonts w:asciiTheme="minorHAnsi" w:eastAsiaTheme="minorEastAsia" w:hAnsiTheme="minorHAnsi"/>
              <w:noProof/>
              <w:sz w:val="22"/>
              <w:lang w:val="es-EC" w:eastAsia="es-EC"/>
            </w:rPr>
          </w:pPr>
          <w:hyperlink w:anchor="_Toc80312381" w:history="1">
            <w:r w:rsidR="00185396" w:rsidRPr="00FD447E">
              <w:rPr>
                <w:rStyle w:val="Hipervnculo"/>
                <w:noProof/>
              </w:rPr>
              <w:t>VI.</w:t>
            </w:r>
            <w:r w:rsidR="00185396">
              <w:rPr>
                <w:rFonts w:asciiTheme="minorHAnsi" w:eastAsiaTheme="minorEastAsia" w:hAnsiTheme="minorHAnsi"/>
                <w:noProof/>
                <w:sz w:val="22"/>
                <w:lang w:val="es-EC" w:eastAsia="es-EC"/>
              </w:rPr>
              <w:tab/>
            </w:r>
            <w:r w:rsidR="00185396" w:rsidRPr="00FD447E">
              <w:rPr>
                <w:rStyle w:val="Hipervnculo"/>
                <w:noProof/>
              </w:rPr>
              <w:t>COMPROBACIÓN DE LA HIPÓTESIS</w:t>
            </w:r>
            <w:r w:rsidR="00185396">
              <w:rPr>
                <w:noProof/>
                <w:webHidden/>
              </w:rPr>
              <w:tab/>
            </w:r>
            <w:r w:rsidR="00185396">
              <w:rPr>
                <w:noProof/>
                <w:webHidden/>
              </w:rPr>
              <w:fldChar w:fldCharType="begin"/>
            </w:r>
            <w:r w:rsidR="00185396">
              <w:rPr>
                <w:noProof/>
                <w:webHidden/>
              </w:rPr>
              <w:instrText xml:space="preserve"> PAGEREF _Toc80312381 \h </w:instrText>
            </w:r>
            <w:r w:rsidR="00185396">
              <w:rPr>
                <w:noProof/>
                <w:webHidden/>
              </w:rPr>
            </w:r>
            <w:r w:rsidR="00185396">
              <w:rPr>
                <w:noProof/>
                <w:webHidden/>
              </w:rPr>
              <w:fldChar w:fldCharType="separate"/>
            </w:r>
            <w:r w:rsidR="000D1F55">
              <w:rPr>
                <w:noProof/>
                <w:webHidden/>
              </w:rPr>
              <w:t>157</w:t>
            </w:r>
            <w:r w:rsidR="00185396">
              <w:rPr>
                <w:noProof/>
                <w:webHidden/>
              </w:rPr>
              <w:fldChar w:fldCharType="end"/>
            </w:r>
          </w:hyperlink>
        </w:p>
        <w:p w14:paraId="1A69E0B7" w14:textId="5D760B59" w:rsidR="00185396" w:rsidRDefault="00D23EF3">
          <w:pPr>
            <w:pStyle w:val="TDC1"/>
            <w:rPr>
              <w:rFonts w:asciiTheme="minorHAnsi" w:eastAsiaTheme="minorEastAsia" w:hAnsiTheme="minorHAnsi"/>
              <w:noProof/>
              <w:sz w:val="22"/>
              <w:lang w:val="es-EC" w:eastAsia="es-EC"/>
            </w:rPr>
          </w:pPr>
          <w:hyperlink w:anchor="_Toc80312382" w:history="1">
            <w:r w:rsidR="00185396" w:rsidRPr="00FD447E">
              <w:rPr>
                <w:rStyle w:val="Hipervnculo"/>
                <w:noProof/>
              </w:rPr>
              <w:t>VII.</w:t>
            </w:r>
            <w:r w:rsidR="00185396">
              <w:rPr>
                <w:rFonts w:asciiTheme="minorHAnsi" w:eastAsiaTheme="minorEastAsia" w:hAnsiTheme="minorHAnsi"/>
                <w:noProof/>
                <w:sz w:val="22"/>
                <w:lang w:val="es-EC" w:eastAsia="es-EC"/>
              </w:rPr>
              <w:tab/>
            </w:r>
            <w:r w:rsidR="00185396" w:rsidRPr="00FD447E">
              <w:rPr>
                <w:rStyle w:val="Hipervnculo"/>
                <w:noProof/>
              </w:rPr>
              <w:t>CONCLUSIONES Y RECOMENDACIONES</w:t>
            </w:r>
            <w:r w:rsidR="00185396">
              <w:rPr>
                <w:noProof/>
                <w:webHidden/>
              </w:rPr>
              <w:tab/>
            </w:r>
            <w:r w:rsidR="00185396">
              <w:rPr>
                <w:noProof/>
                <w:webHidden/>
              </w:rPr>
              <w:fldChar w:fldCharType="begin"/>
            </w:r>
            <w:r w:rsidR="00185396">
              <w:rPr>
                <w:noProof/>
                <w:webHidden/>
              </w:rPr>
              <w:instrText xml:space="preserve"> PAGEREF _Toc80312382 \h </w:instrText>
            </w:r>
            <w:r w:rsidR="00185396">
              <w:rPr>
                <w:noProof/>
                <w:webHidden/>
              </w:rPr>
            </w:r>
            <w:r w:rsidR="00185396">
              <w:rPr>
                <w:noProof/>
                <w:webHidden/>
              </w:rPr>
              <w:fldChar w:fldCharType="separate"/>
            </w:r>
            <w:r w:rsidR="000D1F55">
              <w:rPr>
                <w:noProof/>
                <w:webHidden/>
              </w:rPr>
              <w:t>158</w:t>
            </w:r>
            <w:r w:rsidR="00185396">
              <w:rPr>
                <w:noProof/>
                <w:webHidden/>
              </w:rPr>
              <w:fldChar w:fldCharType="end"/>
            </w:r>
          </w:hyperlink>
        </w:p>
        <w:p w14:paraId="6ADE8F3D" w14:textId="17B78C4B" w:rsidR="00185396" w:rsidRDefault="00D23EF3">
          <w:pPr>
            <w:pStyle w:val="TDC2"/>
            <w:rPr>
              <w:rFonts w:asciiTheme="minorHAnsi" w:eastAsiaTheme="minorEastAsia" w:hAnsiTheme="minorHAnsi"/>
              <w:noProof/>
              <w:sz w:val="22"/>
              <w:lang w:val="es-EC" w:eastAsia="es-EC"/>
            </w:rPr>
          </w:pPr>
          <w:hyperlink w:anchor="_Toc80312383" w:history="1">
            <w:r w:rsidR="00185396" w:rsidRPr="00FD447E">
              <w:rPr>
                <w:rStyle w:val="Hipervnculo"/>
                <w:noProof/>
              </w:rPr>
              <w:t>7.1.</w:t>
            </w:r>
            <w:r w:rsidR="00185396">
              <w:rPr>
                <w:rFonts w:asciiTheme="minorHAnsi" w:eastAsiaTheme="minorEastAsia" w:hAnsiTheme="minorHAnsi"/>
                <w:noProof/>
                <w:sz w:val="22"/>
                <w:lang w:val="es-EC" w:eastAsia="es-EC"/>
              </w:rPr>
              <w:tab/>
            </w:r>
            <w:r w:rsidR="00185396" w:rsidRPr="00FD447E">
              <w:rPr>
                <w:rStyle w:val="Hipervnculo"/>
                <w:noProof/>
              </w:rPr>
              <w:t>Conclusiones</w:t>
            </w:r>
            <w:r w:rsidR="00185396">
              <w:rPr>
                <w:noProof/>
                <w:webHidden/>
              </w:rPr>
              <w:tab/>
            </w:r>
            <w:r w:rsidR="00185396">
              <w:rPr>
                <w:noProof/>
                <w:webHidden/>
              </w:rPr>
              <w:fldChar w:fldCharType="begin"/>
            </w:r>
            <w:r w:rsidR="00185396">
              <w:rPr>
                <w:noProof/>
                <w:webHidden/>
              </w:rPr>
              <w:instrText xml:space="preserve"> PAGEREF _Toc80312383 \h </w:instrText>
            </w:r>
            <w:r w:rsidR="00185396">
              <w:rPr>
                <w:noProof/>
                <w:webHidden/>
              </w:rPr>
            </w:r>
            <w:r w:rsidR="00185396">
              <w:rPr>
                <w:noProof/>
                <w:webHidden/>
              </w:rPr>
              <w:fldChar w:fldCharType="separate"/>
            </w:r>
            <w:r w:rsidR="000D1F55">
              <w:rPr>
                <w:noProof/>
                <w:webHidden/>
              </w:rPr>
              <w:t>158</w:t>
            </w:r>
            <w:r w:rsidR="00185396">
              <w:rPr>
                <w:noProof/>
                <w:webHidden/>
              </w:rPr>
              <w:fldChar w:fldCharType="end"/>
            </w:r>
          </w:hyperlink>
        </w:p>
        <w:p w14:paraId="772A114A" w14:textId="14DFB34C" w:rsidR="00185396" w:rsidRDefault="00D23EF3">
          <w:pPr>
            <w:pStyle w:val="TDC2"/>
            <w:rPr>
              <w:rFonts w:asciiTheme="minorHAnsi" w:eastAsiaTheme="minorEastAsia" w:hAnsiTheme="minorHAnsi"/>
              <w:noProof/>
              <w:sz w:val="22"/>
              <w:lang w:val="es-EC" w:eastAsia="es-EC"/>
            </w:rPr>
          </w:pPr>
          <w:hyperlink w:anchor="_Toc80312384" w:history="1">
            <w:r w:rsidR="00185396" w:rsidRPr="00FD447E">
              <w:rPr>
                <w:rStyle w:val="Hipervnculo"/>
                <w:noProof/>
              </w:rPr>
              <w:t>7.2.</w:t>
            </w:r>
            <w:r w:rsidR="00185396">
              <w:rPr>
                <w:rFonts w:asciiTheme="minorHAnsi" w:eastAsiaTheme="minorEastAsia" w:hAnsiTheme="minorHAnsi"/>
                <w:noProof/>
                <w:sz w:val="22"/>
                <w:lang w:val="es-EC" w:eastAsia="es-EC"/>
              </w:rPr>
              <w:tab/>
            </w:r>
            <w:r w:rsidR="00185396" w:rsidRPr="00FD447E">
              <w:rPr>
                <w:rStyle w:val="Hipervnculo"/>
                <w:noProof/>
              </w:rPr>
              <w:t>Recomendaciones</w:t>
            </w:r>
            <w:r w:rsidR="00185396">
              <w:rPr>
                <w:noProof/>
                <w:webHidden/>
              </w:rPr>
              <w:tab/>
            </w:r>
            <w:r w:rsidR="00185396">
              <w:rPr>
                <w:noProof/>
                <w:webHidden/>
              </w:rPr>
              <w:fldChar w:fldCharType="begin"/>
            </w:r>
            <w:r w:rsidR="00185396">
              <w:rPr>
                <w:noProof/>
                <w:webHidden/>
              </w:rPr>
              <w:instrText xml:space="preserve"> PAGEREF _Toc80312384 \h </w:instrText>
            </w:r>
            <w:r w:rsidR="00185396">
              <w:rPr>
                <w:noProof/>
                <w:webHidden/>
              </w:rPr>
            </w:r>
            <w:r w:rsidR="00185396">
              <w:rPr>
                <w:noProof/>
                <w:webHidden/>
              </w:rPr>
              <w:fldChar w:fldCharType="separate"/>
            </w:r>
            <w:r w:rsidR="000D1F55">
              <w:rPr>
                <w:noProof/>
                <w:webHidden/>
              </w:rPr>
              <w:t>160</w:t>
            </w:r>
            <w:r w:rsidR="00185396">
              <w:rPr>
                <w:noProof/>
                <w:webHidden/>
              </w:rPr>
              <w:fldChar w:fldCharType="end"/>
            </w:r>
          </w:hyperlink>
        </w:p>
        <w:p w14:paraId="23E64716" w14:textId="76F6C83A" w:rsidR="00185396" w:rsidRDefault="00D23EF3">
          <w:pPr>
            <w:pStyle w:val="TDC1"/>
            <w:rPr>
              <w:rFonts w:asciiTheme="minorHAnsi" w:eastAsiaTheme="minorEastAsia" w:hAnsiTheme="minorHAnsi"/>
              <w:noProof/>
              <w:sz w:val="22"/>
              <w:lang w:val="es-EC" w:eastAsia="es-EC"/>
            </w:rPr>
          </w:pPr>
          <w:hyperlink w:anchor="_Toc80312385" w:history="1">
            <w:r w:rsidR="00185396" w:rsidRPr="00FD447E">
              <w:rPr>
                <w:rStyle w:val="Hipervnculo"/>
                <w:rFonts w:eastAsia="Times New Roman"/>
                <w:noProof/>
              </w:rPr>
              <w:t>BIBLIOGRAFÍA</w:t>
            </w:r>
          </w:hyperlink>
        </w:p>
        <w:p w14:paraId="2977D3A4" w14:textId="0732B209" w:rsidR="004C7521" w:rsidRPr="004C7521" w:rsidRDefault="004C7521">
          <w:r>
            <w:rPr>
              <w:b/>
              <w:bCs/>
              <w:lang w:val="es-ES"/>
            </w:rPr>
            <w:fldChar w:fldCharType="end"/>
          </w:r>
          <w:r w:rsidR="006229C8">
            <w:rPr>
              <w:b/>
              <w:bCs/>
              <w:lang w:val="es-ES"/>
            </w:rPr>
            <w:t xml:space="preserve">  </w:t>
          </w:r>
          <w:r w:rsidRPr="004C7521">
            <w:rPr>
              <w:bCs/>
              <w:lang w:val="es-ES"/>
            </w:rPr>
            <w:t>ANEXOS</w:t>
          </w:r>
        </w:p>
      </w:sdtContent>
    </w:sdt>
    <w:p w14:paraId="767C6B73" w14:textId="77777777" w:rsidR="00C958D7" w:rsidRPr="00C958D7" w:rsidRDefault="00C958D7" w:rsidP="00C958D7">
      <w:pPr>
        <w:rPr>
          <w:lang w:val="es-ES"/>
        </w:rPr>
      </w:pPr>
    </w:p>
    <w:p w14:paraId="4D180A33" w14:textId="79AAA801" w:rsidR="00DF2451" w:rsidRDefault="00DF2451" w:rsidP="000E2B3A">
      <w:pPr>
        <w:pStyle w:val="Ttulo1"/>
        <w:numPr>
          <w:ilvl w:val="0"/>
          <w:numId w:val="0"/>
        </w:numPr>
        <w:spacing w:after="0"/>
        <w:ind w:left="360"/>
        <w:rPr>
          <w:szCs w:val="24"/>
        </w:rPr>
      </w:pPr>
      <w:r w:rsidRPr="007E253F">
        <w:rPr>
          <w:szCs w:val="24"/>
        </w:rPr>
        <w:br w:type="page"/>
      </w:r>
    </w:p>
    <w:p w14:paraId="22FC1D7C" w14:textId="77777777" w:rsidR="003A1E83" w:rsidRPr="003A1E83" w:rsidRDefault="003A1E83" w:rsidP="003A1E83">
      <w:pPr>
        <w:rPr>
          <w:lang w:val="es-ES"/>
        </w:rPr>
      </w:pPr>
    </w:p>
    <w:p w14:paraId="7F88427A" w14:textId="73BF9A86" w:rsidR="00171CEE" w:rsidRDefault="004A61DF" w:rsidP="005C6603">
      <w:pPr>
        <w:jc w:val="center"/>
        <w:rPr>
          <w:b/>
          <w:lang w:val="es-ES"/>
        </w:rPr>
      </w:pPr>
      <w:r w:rsidRPr="006D3049">
        <w:rPr>
          <w:b/>
          <w:lang w:val="es-ES"/>
        </w:rPr>
        <w:t xml:space="preserve">ÍNDICE </w:t>
      </w:r>
      <w:r w:rsidR="00171CEE" w:rsidRPr="006D3049">
        <w:rPr>
          <w:b/>
          <w:lang w:val="es-ES"/>
        </w:rPr>
        <w:t>DE CUADROS</w:t>
      </w:r>
    </w:p>
    <w:p w14:paraId="1898017D" w14:textId="77777777" w:rsidR="008764C6" w:rsidRPr="006D3049" w:rsidRDefault="008764C6" w:rsidP="005C6603">
      <w:pPr>
        <w:jc w:val="center"/>
        <w:rPr>
          <w:b/>
          <w:lang w:val="es-ES"/>
        </w:rPr>
      </w:pPr>
    </w:p>
    <w:tbl>
      <w:tblPr>
        <w:tblW w:w="8359" w:type="dxa"/>
        <w:tblCellMar>
          <w:left w:w="70" w:type="dxa"/>
          <w:right w:w="70" w:type="dxa"/>
        </w:tblCellMar>
        <w:tblLook w:val="04A0" w:firstRow="1" w:lastRow="0" w:firstColumn="1" w:lastColumn="0" w:noHBand="0" w:noVBand="1"/>
      </w:tblPr>
      <w:tblGrid>
        <w:gridCol w:w="988"/>
        <w:gridCol w:w="6237"/>
        <w:gridCol w:w="1134"/>
      </w:tblGrid>
      <w:tr w:rsidR="00406C2B" w:rsidRPr="00C65C45" w14:paraId="682AB341" w14:textId="77777777" w:rsidTr="00406C2B">
        <w:trPr>
          <w:trHeight w:val="300"/>
        </w:trPr>
        <w:tc>
          <w:tcPr>
            <w:tcW w:w="988" w:type="dxa"/>
            <w:shd w:val="clear" w:color="auto" w:fill="auto"/>
            <w:noWrap/>
            <w:vAlign w:val="center"/>
          </w:tcPr>
          <w:p w14:paraId="6F6DE3C4" w14:textId="77777777" w:rsidR="00406C2B" w:rsidRPr="00C65C45" w:rsidRDefault="00406C2B" w:rsidP="00207ECA">
            <w:pPr>
              <w:spacing w:before="120" w:after="120" w:line="240" w:lineRule="auto"/>
              <w:jc w:val="left"/>
              <w:rPr>
                <w:rFonts w:eastAsia="Times New Roman" w:cs="Times New Roman"/>
                <w:b/>
                <w:bCs/>
                <w:color w:val="000000"/>
                <w:szCs w:val="24"/>
                <w:lang w:eastAsia="es-EC"/>
              </w:rPr>
            </w:pPr>
            <w:r w:rsidRPr="00C65C45">
              <w:rPr>
                <w:rFonts w:eastAsia="Times New Roman" w:cs="Times New Roman"/>
                <w:b/>
                <w:bCs/>
                <w:color w:val="000000"/>
                <w:szCs w:val="24"/>
                <w:lang w:eastAsia="es-EC"/>
              </w:rPr>
              <w:t>N°</w:t>
            </w:r>
          </w:p>
        </w:tc>
        <w:tc>
          <w:tcPr>
            <w:tcW w:w="6237" w:type="dxa"/>
            <w:shd w:val="clear" w:color="auto" w:fill="auto"/>
            <w:noWrap/>
            <w:vAlign w:val="center"/>
          </w:tcPr>
          <w:p w14:paraId="65C7D5BB" w14:textId="77777777" w:rsidR="00406C2B" w:rsidRPr="00C65C45" w:rsidRDefault="00406C2B" w:rsidP="00207ECA">
            <w:pPr>
              <w:spacing w:before="120" w:after="120" w:line="240" w:lineRule="auto"/>
              <w:rPr>
                <w:rFonts w:eastAsia="Times New Roman" w:cs="Times New Roman"/>
                <w:b/>
                <w:bCs/>
                <w:color w:val="000000"/>
                <w:szCs w:val="24"/>
                <w:lang w:val="es-ES" w:eastAsia="es-EC"/>
              </w:rPr>
            </w:pPr>
            <w:r w:rsidRPr="00C65C45">
              <w:rPr>
                <w:rFonts w:eastAsia="Times New Roman" w:cs="Times New Roman"/>
                <w:b/>
                <w:bCs/>
                <w:color w:val="000000"/>
                <w:szCs w:val="24"/>
                <w:lang w:val="es-ES" w:eastAsia="es-EC"/>
              </w:rPr>
              <w:t>Contenido</w:t>
            </w:r>
          </w:p>
        </w:tc>
        <w:tc>
          <w:tcPr>
            <w:tcW w:w="1134" w:type="dxa"/>
            <w:shd w:val="clear" w:color="auto" w:fill="auto"/>
            <w:noWrap/>
            <w:vAlign w:val="center"/>
          </w:tcPr>
          <w:p w14:paraId="3E5F46C4" w14:textId="77777777" w:rsidR="00406C2B" w:rsidRPr="00C65C45" w:rsidRDefault="00406C2B" w:rsidP="00207ECA">
            <w:pPr>
              <w:spacing w:before="120" w:after="120" w:line="240" w:lineRule="auto"/>
              <w:jc w:val="center"/>
              <w:rPr>
                <w:rFonts w:eastAsia="Times New Roman" w:cs="Times New Roman"/>
                <w:b/>
                <w:bCs/>
                <w:color w:val="000000"/>
                <w:szCs w:val="24"/>
                <w:lang w:eastAsia="es-EC"/>
              </w:rPr>
            </w:pPr>
            <w:r w:rsidRPr="00C65C45">
              <w:rPr>
                <w:rFonts w:eastAsia="Times New Roman" w:cs="Times New Roman"/>
                <w:b/>
                <w:bCs/>
                <w:color w:val="000000"/>
                <w:szCs w:val="24"/>
                <w:lang w:eastAsia="es-EC"/>
              </w:rPr>
              <w:t>Pag</w:t>
            </w:r>
          </w:p>
        </w:tc>
      </w:tr>
      <w:tr w:rsidR="00406C2B" w:rsidRPr="00C65C45" w14:paraId="7BA53CD2" w14:textId="77777777" w:rsidTr="00406C2B">
        <w:trPr>
          <w:trHeight w:val="300"/>
        </w:trPr>
        <w:tc>
          <w:tcPr>
            <w:tcW w:w="988" w:type="dxa"/>
            <w:shd w:val="clear" w:color="auto" w:fill="auto"/>
            <w:noWrap/>
            <w:vAlign w:val="center"/>
            <w:hideMark/>
          </w:tcPr>
          <w:p w14:paraId="492BAD96" w14:textId="77777777" w:rsidR="00406C2B" w:rsidRPr="0094079D" w:rsidRDefault="00406C2B" w:rsidP="00207ECA">
            <w:pPr>
              <w:spacing w:before="120" w:after="120" w:line="240" w:lineRule="auto"/>
              <w:jc w:val="left"/>
              <w:rPr>
                <w:rFonts w:eastAsia="Times New Roman" w:cs="Times New Roman"/>
                <w:color w:val="000000"/>
                <w:szCs w:val="24"/>
                <w:lang w:eastAsia="es-EC"/>
              </w:rPr>
            </w:pPr>
            <w:bookmarkStart w:id="19" w:name="OLE_LINK1" w:colFirst="1" w:colLast="2"/>
            <w:bookmarkStart w:id="20" w:name="_Hlk80196721" w:colFirst="1" w:colLast="2"/>
            <w:r w:rsidRPr="0094079D">
              <w:rPr>
                <w:rFonts w:eastAsia="Times New Roman" w:cs="Times New Roman"/>
                <w:color w:val="000000"/>
                <w:szCs w:val="24"/>
                <w:lang w:eastAsia="es-EC"/>
              </w:rPr>
              <w:t>N° 1</w:t>
            </w:r>
          </w:p>
        </w:tc>
        <w:tc>
          <w:tcPr>
            <w:tcW w:w="6237" w:type="dxa"/>
            <w:shd w:val="clear" w:color="auto" w:fill="auto"/>
            <w:noWrap/>
            <w:vAlign w:val="center"/>
            <w:hideMark/>
          </w:tcPr>
          <w:p w14:paraId="2BAF3FB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Taxonomía del maíz</w:t>
            </w:r>
          </w:p>
        </w:tc>
        <w:tc>
          <w:tcPr>
            <w:tcW w:w="1134" w:type="dxa"/>
            <w:shd w:val="clear" w:color="auto" w:fill="auto"/>
            <w:noWrap/>
            <w:vAlign w:val="center"/>
            <w:hideMark/>
          </w:tcPr>
          <w:p w14:paraId="7D2B27D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5</w:t>
            </w:r>
          </w:p>
        </w:tc>
      </w:tr>
      <w:tr w:rsidR="00406C2B" w:rsidRPr="00C65C45" w14:paraId="4DA775AF" w14:textId="77777777" w:rsidTr="00406C2B">
        <w:trPr>
          <w:trHeight w:val="300"/>
        </w:trPr>
        <w:tc>
          <w:tcPr>
            <w:tcW w:w="988" w:type="dxa"/>
            <w:shd w:val="clear" w:color="auto" w:fill="auto"/>
            <w:noWrap/>
            <w:vAlign w:val="center"/>
            <w:hideMark/>
          </w:tcPr>
          <w:p w14:paraId="0D1B481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w:t>
            </w:r>
          </w:p>
        </w:tc>
        <w:tc>
          <w:tcPr>
            <w:tcW w:w="6237" w:type="dxa"/>
            <w:shd w:val="clear" w:color="auto" w:fill="auto"/>
            <w:noWrap/>
            <w:vAlign w:val="center"/>
            <w:hideMark/>
          </w:tcPr>
          <w:p w14:paraId="6AA9614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Características de la variedad INIAP-102 Blanco Blandito Mejorado</w:t>
            </w:r>
          </w:p>
        </w:tc>
        <w:tc>
          <w:tcPr>
            <w:tcW w:w="1134" w:type="dxa"/>
            <w:shd w:val="clear" w:color="auto" w:fill="auto"/>
            <w:noWrap/>
            <w:vAlign w:val="center"/>
            <w:hideMark/>
          </w:tcPr>
          <w:p w14:paraId="7F07146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w:t>
            </w:r>
          </w:p>
        </w:tc>
      </w:tr>
      <w:tr w:rsidR="00406C2B" w:rsidRPr="00C65C45" w14:paraId="55A12A68" w14:textId="77777777" w:rsidTr="00406C2B">
        <w:trPr>
          <w:trHeight w:val="300"/>
        </w:trPr>
        <w:tc>
          <w:tcPr>
            <w:tcW w:w="988" w:type="dxa"/>
            <w:shd w:val="clear" w:color="auto" w:fill="auto"/>
            <w:noWrap/>
            <w:vAlign w:val="center"/>
            <w:hideMark/>
          </w:tcPr>
          <w:p w14:paraId="2C5A9D8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w:t>
            </w:r>
          </w:p>
        </w:tc>
        <w:tc>
          <w:tcPr>
            <w:tcW w:w="6237" w:type="dxa"/>
            <w:shd w:val="clear" w:color="auto" w:fill="auto"/>
            <w:noWrap/>
            <w:vAlign w:val="center"/>
            <w:hideMark/>
          </w:tcPr>
          <w:p w14:paraId="2B5B286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Características de la variedad Guagal Mejorado</w:t>
            </w:r>
          </w:p>
        </w:tc>
        <w:tc>
          <w:tcPr>
            <w:tcW w:w="1134" w:type="dxa"/>
            <w:shd w:val="clear" w:color="auto" w:fill="auto"/>
            <w:noWrap/>
            <w:vAlign w:val="center"/>
            <w:hideMark/>
          </w:tcPr>
          <w:p w14:paraId="6329CCC2" w14:textId="77777777" w:rsidR="00406C2B" w:rsidRPr="0094079D" w:rsidRDefault="00406C2B" w:rsidP="00207ECA">
            <w:pPr>
              <w:spacing w:before="120" w:after="120" w:line="240" w:lineRule="auto"/>
              <w:ind w:left="-2330" w:firstLine="2330"/>
              <w:jc w:val="center"/>
              <w:rPr>
                <w:rFonts w:eastAsia="Times New Roman" w:cs="Times New Roman"/>
                <w:color w:val="000000"/>
                <w:szCs w:val="24"/>
                <w:lang w:eastAsia="es-EC"/>
              </w:rPr>
            </w:pPr>
            <w:r w:rsidRPr="0094079D">
              <w:rPr>
                <w:rFonts w:eastAsia="Times New Roman" w:cs="Times New Roman"/>
                <w:color w:val="000000"/>
                <w:szCs w:val="24"/>
                <w:lang w:eastAsia="es-EC"/>
              </w:rPr>
              <w:t>9</w:t>
            </w:r>
          </w:p>
        </w:tc>
      </w:tr>
      <w:tr w:rsidR="00406C2B" w:rsidRPr="00C65C45" w14:paraId="65A378B8" w14:textId="77777777" w:rsidTr="00406C2B">
        <w:trPr>
          <w:trHeight w:val="300"/>
        </w:trPr>
        <w:tc>
          <w:tcPr>
            <w:tcW w:w="988" w:type="dxa"/>
            <w:shd w:val="clear" w:color="auto" w:fill="auto"/>
            <w:noWrap/>
            <w:vAlign w:val="center"/>
            <w:hideMark/>
          </w:tcPr>
          <w:p w14:paraId="22E4C24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w:t>
            </w:r>
          </w:p>
        </w:tc>
        <w:tc>
          <w:tcPr>
            <w:tcW w:w="6237" w:type="dxa"/>
            <w:shd w:val="clear" w:color="auto" w:fill="auto"/>
            <w:noWrap/>
            <w:vAlign w:val="center"/>
            <w:hideMark/>
          </w:tcPr>
          <w:p w14:paraId="3CFD15B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Características de la variedad INIAP-122 Chaucho Mejorado</w:t>
            </w:r>
          </w:p>
        </w:tc>
        <w:tc>
          <w:tcPr>
            <w:tcW w:w="1134" w:type="dxa"/>
            <w:shd w:val="clear" w:color="auto" w:fill="auto"/>
            <w:noWrap/>
            <w:vAlign w:val="center"/>
            <w:hideMark/>
          </w:tcPr>
          <w:p w14:paraId="5437397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w:t>
            </w:r>
          </w:p>
        </w:tc>
      </w:tr>
      <w:tr w:rsidR="00406C2B" w:rsidRPr="00C65C45" w14:paraId="279AC574" w14:textId="77777777" w:rsidTr="00406C2B">
        <w:trPr>
          <w:trHeight w:val="300"/>
        </w:trPr>
        <w:tc>
          <w:tcPr>
            <w:tcW w:w="988" w:type="dxa"/>
            <w:shd w:val="clear" w:color="auto" w:fill="auto"/>
            <w:noWrap/>
            <w:vAlign w:val="center"/>
            <w:hideMark/>
          </w:tcPr>
          <w:p w14:paraId="4B5B0E6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w:t>
            </w:r>
          </w:p>
        </w:tc>
        <w:tc>
          <w:tcPr>
            <w:tcW w:w="6237" w:type="dxa"/>
            <w:shd w:val="clear" w:color="auto" w:fill="auto"/>
            <w:noWrap/>
            <w:vAlign w:val="center"/>
            <w:hideMark/>
          </w:tcPr>
          <w:p w14:paraId="7F452E6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Propiedades del Nitrógeno</w:t>
            </w:r>
          </w:p>
        </w:tc>
        <w:tc>
          <w:tcPr>
            <w:tcW w:w="1134" w:type="dxa"/>
            <w:shd w:val="clear" w:color="auto" w:fill="auto"/>
            <w:noWrap/>
            <w:vAlign w:val="center"/>
            <w:hideMark/>
          </w:tcPr>
          <w:p w14:paraId="1C13331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16</w:t>
            </w:r>
          </w:p>
        </w:tc>
      </w:tr>
      <w:tr w:rsidR="00406C2B" w:rsidRPr="00C65C45" w14:paraId="21F31802" w14:textId="77777777" w:rsidTr="00406C2B">
        <w:trPr>
          <w:trHeight w:val="300"/>
        </w:trPr>
        <w:tc>
          <w:tcPr>
            <w:tcW w:w="988" w:type="dxa"/>
            <w:shd w:val="clear" w:color="auto" w:fill="auto"/>
            <w:noWrap/>
            <w:vAlign w:val="center"/>
            <w:hideMark/>
          </w:tcPr>
          <w:p w14:paraId="7795C868"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w:t>
            </w:r>
          </w:p>
        </w:tc>
        <w:tc>
          <w:tcPr>
            <w:tcW w:w="6237" w:type="dxa"/>
            <w:shd w:val="clear" w:color="auto" w:fill="auto"/>
            <w:noWrap/>
            <w:vAlign w:val="center"/>
            <w:hideMark/>
          </w:tcPr>
          <w:p w14:paraId="483632B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Contenido de Fósforo asimilable (ppm)</w:t>
            </w:r>
          </w:p>
        </w:tc>
        <w:tc>
          <w:tcPr>
            <w:tcW w:w="1134" w:type="dxa"/>
            <w:shd w:val="clear" w:color="auto" w:fill="auto"/>
            <w:noWrap/>
            <w:vAlign w:val="center"/>
            <w:hideMark/>
          </w:tcPr>
          <w:p w14:paraId="624591B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32</w:t>
            </w:r>
          </w:p>
        </w:tc>
      </w:tr>
      <w:tr w:rsidR="00406C2B" w:rsidRPr="00C65C45" w14:paraId="79A58197" w14:textId="77777777" w:rsidTr="00406C2B">
        <w:trPr>
          <w:trHeight w:val="300"/>
        </w:trPr>
        <w:tc>
          <w:tcPr>
            <w:tcW w:w="988" w:type="dxa"/>
            <w:shd w:val="clear" w:color="auto" w:fill="auto"/>
            <w:noWrap/>
            <w:vAlign w:val="center"/>
            <w:hideMark/>
          </w:tcPr>
          <w:p w14:paraId="05ECBD0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w:t>
            </w:r>
          </w:p>
        </w:tc>
        <w:tc>
          <w:tcPr>
            <w:tcW w:w="6237" w:type="dxa"/>
            <w:shd w:val="clear" w:color="auto" w:fill="auto"/>
            <w:noWrap/>
            <w:vAlign w:val="center"/>
            <w:hideMark/>
          </w:tcPr>
          <w:p w14:paraId="661B6C4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Niveles de fertilidad de potasio</w:t>
            </w:r>
          </w:p>
        </w:tc>
        <w:tc>
          <w:tcPr>
            <w:tcW w:w="1134" w:type="dxa"/>
            <w:shd w:val="clear" w:color="auto" w:fill="auto"/>
            <w:noWrap/>
            <w:vAlign w:val="center"/>
            <w:hideMark/>
          </w:tcPr>
          <w:p w14:paraId="45160AB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37</w:t>
            </w:r>
          </w:p>
        </w:tc>
      </w:tr>
      <w:tr w:rsidR="00406C2B" w:rsidRPr="00C65C45" w14:paraId="0364FAA5" w14:textId="77777777" w:rsidTr="00406C2B">
        <w:trPr>
          <w:trHeight w:val="300"/>
        </w:trPr>
        <w:tc>
          <w:tcPr>
            <w:tcW w:w="988" w:type="dxa"/>
            <w:shd w:val="clear" w:color="auto" w:fill="auto"/>
            <w:noWrap/>
            <w:vAlign w:val="center"/>
            <w:hideMark/>
          </w:tcPr>
          <w:p w14:paraId="5D6974C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w:t>
            </w:r>
          </w:p>
        </w:tc>
        <w:tc>
          <w:tcPr>
            <w:tcW w:w="6237" w:type="dxa"/>
            <w:shd w:val="clear" w:color="auto" w:fill="auto"/>
            <w:noWrap/>
            <w:vAlign w:val="center"/>
            <w:hideMark/>
          </w:tcPr>
          <w:p w14:paraId="31B1673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Ubicación del experimento en las localidades de la provincia de Bolívar</w:t>
            </w:r>
          </w:p>
        </w:tc>
        <w:tc>
          <w:tcPr>
            <w:tcW w:w="1134" w:type="dxa"/>
            <w:shd w:val="clear" w:color="auto" w:fill="auto"/>
            <w:noWrap/>
            <w:vAlign w:val="center"/>
            <w:hideMark/>
          </w:tcPr>
          <w:p w14:paraId="7DD22F1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45</w:t>
            </w:r>
          </w:p>
        </w:tc>
      </w:tr>
      <w:tr w:rsidR="00406C2B" w:rsidRPr="00C65C45" w14:paraId="22C77388" w14:textId="77777777" w:rsidTr="00406C2B">
        <w:trPr>
          <w:trHeight w:val="300"/>
        </w:trPr>
        <w:tc>
          <w:tcPr>
            <w:tcW w:w="988" w:type="dxa"/>
            <w:shd w:val="clear" w:color="auto" w:fill="auto"/>
            <w:noWrap/>
            <w:vAlign w:val="center"/>
            <w:hideMark/>
          </w:tcPr>
          <w:p w14:paraId="53F0407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w:t>
            </w:r>
          </w:p>
        </w:tc>
        <w:tc>
          <w:tcPr>
            <w:tcW w:w="6237" w:type="dxa"/>
            <w:shd w:val="clear" w:color="auto" w:fill="auto"/>
            <w:noWrap/>
            <w:vAlign w:val="center"/>
            <w:hideMark/>
          </w:tcPr>
          <w:p w14:paraId="42E5FBB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Ubicación del experimento en las localidades de la provincia de Chimborazo</w:t>
            </w:r>
          </w:p>
        </w:tc>
        <w:tc>
          <w:tcPr>
            <w:tcW w:w="1134" w:type="dxa"/>
            <w:shd w:val="clear" w:color="auto" w:fill="auto"/>
            <w:noWrap/>
            <w:vAlign w:val="center"/>
            <w:hideMark/>
          </w:tcPr>
          <w:p w14:paraId="0BF7215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46</w:t>
            </w:r>
          </w:p>
        </w:tc>
      </w:tr>
      <w:tr w:rsidR="00406C2B" w:rsidRPr="00C65C45" w14:paraId="5392DB1B" w14:textId="77777777" w:rsidTr="00406C2B">
        <w:trPr>
          <w:trHeight w:val="300"/>
        </w:trPr>
        <w:tc>
          <w:tcPr>
            <w:tcW w:w="988" w:type="dxa"/>
            <w:shd w:val="clear" w:color="auto" w:fill="auto"/>
            <w:noWrap/>
            <w:vAlign w:val="center"/>
            <w:hideMark/>
          </w:tcPr>
          <w:p w14:paraId="58A7E938"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w:t>
            </w:r>
          </w:p>
        </w:tc>
        <w:tc>
          <w:tcPr>
            <w:tcW w:w="6237" w:type="dxa"/>
            <w:shd w:val="clear" w:color="auto" w:fill="auto"/>
            <w:noWrap/>
            <w:vAlign w:val="center"/>
            <w:hideMark/>
          </w:tcPr>
          <w:p w14:paraId="3CAAE7C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Ubicación del experimento en las localidades de la provincia de Imbabura</w:t>
            </w:r>
          </w:p>
        </w:tc>
        <w:tc>
          <w:tcPr>
            <w:tcW w:w="1134" w:type="dxa"/>
            <w:shd w:val="clear" w:color="auto" w:fill="auto"/>
            <w:noWrap/>
            <w:vAlign w:val="center"/>
            <w:hideMark/>
          </w:tcPr>
          <w:p w14:paraId="0389ABD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47</w:t>
            </w:r>
          </w:p>
        </w:tc>
      </w:tr>
      <w:tr w:rsidR="00406C2B" w:rsidRPr="00C65C45" w14:paraId="40763142" w14:textId="77777777" w:rsidTr="00406C2B">
        <w:trPr>
          <w:trHeight w:val="300"/>
        </w:trPr>
        <w:tc>
          <w:tcPr>
            <w:tcW w:w="988" w:type="dxa"/>
            <w:shd w:val="clear" w:color="auto" w:fill="auto"/>
            <w:noWrap/>
            <w:vAlign w:val="center"/>
            <w:hideMark/>
          </w:tcPr>
          <w:p w14:paraId="43EC7FE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w:t>
            </w:r>
          </w:p>
        </w:tc>
        <w:tc>
          <w:tcPr>
            <w:tcW w:w="6237" w:type="dxa"/>
            <w:shd w:val="clear" w:color="auto" w:fill="auto"/>
            <w:noWrap/>
            <w:vAlign w:val="center"/>
            <w:hideMark/>
          </w:tcPr>
          <w:p w14:paraId="62F3029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Condiciones climáticas de las provincias en donde se realizó el experimento.</w:t>
            </w:r>
          </w:p>
        </w:tc>
        <w:tc>
          <w:tcPr>
            <w:tcW w:w="1134" w:type="dxa"/>
            <w:shd w:val="clear" w:color="auto" w:fill="auto"/>
            <w:noWrap/>
            <w:vAlign w:val="center"/>
            <w:hideMark/>
          </w:tcPr>
          <w:p w14:paraId="1FB6BCD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47</w:t>
            </w:r>
          </w:p>
        </w:tc>
      </w:tr>
      <w:tr w:rsidR="00406C2B" w:rsidRPr="00C65C45" w14:paraId="48844B7D" w14:textId="77777777" w:rsidTr="00406C2B">
        <w:trPr>
          <w:trHeight w:val="300"/>
        </w:trPr>
        <w:tc>
          <w:tcPr>
            <w:tcW w:w="988" w:type="dxa"/>
            <w:shd w:val="clear" w:color="auto" w:fill="auto"/>
            <w:noWrap/>
            <w:vAlign w:val="center"/>
            <w:hideMark/>
          </w:tcPr>
          <w:p w14:paraId="114C859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w:t>
            </w:r>
          </w:p>
        </w:tc>
        <w:tc>
          <w:tcPr>
            <w:tcW w:w="6237" w:type="dxa"/>
            <w:shd w:val="clear" w:color="auto" w:fill="auto"/>
            <w:noWrap/>
            <w:vAlign w:val="center"/>
            <w:hideMark/>
          </w:tcPr>
          <w:p w14:paraId="3FAD0EA7" w14:textId="4D6A546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 xml:space="preserve">Variables enlistadas en la base de datos de ensayos de fertilización de </w:t>
            </w:r>
            <w:r w:rsidR="002A67E9" w:rsidRPr="0094079D">
              <w:rPr>
                <w:rFonts w:eastAsia="Times New Roman" w:cs="Times New Roman"/>
                <w:color w:val="000000"/>
                <w:szCs w:val="24"/>
                <w:lang w:eastAsia="es-EC"/>
              </w:rPr>
              <w:t>maíz suave</w:t>
            </w:r>
            <w:r w:rsidRPr="0094079D">
              <w:rPr>
                <w:rFonts w:eastAsia="Times New Roman" w:cs="Times New Roman"/>
                <w:color w:val="000000"/>
                <w:szCs w:val="24"/>
                <w:lang w:eastAsia="es-EC"/>
              </w:rPr>
              <w:t xml:space="preserve">      del INIAP, del 2006 al 2015.</w:t>
            </w:r>
          </w:p>
        </w:tc>
        <w:tc>
          <w:tcPr>
            <w:tcW w:w="1134" w:type="dxa"/>
            <w:shd w:val="clear" w:color="auto" w:fill="auto"/>
            <w:noWrap/>
            <w:vAlign w:val="center"/>
            <w:hideMark/>
          </w:tcPr>
          <w:p w14:paraId="6D17E39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53</w:t>
            </w:r>
          </w:p>
        </w:tc>
      </w:tr>
      <w:tr w:rsidR="00406C2B" w:rsidRPr="00C65C45" w14:paraId="45DD6757" w14:textId="77777777" w:rsidTr="00406C2B">
        <w:trPr>
          <w:trHeight w:val="300"/>
        </w:trPr>
        <w:tc>
          <w:tcPr>
            <w:tcW w:w="988" w:type="dxa"/>
            <w:shd w:val="clear" w:color="auto" w:fill="auto"/>
            <w:noWrap/>
            <w:vAlign w:val="center"/>
            <w:hideMark/>
          </w:tcPr>
          <w:p w14:paraId="1650D6A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w:t>
            </w:r>
          </w:p>
        </w:tc>
        <w:tc>
          <w:tcPr>
            <w:tcW w:w="6237" w:type="dxa"/>
            <w:shd w:val="clear" w:color="auto" w:fill="auto"/>
            <w:noWrap/>
            <w:vAlign w:val="center"/>
            <w:hideMark/>
          </w:tcPr>
          <w:p w14:paraId="364768C9" w14:textId="7A9E2A92"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 xml:space="preserve">Correlación de Pearson para variables evaluadas que reportaron </w:t>
            </w:r>
            <w:r w:rsidR="002A67E9" w:rsidRPr="0094079D">
              <w:rPr>
                <w:rFonts w:eastAsia="Times New Roman" w:cs="Times New Roman"/>
                <w:color w:val="000000"/>
                <w:szCs w:val="24"/>
                <w:lang w:eastAsia="es-EC"/>
              </w:rPr>
              <w:t>significación</w:t>
            </w:r>
            <w:r w:rsidRPr="0094079D">
              <w:rPr>
                <w:rFonts w:eastAsia="Times New Roman" w:cs="Times New Roman"/>
                <w:color w:val="000000"/>
                <w:szCs w:val="24"/>
                <w:lang w:eastAsia="es-EC"/>
              </w:rPr>
              <w:t xml:space="preserve"> estadística (p&lt;0,05) de la Provincia de Bolívar, 2006-</w:t>
            </w:r>
            <w:r w:rsidR="002A67E9" w:rsidRPr="0094079D">
              <w:rPr>
                <w:rFonts w:eastAsia="Times New Roman" w:cs="Times New Roman"/>
                <w:color w:val="000000"/>
                <w:szCs w:val="24"/>
                <w:lang w:eastAsia="es-EC"/>
              </w:rPr>
              <w:t>2011.</w:t>
            </w:r>
          </w:p>
        </w:tc>
        <w:tc>
          <w:tcPr>
            <w:tcW w:w="1134" w:type="dxa"/>
            <w:shd w:val="clear" w:color="auto" w:fill="auto"/>
            <w:noWrap/>
            <w:vAlign w:val="center"/>
            <w:hideMark/>
          </w:tcPr>
          <w:p w14:paraId="6C8BAF9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56</w:t>
            </w:r>
          </w:p>
        </w:tc>
      </w:tr>
      <w:tr w:rsidR="00406C2B" w:rsidRPr="00C65C45" w14:paraId="6206F445" w14:textId="77777777" w:rsidTr="00406C2B">
        <w:trPr>
          <w:trHeight w:val="300"/>
        </w:trPr>
        <w:tc>
          <w:tcPr>
            <w:tcW w:w="988" w:type="dxa"/>
            <w:shd w:val="clear" w:color="auto" w:fill="auto"/>
            <w:noWrap/>
            <w:vAlign w:val="center"/>
            <w:hideMark/>
          </w:tcPr>
          <w:p w14:paraId="59D242C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w:t>
            </w:r>
          </w:p>
        </w:tc>
        <w:tc>
          <w:tcPr>
            <w:tcW w:w="6237" w:type="dxa"/>
            <w:shd w:val="clear" w:color="auto" w:fill="auto"/>
            <w:noWrap/>
            <w:vAlign w:val="center"/>
            <w:hideMark/>
          </w:tcPr>
          <w:p w14:paraId="7257D142"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Correlación de Pearson para variables evaluadas que reportaron significación estadística (p&lt;0,05) de la Provincia de Chimborazo, 2012-2014.</w:t>
            </w:r>
          </w:p>
        </w:tc>
        <w:tc>
          <w:tcPr>
            <w:tcW w:w="1134" w:type="dxa"/>
            <w:shd w:val="clear" w:color="auto" w:fill="auto"/>
            <w:noWrap/>
            <w:vAlign w:val="center"/>
            <w:hideMark/>
          </w:tcPr>
          <w:p w14:paraId="2E03C77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57</w:t>
            </w:r>
          </w:p>
        </w:tc>
      </w:tr>
      <w:bookmarkEnd w:id="19"/>
      <w:tr w:rsidR="00406C2B" w:rsidRPr="00C65C45" w14:paraId="6279421F" w14:textId="77777777" w:rsidTr="00406C2B">
        <w:trPr>
          <w:trHeight w:val="300"/>
        </w:trPr>
        <w:tc>
          <w:tcPr>
            <w:tcW w:w="988" w:type="dxa"/>
            <w:shd w:val="clear" w:color="auto" w:fill="auto"/>
            <w:noWrap/>
            <w:vAlign w:val="center"/>
            <w:hideMark/>
          </w:tcPr>
          <w:p w14:paraId="3FD5DA1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w:t>
            </w:r>
          </w:p>
        </w:tc>
        <w:tc>
          <w:tcPr>
            <w:tcW w:w="6237" w:type="dxa"/>
            <w:shd w:val="clear" w:color="auto" w:fill="auto"/>
            <w:noWrap/>
            <w:vAlign w:val="center"/>
            <w:hideMark/>
          </w:tcPr>
          <w:p w14:paraId="0A1BF10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Correlación de Pearson para variables evaluadas que reportaron significación estadística (p&lt;0,05) de la Provincia de Imbabura, 2010-2015.</w:t>
            </w:r>
          </w:p>
        </w:tc>
        <w:tc>
          <w:tcPr>
            <w:tcW w:w="1134" w:type="dxa"/>
            <w:shd w:val="clear" w:color="auto" w:fill="auto"/>
            <w:noWrap/>
            <w:vAlign w:val="center"/>
            <w:hideMark/>
          </w:tcPr>
          <w:p w14:paraId="6CFA897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58</w:t>
            </w:r>
          </w:p>
        </w:tc>
      </w:tr>
      <w:tr w:rsidR="00406C2B" w:rsidRPr="00C65C45" w14:paraId="6DB42855" w14:textId="77777777" w:rsidTr="00406C2B">
        <w:trPr>
          <w:trHeight w:val="300"/>
        </w:trPr>
        <w:tc>
          <w:tcPr>
            <w:tcW w:w="988" w:type="dxa"/>
            <w:shd w:val="clear" w:color="auto" w:fill="auto"/>
            <w:noWrap/>
            <w:vAlign w:val="center"/>
            <w:hideMark/>
          </w:tcPr>
          <w:p w14:paraId="60EA84A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16</w:t>
            </w:r>
          </w:p>
        </w:tc>
        <w:tc>
          <w:tcPr>
            <w:tcW w:w="6237" w:type="dxa"/>
            <w:shd w:val="clear" w:color="auto" w:fill="auto"/>
            <w:noWrap/>
            <w:vAlign w:val="center"/>
            <w:hideMark/>
          </w:tcPr>
          <w:p w14:paraId="1FEF583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rendimiento de maíz suave en grano seco, evaluado en la provincia de Bolívar del 2006 al 2011.</w:t>
            </w:r>
          </w:p>
        </w:tc>
        <w:tc>
          <w:tcPr>
            <w:tcW w:w="1134" w:type="dxa"/>
            <w:shd w:val="clear" w:color="auto" w:fill="auto"/>
            <w:noWrap/>
            <w:vAlign w:val="center"/>
            <w:hideMark/>
          </w:tcPr>
          <w:p w14:paraId="3C17877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60</w:t>
            </w:r>
          </w:p>
        </w:tc>
      </w:tr>
      <w:tr w:rsidR="00406C2B" w:rsidRPr="00C65C45" w14:paraId="753F9296" w14:textId="77777777" w:rsidTr="00406C2B">
        <w:trPr>
          <w:trHeight w:val="300"/>
        </w:trPr>
        <w:tc>
          <w:tcPr>
            <w:tcW w:w="988" w:type="dxa"/>
            <w:shd w:val="clear" w:color="auto" w:fill="auto"/>
            <w:noWrap/>
            <w:vAlign w:val="center"/>
            <w:hideMark/>
          </w:tcPr>
          <w:p w14:paraId="337C31C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w:t>
            </w:r>
          </w:p>
        </w:tc>
        <w:tc>
          <w:tcPr>
            <w:tcW w:w="6237" w:type="dxa"/>
            <w:shd w:val="clear" w:color="auto" w:fill="auto"/>
            <w:noWrap/>
            <w:vAlign w:val="center"/>
            <w:hideMark/>
          </w:tcPr>
          <w:p w14:paraId="3E8D69B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evaluado por cantones en la provincia de Bolívar del 2006 al 2011.</w:t>
            </w:r>
          </w:p>
        </w:tc>
        <w:tc>
          <w:tcPr>
            <w:tcW w:w="1134" w:type="dxa"/>
            <w:shd w:val="clear" w:color="auto" w:fill="auto"/>
            <w:noWrap/>
            <w:vAlign w:val="center"/>
            <w:hideMark/>
          </w:tcPr>
          <w:p w14:paraId="521E737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60</w:t>
            </w:r>
          </w:p>
        </w:tc>
      </w:tr>
      <w:tr w:rsidR="00406C2B" w:rsidRPr="00C65C45" w14:paraId="05C8A0E8" w14:textId="77777777" w:rsidTr="00406C2B">
        <w:trPr>
          <w:trHeight w:val="300"/>
        </w:trPr>
        <w:tc>
          <w:tcPr>
            <w:tcW w:w="988" w:type="dxa"/>
            <w:shd w:val="clear" w:color="auto" w:fill="auto"/>
            <w:noWrap/>
            <w:vAlign w:val="center"/>
            <w:hideMark/>
          </w:tcPr>
          <w:p w14:paraId="22E76AD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w:t>
            </w:r>
          </w:p>
        </w:tc>
        <w:tc>
          <w:tcPr>
            <w:tcW w:w="6237" w:type="dxa"/>
            <w:shd w:val="clear" w:color="auto" w:fill="auto"/>
            <w:noWrap/>
            <w:vAlign w:val="center"/>
            <w:hideMark/>
          </w:tcPr>
          <w:p w14:paraId="22FABF1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nitrógeno evaluadas en la provincia de Bolívar del 2006 al 2011.</w:t>
            </w:r>
          </w:p>
        </w:tc>
        <w:tc>
          <w:tcPr>
            <w:tcW w:w="1134" w:type="dxa"/>
            <w:shd w:val="clear" w:color="auto" w:fill="auto"/>
            <w:noWrap/>
            <w:vAlign w:val="center"/>
            <w:hideMark/>
          </w:tcPr>
          <w:p w14:paraId="0882321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61</w:t>
            </w:r>
          </w:p>
        </w:tc>
      </w:tr>
      <w:tr w:rsidR="00406C2B" w:rsidRPr="00C65C45" w14:paraId="51ED53B7" w14:textId="77777777" w:rsidTr="00406C2B">
        <w:trPr>
          <w:trHeight w:val="300"/>
        </w:trPr>
        <w:tc>
          <w:tcPr>
            <w:tcW w:w="988" w:type="dxa"/>
            <w:shd w:val="clear" w:color="auto" w:fill="auto"/>
            <w:noWrap/>
            <w:vAlign w:val="center"/>
            <w:hideMark/>
          </w:tcPr>
          <w:p w14:paraId="7CD1A41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19</w:t>
            </w:r>
          </w:p>
        </w:tc>
        <w:tc>
          <w:tcPr>
            <w:tcW w:w="6237" w:type="dxa"/>
            <w:shd w:val="clear" w:color="auto" w:fill="auto"/>
            <w:noWrap/>
            <w:vAlign w:val="center"/>
            <w:hideMark/>
          </w:tcPr>
          <w:p w14:paraId="119209D0" w14:textId="3B5ABBE2"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fósforo evaluadas en la provincia de Bolívar del 2006 al 2011.</w:t>
            </w:r>
          </w:p>
        </w:tc>
        <w:tc>
          <w:tcPr>
            <w:tcW w:w="1134" w:type="dxa"/>
            <w:shd w:val="clear" w:color="auto" w:fill="auto"/>
            <w:noWrap/>
            <w:vAlign w:val="center"/>
            <w:hideMark/>
          </w:tcPr>
          <w:p w14:paraId="2A8F2E3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61</w:t>
            </w:r>
          </w:p>
        </w:tc>
      </w:tr>
      <w:tr w:rsidR="00406C2B" w:rsidRPr="00C65C45" w14:paraId="6177359D" w14:textId="77777777" w:rsidTr="00406C2B">
        <w:trPr>
          <w:trHeight w:val="300"/>
        </w:trPr>
        <w:tc>
          <w:tcPr>
            <w:tcW w:w="988" w:type="dxa"/>
            <w:shd w:val="clear" w:color="auto" w:fill="auto"/>
            <w:noWrap/>
            <w:vAlign w:val="center"/>
            <w:hideMark/>
          </w:tcPr>
          <w:p w14:paraId="18B17BD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20</w:t>
            </w:r>
          </w:p>
        </w:tc>
        <w:tc>
          <w:tcPr>
            <w:tcW w:w="6237" w:type="dxa"/>
            <w:shd w:val="clear" w:color="auto" w:fill="auto"/>
            <w:noWrap/>
            <w:vAlign w:val="center"/>
            <w:hideMark/>
          </w:tcPr>
          <w:p w14:paraId="6BE95B5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potasio evaluadas en la provincia de Bolívar del 2006 al 2011.</w:t>
            </w:r>
          </w:p>
        </w:tc>
        <w:tc>
          <w:tcPr>
            <w:tcW w:w="1134" w:type="dxa"/>
            <w:shd w:val="clear" w:color="auto" w:fill="auto"/>
            <w:noWrap/>
            <w:vAlign w:val="center"/>
            <w:hideMark/>
          </w:tcPr>
          <w:p w14:paraId="72632B0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61</w:t>
            </w:r>
          </w:p>
        </w:tc>
      </w:tr>
      <w:tr w:rsidR="00406C2B" w:rsidRPr="00C65C45" w14:paraId="5808A5DC" w14:textId="77777777" w:rsidTr="00406C2B">
        <w:trPr>
          <w:trHeight w:val="300"/>
        </w:trPr>
        <w:tc>
          <w:tcPr>
            <w:tcW w:w="988" w:type="dxa"/>
            <w:shd w:val="clear" w:color="auto" w:fill="auto"/>
            <w:noWrap/>
            <w:vAlign w:val="center"/>
            <w:hideMark/>
          </w:tcPr>
          <w:p w14:paraId="3550A22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21</w:t>
            </w:r>
          </w:p>
        </w:tc>
        <w:tc>
          <w:tcPr>
            <w:tcW w:w="6237" w:type="dxa"/>
            <w:shd w:val="clear" w:color="auto" w:fill="auto"/>
            <w:noWrap/>
            <w:vAlign w:val="center"/>
            <w:hideMark/>
          </w:tcPr>
          <w:p w14:paraId="716A5F8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bCs/>
                <w:color w:val="000000"/>
                <w:szCs w:val="24"/>
                <w:lang w:eastAsia="es-EC"/>
              </w:rPr>
              <w:t>Rendimiento de maíz suave en grano seco para diversas dosis de azufre evaluadas en la provincia de Bolívar del 2006 al 2011.</w:t>
            </w:r>
          </w:p>
        </w:tc>
        <w:tc>
          <w:tcPr>
            <w:tcW w:w="1134" w:type="dxa"/>
            <w:shd w:val="clear" w:color="auto" w:fill="auto"/>
            <w:noWrap/>
            <w:vAlign w:val="center"/>
            <w:hideMark/>
          </w:tcPr>
          <w:p w14:paraId="18DFAD5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62</w:t>
            </w:r>
          </w:p>
        </w:tc>
      </w:tr>
      <w:tr w:rsidR="00406C2B" w:rsidRPr="00C65C45" w14:paraId="1E611FD8" w14:textId="77777777" w:rsidTr="00406C2B">
        <w:trPr>
          <w:trHeight w:val="300"/>
        </w:trPr>
        <w:tc>
          <w:tcPr>
            <w:tcW w:w="988" w:type="dxa"/>
            <w:shd w:val="clear" w:color="auto" w:fill="auto"/>
            <w:noWrap/>
            <w:vAlign w:val="center"/>
            <w:hideMark/>
          </w:tcPr>
          <w:p w14:paraId="5ECFD3E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22</w:t>
            </w:r>
          </w:p>
        </w:tc>
        <w:tc>
          <w:tcPr>
            <w:tcW w:w="6237" w:type="dxa"/>
            <w:shd w:val="clear" w:color="auto" w:fill="auto"/>
            <w:noWrap/>
            <w:vAlign w:val="center"/>
            <w:hideMark/>
          </w:tcPr>
          <w:p w14:paraId="6601C6E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magnesio evaluadas en la provincia de Bolívar del 2006 al 2011.</w:t>
            </w:r>
          </w:p>
        </w:tc>
        <w:tc>
          <w:tcPr>
            <w:tcW w:w="1134" w:type="dxa"/>
            <w:shd w:val="clear" w:color="auto" w:fill="auto"/>
            <w:noWrap/>
            <w:vAlign w:val="center"/>
            <w:hideMark/>
          </w:tcPr>
          <w:p w14:paraId="6D3827F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62</w:t>
            </w:r>
          </w:p>
        </w:tc>
      </w:tr>
      <w:tr w:rsidR="00406C2B" w:rsidRPr="00C65C45" w14:paraId="02E75400" w14:textId="77777777" w:rsidTr="00406C2B">
        <w:trPr>
          <w:trHeight w:val="300"/>
        </w:trPr>
        <w:tc>
          <w:tcPr>
            <w:tcW w:w="988" w:type="dxa"/>
            <w:shd w:val="clear" w:color="auto" w:fill="auto"/>
            <w:noWrap/>
            <w:vAlign w:val="center"/>
            <w:hideMark/>
          </w:tcPr>
          <w:p w14:paraId="0F0F6C7A"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23</w:t>
            </w:r>
          </w:p>
        </w:tc>
        <w:tc>
          <w:tcPr>
            <w:tcW w:w="6237" w:type="dxa"/>
            <w:shd w:val="clear" w:color="auto" w:fill="auto"/>
            <w:noWrap/>
            <w:vAlign w:val="center"/>
            <w:hideMark/>
          </w:tcPr>
          <w:p w14:paraId="5DC130FA"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total de nitrógeno evaluado en la provincia Bolívar del 2006 al 2011.</w:t>
            </w:r>
          </w:p>
        </w:tc>
        <w:tc>
          <w:tcPr>
            <w:tcW w:w="1134" w:type="dxa"/>
            <w:shd w:val="clear" w:color="auto" w:fill="auto"/>
            <w:noWrap/>
            <w:vAlign w:val="center"/>
            <w:hideMark/>
          </w:tcPr>
          <w:p w14:paraId="5780CA8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63</w:t>
            </w:r>
          </w:p>
        </w:tc>
      </w:tr>
      <w:tr w:rsidR="00406C2B" w:rsidRPr="00C65C45" w14:paraId="21184548" w14:textId="77777777" w:rsidTr="00406C2B">
        <w:trPr>
          <w:trHeight w:val="300"/>
        </w:trPr>
        <w:tc>
          <w:tcPr>
            <w:tcW w:w="988" w:type="dxa"/>
            <w:shd w:val="clear" w:color="auto" w:fill="auto"/>
            <w:noWrap/>
            <w:vAlign w:val="center"/>
            <w:hideMark/>
          </w:tcPr>
          <w:p w14:paraId="7F8E302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24</w:t>
            </w:r>
          </w:p>
        </w:tc>
        <w:tc>
          <w:tcPr>
            <w:tcW w:w="6237" w:type="dxa"/>
            <w:shd w:val="clear" w:color="auto" w:fill="auto"/>
            <w:noWrap/>
            <w:vAlign w:val="center"/>
            <w:hideMark/>
          </w:tcPr>
          <w:p w14:paraId="0CD961A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evaluado por localidades (cantón) en la provincia de Bolívar del 2006 al 2011.</w:t>
            </w:r>
          </w:p>
        </w:tc>
        <w:tc>
          <w:tcPr>
            <w:tcW w:w="1134" w:type="dxa"/>
            <w:shd w:val="clear" w:color="auto" w:fill="auto"/>
            <w:noWrap/>
            <w:vAlign w:val="center"/>
            <w:hideMark/>
          </w:tcPr>
          <w:p w14:paraId="0A84BB7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64</w:t>
            </w:r>
          </w:p>
        </w:tc>
      </w:tr>
      <w:tr w:rsidR="00406C2B" w:rsidRPr="00C65C45" w14:paraId="59C1AD22" w14:textId="77777777" w:rsidTr="00406C2B">
        <w:trPr>
          <w:trHeight w:val="300"/>
        </w:trPr>
        <w:tc>
          <w:tcPr>
            <w:tcW w:w="988" w:type="dxa"/>
            <w:shd w:val="clear" w:color="auto" w:fill="auto"/>
            <w:noWrap/>
            <w:vAlign w:val="center"/>
            <w:hideMark/>
          </w:tcPr>
          <w:p w14:paraId="3B26A37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25</w:t>
            </w:r>
          </w:p>
        </w:tc>
        <w:tc>
          <w:tcPr>
            <w:tcW w:w="6237" w:type="dxa"/>
            <w:shd w:val="clear" w:color="auto" w:fill="auto"/>
            <w:noWrap/>
            <w:vAlign w:val="center"/>
            <w:hideMark/>
          </w:tcPr>
          <w:p w14:paraId="5459CA92"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para diversas dosis de nitrógeno evaluadas en la provincia de Bolívar del 2006 al 2011.</w:t>
            </w:r>
          </w:p>
        </w:tc>
        <w:tc>
          <w:tcPr>
            <w:tcW w:w="1134" w:type="dxa"/>
            <w:shd w:val="clear" w:color="auto" w:fill="auto"/>
            <w:noWrap/>
            <w:vAlign w:val="center"/>
            <w:hideMark/>
          </w:tcPr>
          <w:p w14:paraId="13BD21A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64</w:t>
            </w:r>
          </w:p>
        </w:tc>
      </w:tr>
      <w:tr w:rsidR="00406C2B" w:rsidRPr="00C65C45" w14:paraId="6023A751" w14:textId="77777777" w:rsidTr="00406C2B">
        <w:trPr>
          <w:trHeight w:val="300"/>
        </w:trPr>
        <w:tc>
          <w:tcPr>
            <w:tcW w:w="988" w:type="dxa"/>
            <w:shd w:val="clear" w:color="auto" w:fill="auto"/>
            <w:noWrap/>
            <w:vAlign w:val="center"/>
            <w:hideMark/>
          </w:tcPr>
          <w:p w14:paraId="761BCF8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26</w:t>
            </w:r>
          </w:p>
        </w:tc>
        <w:tc>
          <w:tcPr>
            <w:tcW w:w="6237" w:type="dxa"/>
            <w:shd w:val="clear" w:color="auto" w:fill="auto"/>
            <w:noWrap/>
            <w:vAlign w:val="center"/>
            <w:hideMark/>
          </w:tcPr>
          <w:p w14:paraId="23F5A0F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para diversas dosis de fósforo evaluadas en la provincia de Bolívar del 2006 al 2011.</w:t>
            </w:r>
          </w:p>
        </w:tc>
        <w:tc>
          <w:tcPr>
            <w:tcW w:w="1134" w:type="dxa"/>
            <w:shd w:val="clear" w:color="auto" w:fill="auto"/>
            <w:noWrap/>
            <w:vAlign w:val="center"/>
            <w:hideMark/>
          </w:tcPr>
          <w:p w14:paraId="212D410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65</w:t>
            </w:r>
          </w:p>
        </w:tc>
      </w:tr>
      <w:tr w:rsidR="00406C2B" w:rsidRPr="00C65C45" w14:paraId="10F924F8" w14:textId="77777777" w:rsidTr="00406C2B">
        <w:trPr>
          <w:trHeight w:val="300"/>
        </w:trPr>
        <w:tc>
          <w:tcPr>
            <w:tcW w:w="988" w:type="dxa"/>
            <w:shd w:val="clear" w:color="auto" w:fill="auto"/>
            <w:noWrap/>
            <w:vAlign w:val="center"/>
            <w:hideMark/>
          </w:tcPr>
          <w:p w14:paraId="52D6B41A"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27</w:t>
            </w:r>
          </w:p>
        </w:tc>
        <w:tc>
          <w:tcPr>
            <w:tcW w:w="6237" w:type="dxa"/>
            <w:shd w:val="clear" w:color="auto" w:fill="auto"/>
            <w:noWrap/>
            <w:vAlign w:val="center"/>
            <w:hideMark/>
          </w:tcPr>
          <w:p w14:paraId="11C835F2"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para diversas dosis de potasio evaluadas en la provincia de Bolívar del 2006 al 2011.</w:t>
            </w:r>
          </w:p>
        </w:tc>
        <w:tc>
          <w:tcPr>
            <w:tcW w:w="1134" w:type="dxa"/>
            <w:shd w:val="clear" w:color="auto" w:fill="auto"/>
            <w:noWrap/>
            <w:vAlign w:val="center"/>
            <w:hideMark/>
          </w:tcPr>
          <w:p w14:paraId="48CA38F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65</w:t>
            </w:r>
          </w:p>
        </w:tc>
      </w:tr>
      <w:tr w:rsidR="00406C2B" w:rsidRPr="00C65C45" w14:paraId="3D25B0D6" w14:textId="77777777" w:rsidTr="00406C2B">
        <w:trPr>
          <w:trHeight w:val="300"/>
        </w:trPr>
        <w:tc>
          <w:tcPr>
            <w:tcW w:w="988" w:type="dxa"/>
            <w:shd w:val="clear" w:color="auto" w:fill="auto"/>
            <w:noWrap/>
            <w:vAlign w:val="center"/>
            <w:hideMark/>
          </w:tcPr>
          <w:p w14:paraId="410BF68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28</w:t>
            </w:r>
          </w:p>
        </w:tc>
        <w:tc>
          <w:tcPr>
            <w:tcW w:w="6237" w:type="dxa"/>
            <w:shd w:val="clear" w:color="auto" w:fill="auto"/>
            <w:noWrap/>
            <w:vAlign w:val="center"/>
            <w:hideMark/>
          </w:tcPr>
          <w:p w14:paraId="02FCF72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Absorción total de nitrógeno para diversas dosis de azufre evaluadas en la provincia de Bolívar del 2006 al 2011.</w:t>
            </w:r>
          </w:p>
        </w:tc>
        <w:tc>
          <w:tcPr>
            <w:tcW w:w="1134" w:type="dxa"/>
            <w:shd w:val="clear" w:color="auto" w:fill="auto"/>
            <w:noWrap/>
            <w:vAlign w:val="center"/>
            <w:hideMark/>
          </w:tcPr>
          <w:p w14:paraId="3DA34F4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65</w:t>
            </w:r>
          </w:p>
        </w:tc>
      </w:tr>
      <w:tr w:rsidR="00406C2B" w:rsidRPr="00C65C45" w14:paraId="5905CF8E" w14:textId="77777777" w:rsidTr="00406C2B">
        <w:trPr>
          <w:trHeight w:val="300"/>
        </w:trPr>
        <w:tc>
          <w:tcPr>
            <w:tcW w:w="988" w:type="dxa"/>
            <w:shd w:val="clear" w:color="auto" w:fill="auto"/>
            <w:noWrap/>
            <w:vAlign w:val="center"/>
            <w:hideMark/>
          </w:tcPr>
          <w:p w14:paraId="69FDE23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29</w:t>
            </w:r>
          </w:p>
        </w:tc>
        <w:tc>
          <w:tcPr>
            <w:tcW w:w="6237" w:type="dxa"/>
            <w:shd w:val="clear" w:color="auto" w:fill="auto"/>
            <w:noWrap/>
            <w:vAlign w:val="center"/>
            <w:hideMark/>
          </w:tcPr>
          <w:p w14:paraId="4BDD894A"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Absorción total de nitrógeno para diversas dosis de magnesio evaluadas en la provincia de Bolívar del 2006 al 2011.</w:t>
            </w:r>
          </w:p>
        </w:tc>
        <w:tc>
          <w:tcPr>
            <w:tcW w:w="1134" w:type="dxa"/>
            <w:shd w:val="clear" w:color="auto" w:fill="auto"/>
            <w:noWrap/>
            <w:vAlign w:val="center"/>
            <w:hideMark/>
          </w:tcPr>
          <w:p w14:paraId="0CE8C62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65</w:t>
            </w:r>
          </w:p>
        </w:tc>
      </w:tr>
      <w:tr w:rsidR="00406C2B" w:rsidRPr="00C65C45" w14:paraId="227949C9" w14:textId="77777777" w:rsidTr="00406C2B">
        <w:trPr>
          <w:trHeight w:val="300"/>
        </w:trPr>
        <w:tc>
          <w:tcPr>
            <w:tcW w:w="988" w:type="dxa"/>
            <w:shd w:val="clear" w:color="auto" w:fill="auto"/>
            <w:noWrap/>
            <w:vAlign w:val="center"/>
            <w:hideMark/>
          </w:tcPr>
          <w:p w14:paraId="4EF8662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30</w:t>
            </w:r>
          </w:p>
        </w:tc>
        <w:tc>
          <w:tcPr>
            <w:tcW w:w="6237" w:type="dxa"/>
            <w:shd w:val="clear" w:color="auto" w:fill="auto"/>
            <w:noWrap/>
            <w:vAlign w:val="center"/>
            <w:hideMark/>
          </w:tcPr>
          <w:p w14:paraId="2A74EC9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para Absorción total de fósforo evaluadas en la provincia de Bolívar del 2006 al 2011.</w:t>
            </w:r>
          </w:p>
        </w:tc>
        <w:tc>
          <w:tcPr>
            <w:tcW w:w="1134" w:type="dxa"/>
            <w:shd w:val="clear" w:color="auto" w:fill="auto"/>
            <w:noWrap/>
            <w:vAlign w:val="center"/>
            <w:hideMark/>
          </w:tcPr>
          <w:p w14:paraId="62A6578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67</w:t>
            </w:r>
          </w:p>
        </w:tc>
      </w:tr>
      <w:tr w:rsidR="00406C2B" w:rsidRPr="00C65C45" w14:paraId="1F5FD446" w14:textId="77777777" w:rsidTr="00406C2B">
        <w:trPr>
          <w:trHeight w:val="300"/>
        </w:trPr>
        <w:tc>
          <w:tcPr>
            <w:tcW w:w="988" w:type="dxa"/>
            <w:shd w:val="clear" w:color="auto" w:fill="auto"/>
            <w:noWrap/>
            <w:vAlign w:val="center"/>
            <w:hideMark/>
          </w:tcPr>
          <w:p w14:paraId="2210792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31</w:t>
            </w:r>
          </w:p>
        </w:tc>
        <w:tc>
          <w:tcPr>
            <w:tcW w:w="6237" w:type="dxa"/>
            <w:shd w:val="clear" w:color="auto" w:fill="auto"/>
            <w:noWrap/>
            <w:vAlign w:val="center"/>
            <w:hideMark/>
          </w:tcPr>
          <w:p w14:paraId="6D041AB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evaluado por localidades (cantón) en la provincia de Bolívar del 2006 al 2011.</w:t>
            </w:r>
          </w:p>
        </w:tc>
        <w:tc>
          <w:tcPr>
            <w:tcW w:w="1134" w:type="dxa"/>
            <w:shd w:val="clear" w:color="auto" w:fill="auto"/>
            <w:noWrap/>
            <w:vAlign w:val="center"/>
            <w:hideMark/>
          </w:tcPr>
          <w:p w14:paraId="5182BB7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67</w:t>
            </w:r>
          </w:p>
        </w:tc>
      </w:tr>
      <w:tr w:rsidR="00406C2B" w:rsidRPr="00C65C45" w14:paraId="7A878508" w14:textId="77777777" w:rsidTr="00406C2B">
        <w:trPr>
          <w:trHeight w:val="300"/>
        </w:trPr>
        <w:tc>
          <w:tcPr>
            <w:tcW w:w="988" w:type="dxa"/>
            <w:shd w:val="clear" w:color="auto" w:fill="auto"/>
            <w:noWrap/>
            <w:vAlign w:val="center"/>
            <w:hideMark/>
          </w:tcPr>
          <w:p w14:paraId="3A5F52C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32</w:t>
            </w:r>
          </w:p>
        </w:tc>
        <w:tc>
          <w:tcPr>
            <w:tcW w:w="6237" w:type="dxa"/>
            <w:shd w:val="clear" w:color="auto" w:fill="auto"/>
            <w:noWrap/>
            <w:vAlign w:val="center"/>
            <w:hideMark/>
          </w:tcPr>
          <w:p w14:paraId="75F8665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nitrógeno evaluadas en la provincia de Bolívar del 2006 al 2011.</w:t>
            </w:r>
          </w:p>
        </w:tc>
        <w:tc>
          <w:tcPr>
            <w:tcW w:w="1134" w:type="dxa"/>
            <w:shd w:val="clear" w:color="auto" w:fill="auto"/>
            <w:noWrap/>
            <w:vAlign w:val="center"/>
            <w:hideMark/>
          </w:tcPr>
          <w:p w14:paraId="557B696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68</w:t>
            </w:r>
          </w:p>
        </w:tc>
      </w:tr>
      <w:tr w:rsidR="00406C2B" w:rsidRPr="00C65C45" w14:paraId="7B0E7489" w14:textId="77777777" w:rsidTr="00406C2B">
        <w:trPr>
          <w:trHeight w:val="300"/>
        </w:trPr>
        <w:tc>
          <w:tcPr>
            <w:tcW w:w="988" w:type="dxa"/>
            <w:shd w:val="clear" w:color="auto" w:fill="auto"/>
            <w:noWrap/>
            <w:vAlign w:val="center"/>
            <w:hideMark/>
          </w:tcPr>
          <w:p w14:paraId="3C07845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33</w:t>
            </w:r>
          </w:p>
        </w:tc>
        <w:tc>
          <w:tcPr>
            <w:tcW w:w="6237" w:type="dxa"/>
            <w:shd w:val="clear" w:color="auto" w:fill="auto"/>
            <w:noWrap/>
            <w:vAlign w:val="center"/>
            <w:hideMark/>
          </w:tcPr>
          <w:p w14:paraId="076C979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fósforo evaluadas en la provincia de Bolívar del 2006 al 2011.</w:t>
            </w:r>
          </w:p>
        </w:tc>
        <w:tc>
          <w:tcPr>
            <w:tcW w:w="1134" w:type="dxa"/>
            <w:shd w:val="clear" w:color="auto" w:fill="auto"/>
            <w:noWrap/>
            <w:vAlign w:val="center"/>
            <w:hideMark/>
          </w:tcPr>
          <w:p w14:paraId="6C00F045"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68</w:t>
            </w:r>
          </w:p>
        </w:tc>
      </w:tr>
      <w:tr w:rsidR="00406C2B" w:rsidRPr="00C65C45" w14:paraId="6B40C8BE" w14:textId="77777777" w:rsidTr="00406C2B">
        <w:trPr>
          <w:trHeight w:val="300"/>
        </w:trPr>
        <w:tc>
          <w:tcPr>
            <w:tcW w:w="988" w:type="dxa"/>
            <w:shd w:val="clear" w:color="auto" w:fill="auto"/>
            <w:noWrap/>
            <w:vAlign w:val="center"/>
            <w:hideMark/>
          </w:tcPr>
          <w:p w14:paraId="7499942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34</w:t>
            </w:r>
          </w:p>
        </w:tc>
        <w:tc>
          <w:tcPr>
            <w:tcW w:w="6237" w:type="dxa"/>
            <w:shd w:val="clear" w:color="auto" w:fill="auto"/>
            <w:noWrap/>
            <w:vAlign w:val="center"/>
            <w:hideMark/>
          </w:tcPr>
          <w:p w14:paraId="42D52A5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potasio evaluadas en la provincia de Bolívar del 2006 al 2011.</w:t>
            </w:r>
          </w:p>
        </w:tc>
        <w:tc>
          <w:tcPr>
            <w:tcW w:w="1134" w:type="dxa"/>
            <w:shd w:val="clear" w:color="auto" w:fill="auto"/>
            <w:noWrap/>
            <w:vAlign w:val="center"/>
            <w:hideMark/>
          </w:tcPr>
          <w:p w14:paraId="06C5BF1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68</w:t>
            </w:r>
          </w:p>
        </w:tc>
      </w:tr>
      <w:tr w:rsidR="00406C2B" w:rsidRPr="00C65C45" w14:paraId="2865BF3D" w14:textId="77777777" w:rsidTr="00406C2B">
        <w:trPr>
          <w:trHeight w:val="300"/>
        </w:trPr>
        <w:tc>
          <w:tcPr>
            <w:tcW w:w="988" w:type="dxa"/>
            <w:shd w:val="clear" w:color="auto" w:fill="auto"/>
            <w:noWrap/>
            <w:vAlign w:val="center"/>
            <w:hideMark/>
          </w:tcPr>
          <w:p w14:paraId="2F6216B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35</w:t>
            </w:r>
          </w:p>
        </w:tc>
        <w:tc>
          <w:tcPr>
            <w:tcW w:w="6237" w:type="dxa"/>
            <w:shd w:val="clear" w:color="auto" w:fill="auto"/>
            <w:noWrap/>
            <w:vAlign w:val="center"/>
            <w:hideMark/>
          </w:tcPr>
          <w:p w14:paraId="610F11E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azufre evaluadas en la provincia de Bolívar del 2006 al 2011.</w:t>
            </w:r>
          </w:p>
        </w:tc>
        <w:tc>
          <w:tcPr>
            <w:tcW w:w="1134" w:type="dxa"/>
            <w:shd w:val="clear" w:color="auto" w:fill="auto"/>
            <w:noWrap/>
            <w:vAlign w:val="center"/>
            <w:hideMark/>
          </w:tcPr>
          <w:p w14:paraId="1A2F6C98"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69</w:t>
            </w:r>
          </w:p>
        </w:tc>
      </w:tr>
      <w:tr w:rsidR="00406C2B" w:rsidRPr="00C65C45" w14:paraId="5ABFFC15" w14:textId="77777777" w:rsidTr="00406C2B">
        <w:trPr>
          <w:trHeight w:val="300"/>
        </w:trPr>
        <w:tc>
          <w:tcPr>
            <w:tcW w:w="988" w:type="dxa"/>
            <w:shd w:val="clear" w:color="auto" w:fill="auto"/>
            <w:noWrap/>
            <w:vAlign w:val="center"/>
            <w:hideMark/>
          </w:tcPr>
          <w:p w14:paraId="62664D9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36</w:t>
            </w:r>
          </w:p>
        </w:tc>
        <w:tc>
          <w:tcPr>
            <w:tcW w:w="6237" w:type="dxa"/>
            <w:shd w:val="clear" w:color="auto" w:fill="auto"/>
            <w:noWrap/>
            <w:vAlign w:val="center"/>
            <w:hideMark/>
          </w:tcPr>
          <w:p w14:paraId="09BB902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magnesio evaluadas en la provincia de Bolívar del 2006 al 2011.</w:t>
            </w:r>
          </w:p>
        </w:tc>
        <w:tc>
          <w:tcPr>
            <w:tcW w:w="1134" w:type="dxa"/>
            <w:shd w:val="clear" w:color="auto" w:fill="auto"/>
            <w:noWrap/>
            <w:vAlign w:val="center"/>
            <w:hideMark/>
          </w:tcPr>
          <w:p w14:paraId="7B96943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69</w:t>
            </w:r>
          </w:p>
        </w:tc>
      </w:tr>
      <w:tr w:rsidR="00406C2B" w:rsidRPr="00C65C45" w14:paraId="16B57F87" w14:textId="77777777" w:rsidTr="00406C2B">
        <w:trPr>
          <w:trHeight w:val="300"/>
        </w:trPr>
        <w:tc>
          <w:tcPr>
            <w:tcW w:w="988" w:type="dxa"/>
            <w:shd w:val="clear" w:color="auto" w:fill="auto"/>
            <w:noWrap/>
            <w:vAlign w:val="center"/>
            <w:hideMark/>
          </w:tcPr>
          <w:p w14:paraId="12369B3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37</w:t>
            </w:r>
          </w:p>
        </w:tc>
        <w:tc>
          <w:tcPr>
            <w:tcW w:w="6237" w:type="dxa"/>
            <w:shd w:val="clear" w:color="auto" w:fill="auto"/>
            <w:noWrap/>
            <w:vAlign w:val="center"/>
            <w:hideMark/>
          </w:tcPr>
          <w:p w14:paraId="53ECF11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Cuadro de Análisis de la Varianza (SC tipo I) para absorción total de potasio en la provincia de Bolívar del 2006 al 2011.</w:t>
            </w:r>
          </w:p>
        </w:tc>
        <w:tc>
          <w:tcPr>
            <w:tcW w:w="1134" w:type="dxa"/>
            <w:shd w:val="clear" w:color="auto" w:fill="auto"/>
            <w:noWrap/>
            <w:vAlign w:val="center"/>
            <w:hideMark/>
          </w:tcPr>
          <w:p w14:paraId="43EA832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70</w:t>
            </w:r>
          </w:p>
        </w:tc>
      </w:tr>
      <w:tr w:rsidR="00406C2B" w:rsidRPr="00C65C45" w14:paraId="344F802D" w14:textId="77777777" w:rsidTr="00406C2B">
        <w:trPr>
          <w:trHeight w:val="300"/>
        </w:trPr>
        <w:tc>
          <w:tcPr>
            <w:tcW w:w="988" w:type="dxa"/>
            <w:shd w:val="clear" w:color="auto" w:fill="auto"/>
            <w:noWrap/>
            <w:vAlign w:val="center"/>
            <w:hideMark/>
          </w:tcPr>
          <w:p w14:paraId="4BEA1F28"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38</w:t>
            </w:r>
          </w:p>
        </w:tc>
        <w:tc>
          <w:tcPr>
            <w:tcW w:w="6237" w:type="dxa"/>
            <w:shd w:val="clear" w:color="auto" w:fill="auto"/>
            <w:noWrap/>
            <w:vAlign w:val="center"/>
            <w:hideMark/>
          </w:tcPr>
          <w:p w14:paraId="6FBA157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evaluado por localidades (cantón) en la provincia de Bolívar del 2006 al 2011.</w:t>
            </w:r>
          </w:p>
        </w:tc>
        <w:tc>
          <w:tcPr>
            <w:tcW w:w="1134" w:type="dxa"/>
            <w:shd w:val="clear" w:color="auto" w:fill="auto"/>
            <w:noWrap/>
            <w:vAlign w:val="center"/>
            <w:hideMark/>
          </w:tcPr>
          <w:p w14:paraId="50D5C76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71</w:t>
            </w:r>
          </w:p>
        </w:tc>
      </w:tr>
      <w:tr w:rsidR="00406C2B" w:rsidRPr="00C65C45" w14:paraId="42D16FB1" w14:textId="77777777" w:rsidTr="00406C2B">
        <w:trPr>
          <w:trHeight w:val="300"/>
        </w:trPr>
        <w:tc>
          <w:tcPr>
            <w:tcW w:w="988" w:type="dxa"/>
            <w:shd w:val="clear" w:color="auto" w:fill="auto"/>
            <w:noWrap/>
            <w:vAlign w:val="center"/>
            <w:hideMark/>
          </w:tcPr>
          <w:p w14:paraId="68F51C4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39</w:t>
            </w:r>
          </w:p>
        </w:tc>
        <w:tc>
          <w:tcPr>
            <w:tcW w:w="6237" w:type="dxa"/>
            <w:shd w:val="clear" w:color="auto" w:fill="auto"/>
            <w:noWrap/>
            <w:vAlign w:val="center"/>
            <w:hideMark/>
          </w:tcPr>
          <w:p w14:paraId="1E4BD40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nitrógeno evaluadas en la provincia de Bolívar del 2006 al 2011.</w:t>
            </w:r>
          </w:p>
        </w:tc>
        <w:tc>
          <w:tcPr>
            <w:tcW w:w="1134" w:type="dxa"/>
            <w:shd w:val="clear" w:color="auto" w:fill="auto"/>
            <w:noWrap/>
            <w:vAlign w:val="center"/>
            <w:hideMark/>
          </w:tcPr>
          <w:p w14:paraId="5E10BA8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71</w:t>
            </w:r>
          </w:p>
        </w:tc>
      </w:tr>
      <w:tr w:rsidR="00406C2B" w:rsidRPr="00C65C45" w14:paraId="00E2FFFD" w14:textId="77777777" w:rsidTr="00406C2B">
        <w:trPr>
          <w:trHeight w:val="300"/>
        </w:trPr>
        <w:tc>
          <w:tcPr>
            <w:tcW w:w="988" w:type="dxa"/>
            <w:shd w:val="clear" w:color="auto" w:fill="auto"/>
            <w:noWrap/>
            <w:vAlign w:val="center"/>
            <w:hideMark/>
          </w:tcPr>
          <w:p w14:paraId="77B6A32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40</w:t>
            </w:r>
          </w:p>
        </w:tc>
        <w:tc>
          <w:tcPr>
            <w:tcW w:w="6237" w:type="dxa"/>
            <w:shd w:val="clear" w:color="auto" w:fill="auto"/>
            <w:noWrap/>
            <w:vAlign w:val="center"/>
            <w:hideMark/>
          </w:tcPr>
          <w:p w14:paraId="349EF94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fósforo evaluadas en la provincia de Bolívar del 2006 al 2011.</w:t>
            </w:r>
          </w:p>
        </w:tc>
        <w:tc>
          <w:tcPr>
            <w:tcW w:w="1134" w:type="dxa"/>
            <w:shd w:val="clear" w:color="auto" w:fill="auto"/>
            <w:noWrap/>
            <w:vAlign w:val="center"/>
            <w:hideMark/>
          </w:tcPr>
          <w:p w14:paraId="51CEAD8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71</w:t>
            </w:r>
          </w:p>
        </w:tc>
      </w:tr>
      <w:tr w:rsidR="00406C2B" w:rsidRPr="00C65C45" w14:paraId="394999CB" w14:textId="77777777" w:rsidTr="00406C2B">
        <w:trPr>
          <w:trHeight w:val="300"/>
        </w:trPr>
        <w:tc>
          <w:tcPr>
            <w:tcW w:w="988" w:type="dxa"/>
            <w:shd w:val="clear" w:color="auto" w:fill="auto"/>
            <w:noWrap/>
            <w:vAlign w:val="center"/>
            <w:hideMark/>
          </w:tcPr>
          <w:p w14:paraId="1F83436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41</w:t>
            </w:r>
          </w:p>
        </w:tc>
        <w:tc>
          <w:tcPr>
            <w:tcW w:w="6237" w:type="dxa"/>
            <w:shd w:val="clear" w:color="auto" w:fill="auto"/>
            <w:noWrap/>
            <w:vAlign w:val="center"/>
            <w:hideMark/>
          </w:tcPr>
          <w:p w14:paraId="09BCE27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potasio evaluadas en la provincia de Bolívar del 2006 al 2011.</w:t>
            </w:r>
          </w:p>
        </w:tc>
        <w:tc>
          <w:tcPr>
            <w:tcW w:w="1134" w:type="dxa"/>
            <w:shd w:val="clear" w:color="auto" w:fill="auto"/>
            <w:noWrap/>
            <w:vAlign w:val="center"/>
            <w:hideMark/>
          </w:tcPr>
          <w:p w14:paraId="2E48C8B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72</w:t>
            </w:r>
          </w:p>
        </w:tc>
      </w:tr>
      <w:tr w:rsidR="00406C2B" w:rsidRPr="00C65C45" w14:paraId="57FA5A89" w14:textId="77777777" w:rsidTr="00406C2B">
        <w:trPr>
          <w:trHeight w:val="300"/>
        </w:trPr>
        <w:tc>
          <w:tcPr>
            <w:tcW w:w="988" w:type="dxa"/>
            <w:shd w:val="clear" w:color="auto" w:fill="auto"/>
            <w:noWrap/>
            <w:vAlign w:val="center"/>
            <w:hideMark/>
          </w:tcPr>
          <w:p w14:paraId="579DD97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42</w:t>
            </w:r>
          </w:p>
        </w:tc>
        <w:tc>
          <w:tcPr>
            <w:tcW w:w="6237" w:type="dxa"/>
            <w:shd w:val="clear" w:color="auto" w:fill="auto"/>
            <w:noWrap/>
            <w:vAlign w:val="center"/>
            <w:hideMark/>
          </w:tcPr>
          <w:p w14:paraId="5DADD01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Absorción total de potasio para diversas dosis de azufre evaluadas en la provincia de Bolívar del 2006 al 2011.</w:t>
            </w:r>
          </w:p>
        </w:tc>
        <w:tc>
          <w:tcPr>
            <w:tcW w:w="1134" w:type="dxa"/>
            <w:shd w:val="clear" w:color="auto" w:fill="auto"/>
            <w:noWrap/>
            <w:vAlign w:val="center"/>
            <w:hideMark/>
          </w:tcPr>
          <w:p w14:paraId="70145B2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72</w:t>
            </w:r>
          </w:p>
        </w:tc>
      </w:tr>
      <w:tr w:rsidR="00406C2B" w:rsidRPr="00C65C45" w14:paraId="4E7E7A7A" w14:textId="77777777" w:rsidTr="00406C2B">
        <w:trPr>
          <w:trHeight w:val="300"/>
        </w:trPr>
        <w:tc>
          <w:tcPr>
            <w:tcW w:w="988" w:type="dxa"/>
            <w:shd w:val="clear" w:color="auto" w:fill="auto"/>
            <w:noWrap/>
            <w:vAlign w:val="center"/>
            <w:hideMark/>
          </w:tcPr>
          <w:p w14:paraId="3A70126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43</w:t>
            </w:r>
          </w:p>
        </w:tc>
        <w:tc>
          <w:tcPr>
            <w:tcW w:w="6237" w:type="dxa"/>
            <w:shd w:val="clear" w:color="auto" w:fill="auto"/>
            <w:noWrap/>
            <w:vAlign w:val="center"/>
            <w:hideMark/>
          </w:tcPr>
          <w:p w14:paraId="787F1B6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magnesio evaluadas en la provincia de Bolívar del 2006 al 2011.</w:t>
            </w:r>
          </w:p>
        </w:tc>
        <w:tc>
          <w:tcPr>
            <w:tcW w:w="1134" w:type="dxa"/>
            <w:shd w:val="clear" w:color="auto" w:fill="auto"/>
            <w:noWrap/>
            <w:vAlign w:val="center"/>
            <w:hideMark/>
          </w:tcPr>
          <w:p w14:paraId="3F4B801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72</w:t>
            </w:r>
          </w:p>
        </w:tc>
      </w:tr>
      <w:tr w:rsidR="00406C2B" w:rsidRPr="00C65C45" w14:paraId="5AD4F5CD" w14:textId="77777777" w:rsidTr="00406C2B">
        <w:trPr>
          <w:trHeight w:val="300"/>
        </w:trPr>
        <w:tc>
          <w:tcPr>
            <w:tcW w:w="988" w:type="dxa"/>
            <w:shd w:val="clear" w:color="auto" w:fill="auto"/>
            <w:noWrap/>
            <w:vAlign w:val="center"/>
            <w:hideMark/>
          </w:tcPr>
          <w:p w14:paraId="652D7F0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44</w:t>
            </w:r>
          </w:p>
        </w:tc>
        <w:tc>
          <w:tcPr>
            <w:tcW w:w="6237" w:type="dxa"/>
            <w:shd w:val="clear" w:color="auto" w:fill="auto"/>
            <w:noWrap/>
            <w:vAlign w:val="center"/>
            <w:hideMark/>
          </w:tcPr>
          <w:p w14:paraId="1D6EE7D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Cuadro de Análisis de la Varianza (SC tipo I) para la absorción total de azufre en la provincia de Bolívar del 2006 al 2011.</w:t>
            </w:r>
          </w:p>
        </w:tc>
        <w:tc>
          <w:tcPr>
            <w:tcW w:w="1134" w:type="dxa"/>
            <w:shd w:val="clear" w:color="auto" w:fill="auto"/>
            <w:noWrap/>
            <w:vAlign w:val="center"/>
            <w:hideMark/>
          </w:tcPr>
          <w:p w14:paraId="42C0003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73</w:t>
            </w:r>
          </w:p>
        </w:tc>
      </w:tr>
      <w:tr w:rsidR="00406C2B" w:rsidRPr="00C65C45" w14:paraId="56E44D9E" w14:textId="77777777" w:rsidTr="00406C2B">
        <w:trPr>
          <w:trHeight w:val="300"/>
        </w:trPr>
        <w:tc>
          <w:tcPr>
            <w:tcW w:w="988" w:type="dxa"/>
            <w:shd w:val="clear" w:color="auto" w:fill="auto"/>
            <w:noWrap/>
            <w:vAlign w:val="center"/>
            <w:hideMark/>
          </w:tcPr>
          <w:p w14:paraId="36E69FA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45</w:t>
            </w:r>
          </w:p>
        </w:tc>
        <w:tc>
          <w:tcPr>
            <w:tcW w:w="6237" w:type="dxa"/>
            <w:shd w:val="clear" w:color="auto" w:fill="auto"/>
            <w:noWrap/>
            <w:vAlign w:val="center"/>
            <w:hideMark/>
          </w:tcPr>
          <w:p w14:paraId="4888806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evaluado por localidades (cantón) en la provincia de Bolívar del 2006 al 2011.</w:t>
            </w:r>
          </w:p>
        </w:tc>
        <w:tc>
          <w:tcPr>
            <w:tcW w:w="1134" w:type="dxa"/>
            <w:shd w:val="clear" w:color="auto" w:fill="auto"/>
            <w:noWrap/>
            <w:vAlign w:val="center"/>
            <w:hideMark/>
          </w:tcPr>
          <w:p w14:paraId="37B286A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74</w:t>
            </w:r>
          </w:p>
        </w:tc>
      </w:tr>
      <w:tr w:rsidR="00406C2B" w:rsidRPr="00C65C45" w14:paraId="5B6A6747" w14:textId="77777777" w:rsidTr="00406C2B">
        <w:trPr>
          <w:trHeight w:val="300"/>
        </w:trPr>
        <w:tc>
          <w:tcPr>
            <w:tcW w:w="988" w:type="dxa"/>
            <w:shd w:val="clear" w:color="auto" w:fill="auto"/>
            <w:noWrap/>
            <w:vAlign w:val="center"/>
            <w:hideMark/>
          </w:tcPr>
          <w:p w14:paraId="0F8292E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46</w:t>
            </w:r>
          </w:p>
        </w:tc>
        <w:tc>
          <w:tcPr>
            <w:tcW w:w="6237" w:type="dxa"/>
            <w:shd w:val="clear" w:color="auto" w:fill="auto"/>
            <w:noWrap/>
            <w:vAlign w:val="center"/>
            <w:hideMark/>
          </w:tcPr>
          <w:p w14:paraId="1F4A35A2"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nitrógeno evaluadas en la provincia de Bolívar del 2006 al 2011.</w:t>
            </w:r>
          </w:p>
        </w:tc>
        <w:tc>
          <w:tcPr>
            <w:tcW w:w="1134" w:type="dxa"/>
            <w:shd w:val="clear" w:color="auto" w:fill="auto"/>
            <w:noWrap/>
            <w:vAlign w:val="center"/>
            <w:hideMark/>
          </w:tcPr>
          <w:p w14:paraId="7CF8448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74</w:t>
            </w:r>
          </w:p>
        </w:tc>
      </w:tr>
      <w:tr w:rsidR="00406C2B" w:rsidRPr="00C65C45" w14:paraId="4E430777" w14:textId="77777777" w:rsidTr="00406C2B">
        <w:trPr>
          <w:trHeight w:val="300"/>
        </w:trPr>
        <w:tc>
          <w:tcPr>
            <w:tcW w:w="988" w:type="dxa"/>
            <w:shd w:val="clear" w:color="auto" w:fill="auto"/>
            <w:noWrap/>
            <w:vAlign w:val="center"/>
            <w:hideMark/>
          </w:tcPr>
          <w:p w14:paraId="1C09067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47</w:t>
            </w:r>
          </w:p>
        </w:tc>
        <w:tc>
          <w:tcPr>
            <w:tcW w:w="6237" w:type="dxa"/>
            <w:shd w:val="clear" w:color="auto" w:fill="auto"/>
            <w:noWrap/>
            <w:vAlign w:val="center"/>
            <w:hideMark/>
          </w:tcPr>
          <w:p w14:paraId="21496D0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fósforo evaluadas en la provincia de Bolívar del 2006 al 2011.</w:t>
            </w:r>
          </w:p>
        </w:tc>
        <w:tc>
          <w:tcPr>
            <w:tcW w:w="1134" w:type="dxa"/>
            <w:shd w:val="clear" w:color="auto" w:fill="auto"/>
            <w:noWrap/>
            <w:vAlign w:val="center"/>
            <w:hideMark/>
          </w:tcPr>
          <w:p w14:paraId="18E96E8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74</w:t>
            </w:r>
          </w:p>
        </w:tc>
      </w:tr>
      <w:tr w:rsidR="00406C2B" w:rsidRPr="00C65C45" w14:paraId="5BD41817" w14:textId="77777777" w:rsidTr="00406C2B">
        <w:trPr>
          <w:trHeight w:val="300"/>
        </w:trPr>
        <w:tc>
          <w:tcPr>
            <w:tcW w:w="988" w:type="dxa"/>
            <w:shd w:val="clear" w:color="auto" w:fill="auto"/>
            <w:noWrap/>
            <w:vAlign w:val="center"/>
            <w:hideMark/>
          </w:tcPr>
          <w:p w14:paraId="7C823DD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48</w:t>
            </w:r>
          </w:p>
        </w:tc>
        <w:tc>
          <w:tcPr>
            <w:tcW w:w="6237" w:type="dxa"/>
            <w:shd w:val="clear" w:color="auto" w:fill="auto"/>
            <w:noWrap/>
            <w:vAlign w:val="center"/>
            <w:hideMark/>
          </w:tcPr>
          <w:p w14:paraId="2B8A4FB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potasio evaluadas en la provincia de Bolívar del 2006 al 2011.</w:t>
            </w:r>
          </w:p>
        </w:tc>
        <w:tc>
          <w:tcPr>
            <w:tcW w:w="1134" w:type="dxa"/>
            <w:shd w:val="clear" w:color="auto" w:fill="auto"/>
            <w:noWrap/>
            <w:vAlign w:val="center"/>
            <w:hideMark/>
          </w:tcPr>
          <w:p w14:paraId="74221D8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75</w:t>
            </w:r>
          </w:p>
        </w:tc>
      </w:tr>
      <w:tr w:rsidR="00406C2B" w:rsidRPr="00C65C45" w14:paraId="5B38A542" w14:textId="77777777" w:rsidTr="00406C2B">
        <w:trPr>
          <w:trHeight w:val="300"/>
        </w:trPr>
        <w:tc>
          <w:tcPr>
            <w:tcW w:w="988" w:type="dxa"/>
            <w:shd w:val="clear" w:color="auto" w:fill="auto"/>
            <w:noWrap/>
            <w:vAlign w:val="center"/>
            <w:hideMark/>
          </w:tcPr>
          <w:p w14:paraId="72AD05F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49</w:t>
            </w:r>
          </w:p>
        </w:tc>
        <w:tc>
          <w:tcPr>
            <w:tcW w:w="6237" w:type="dxa"/>
            <w:shd w:val="clear" w:color="auto" w:fill="auto"/>
            <w:noWrap/>
            <w:vAlign w:val="center"/>
            <w:hideMark/>
          </w:tcPr>
          <w:p w14:paraId="72CBC0B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azufre evaluadas en la provincia de Bolívar del 2006 al 2011.</w:t>
            </w:r>
          </w:p>
        </w:tc>
        <w:tc>
          <w:tcPr>
            <w:tcW w:w="1134" w:type="dxa"/>
            <w:shd w:val="clear" w:color="auto" w:fill="auto"/>
            <w:noWrap/>
            <w:vAlign w:val="center"/>
            <w:hideMark/>
          </w:tcPr>
          <w:p w14:paraId="0DADAFA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75</w:t>
            </w:r>
          </w:p>
        </w:tc>
      </w:tr>
      <w:tr w:rsidR="00406C2B" w:rsidRPr="00C65C45" w14:paraId="625286D8" w14:textId="77777777" w:rsidTr="00406C2B">
        <w:trPr>
          <w:trHeight w:val="300"/>
        </w:trPr>
        <w:tc>
          <w:tcPr>
            <w:tcW w:w="988" w:type="dxa"/>
            <w:shd w:val="clear" w:color="auto" w:fill="auto"/>
            <w:noWrap/>
            <w:vAlign w:val="center"/>
            <w:hideMark/>
          </w:tcPr>
          <w:p w14:paraId="2728BE0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50</w:t>
            </w:r>
          </w:p>
        </w:tc>
        <w:tc>
          <w:tcPr>
            <w:tcW w:w="6237" w:type="dxa"/>
            <w:shd w:val="clear" w:color="auto" w:fill="auto"/>
            <w:noWrap/>
            <w:vAlign w:val="center"/>
            <w:hideMark/>
          </w:tcPr>
          <w:p w14:paraId="610EDF5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magnesio evaluadas en la provincia de Bolívar del 2006 al 2011.</w:t>
            </w:r>
          </w:p>
        </w:tc>
        <w:tc>
          <w:tcPr>
            <w:tcW w:w="1134" w:type="dxa"/>
            <w:shd w:val="clear" w:color="auto" w:fill="auto"/>
            <w:noWrap/>
            <w:vAlign w:val="center"/>
            <w:hideMark/>
          </w:tcPr>
          <w:p w14:paraId="129B13C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75</w:t>
            </w:r>
          </w:p>
        </w:tc>
      </w:tr>
      <w:tr w:rsidR="00406C2B" w:rsidRPr="00C65C45" w14:paraId="052722F2" w14:textId="77777777" w:rsidTr="00406C2B">
        <w:trPr>
          <w:trHeight w:val="300"/>
        </w:trPr>
        <w:tc>
          <w:tcPr>
            <w:tcW w:w="988" w:type="dxa"/>
            <w:shd w:val="clear" w:color="auto" w:fill="auto"/>
            <w:noWrap/>
            <w:vAlign w:val="center"/>
            <w:hideMark/>
          </w:tcPr>
          <w:p w14:paraId="130BE63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51</w:t>
            </w:r>
          </w:p>
        </w:tc>
        <w:tc>
          <w:tcPr>
            <w:tcW w:w="6237" w:type="dxa"/>
            <w:shd w:val="clear" w:color="auto" w:fill="auto"/>
            <w:noWrap/>
            <w:vAlign w:val="center"/>
            <w:hideMark/>
          </w:tcPr>
          <w:p w14:paraId="4A8C568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para la absorción total de magnesio la provincia de Bolívar del 2006 al 2011.</w:t>
            </w:r>
          </w:p>
        </w:tc>
        <w:tc>
          <w:tcPr>
            <w:tcW w:w="1134" w:type="dxa"/>
            <w:shd w:val="clear" w:color="auto" w:fill="auto"/>
            <w:noWrap/>
            <w:vAlign w:val="center"/>
            <w:hideMark/>
          </w:tcPr>
          <w:p w14:paraId="04DF4A0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77</w:t>
            </w:r>
          </w:p>
        </w:tc>
      </w:tr>
      <w:tr w:rsidR="00406C2B" w:rsidRPr="00C65C45" w14:paraId="196CC5F7" w14:textId="77777777" w:rsidTr="00406C2B">
        <w:trPr>
          <w:trHeight w:val="300"/>
        </w:trPr>
        <w:tc>
          <w:tcPr>
            <w:tcW w:w="988" w:type="dxa"/>
            <w:shd w:val="clear" w:color="auto" w:fill="auto"/>
            <w:noWrap/>
            <w:vAlign w:val="center"/>
            <w:hideMark/>
          </w:tcPr>
          <w:p w14:paraId="497446D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52</w:t>
            </w:r>
          </w:p>
        </w:tc>
        <w:tc>
          <w:tcPr>
            <w:tcW w:w="6237" w:type="dxa"/>
            <w:shd w:val="clear" w:color="auto" w:fill="auto"/>
            <w:noWrap/>
            <w:vAlign w:val="center"/>
            <w:hideMark/>
          </w:tcPr>
          <w:p w14:paraId="0CCDED3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evaluado por localidades (cantón) en la provincia de Bolívar del 2006 al 2011.</w:t>
            </w:r>
          </w:p>
        </w:tc>
        <w:tc>
          <w:tcPr>
            <w:tcW w:w="1134" w:type="dxa"/>
            <w:shd w:val="clear" w:color="auto" w:fill="auto"/>
            <w:noWrap/>
            <w:vAlign w:val="center"/>
            <w:hideMark/>
          </w:tcPr>
          <w:p w14:paraId="5312F5C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77</w:t>
            </w:r>
          </w:p>
        </w:tc>
      </w:tr>
      <w:tr w:rsidR="00406C2B" w:rsidRPr="00C65C45" w14:paraId="23F95853" w14:textId="77777777" w:rsidTr="00406C2B">
        <w:trPr>
          <w:trHeight w:val="300"/>
        </w:trPr>
        <w:tc>
          <w:tcPr>
            <w:tcW w:w="988" w:type="dxa"/>
            <w:shd w:val="clear" w:color="auto" w:fill="auto"/>
            <w:noWrap/>
            <w:vAlign w:val="center"/>
            <w:hideMark/>
          </w:tcPr>
          <w:p w14:paraId="7CF35E4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53</w:t>
            </w:r>
          </w:p>
        </w:tc>
        <w:tc>
          <w:tcPr>
            <w:tcW w:w="6237" w:type="dxa"/>
            <w:shd w:val="clear" w:color="auto" w:fill="auto"/>
            <w:noWrap/>
            <w:vAlign w:val="center"/>
            <w:hideMark/>
          </w:tcPr>
          <w:p w14:paraId="1F75E4C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nitrógeno evaluadas en la provincia de Bolívar del 2006 al 2011.</w:t>
            </w:r>
          </w:p>
        </w:tc>
        <w:tc>
          <w:tcPr>
            <w:tcW w:w="1134" w:type="dxa"/>
            <w:shd w:val="clear" w:color="auto" w:fill="auto"/>
            <w:noWrap/>
            <w:vAlign w:val="center"/>
            <w:hideMark/>
          </w:tcPr>
          <w:p w14:paraId="08D6655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78</w:t>
            </w:r>
          </w:p>
        </w:tc>
      </w:tr>
      <w:tr w:rsidR="00406C2B" w:rsidRPr="00C65C45" w14:paraId="0C23FBFB" w14:textId="77777777" w:rsidTr="00406C2B">
        <w:trPr>
          <w:trHeight w:val="300"/>
        </w:trPr>
        <w:tc>
          <w:tcPr>
            <w:tcW w:w="988" w:type="dxa"/>
            <w:shd w:val="clear" w:color="auto" w:fill="auto"/>
            <w:noWrap/>
            <w:vAlign w:val="center"/>
            <w:hideMark/>
          </w:tcPr>
          <w:p w14:paraId="2FBE2CB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54</w:t>
            </w:r>
          </w:p>
        </w:tc>
        <w:tc>
          <w:tcPr>
            <w:tcW w:w="6237" w:type="dxa"/>
            <w:shd w:val="clear" w:color="auto" w:fill="auto"/>
            <w:noWrap/>
            <w:vAlign w:val="center"/>
            <w:hideMark/>
          </w:tcPr>
          <w:p w14:paraId="2DC623A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fósforo evaluadas en la provincia de Bolívar del 2006 al 2011.</w:t>
            </w:r>
          </w:p>
        </w:tc>
        <w:tc>
          <w:tcPr>
            <w:tcW w:w="1134" w:type="dxa"/>
            <w:shd w:val="clear" w:color="auto" w:fill="auto"/>
            <w:noWrap/>
            <w:vAlign w:val="center"/>
            <w:hideMark/>
          </w:tcPr>
          <w:p w14:paraId="25536A5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78</w:t>
            </w:r>
          </w:p>
        </w:tc>
      </w:tr>
      <w:tr w:rsidR="00406C2B" w:rsidRPr="00C65C45" w14:paraId="62852314" w14:textId="77777777" w:rsidTr="00406C2B">
        <w:trPr>
          <w:trHeight w:val="300"/>
        </w:trPr>
        <w:tc>
          <w:tcPr>
            <w:tcW w:w="988" w:type="dxa"/>
            <w:shd w:val="clear" w:color="auto" w:fill="auto"/>
            <w:noWrap/>
            <w:vAlign w:val="center"/>
            <w:hideMark/>
          </w:tcPr>
          <w:p w14:paraId="5B86744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55</w:t>
            </w:r>
          </w:p>
        </w:tc>
        <w:tc>
          <w:tcPr>
            <w:tcW w:w="6237" w:type="dxa"/>
            <w:shd w:val="clear" w:color="auto" w:fill="auto"/>
            <w:noWrap/>
            <w:vAlign w:val="center"/>
            <w:hideMark/>
          </w:tcPr>
          <w:p w14:paraId="50275BB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potasio evaluadas en la provincia de Bolívar del 2006 al 2011.</w:t>
            </w:r>
          </w:p>
        </w:tc>
        <w:tc>
          <w:tcPr>
            <w:tcW w:w="1134" w:type="dxa"/>
            <w:shd w:val="clear" w:color="auto" w:fill="auto"/>
            <w:noWrap/>
            <w:vAlign w:val="center"/>
            <w:hideMark/>
          </w:tcPr>
          <w:p w14:paraId="10F6AE3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78</w:t>
            </w:r>
          </w:p>
        </w:tc>
      </w:tr>
      <w:tr w:rsidR="00406C2B" w:rsidRPr="00C65C45" w14:paraId="318F20F5" w14:textId="77777777" w:rsidTr="00406C2B">
        <w:trPr>
          <w:trHeight w:val="300"/>
        </w:trPr>
        <w:tc>
          <w:tcPr>
            <w:tcW w:w="988" w:type="dxa"/>
            <w:shd w:val="clear" w:color="auto" w:fill="auto"/>
            <w:noWrap/>
            <w:vAlign w:val="center"/>
            <w:hideMark/>
          </w:tcPr>
          <w:p w14:paraId="289FA69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56</w:t>
            </w:r>
          </w:p>
        </w:tc>
        <w:tc>
          <w:tcPr>
            <w:tcW w:w="6237" w:type="dxa"/>
            <w:shd w:val="clear" w:color="auto" w:fill="auto"/>
            <w:noWrap/>
            <w:vAlign w:val="center"/>
            <w:hideMark/>
          </w:tcPr>
          <w:p w14:paraId="0FC686B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azufre evaluadas en la provincia de Bolívar del 2006 al 2011.</w:t>
            </w:r>
          </w:p>
        </w:tc>
        <w:tc>
          <w:tcPr>
            <w:tcW w:w="1134" w:type="dxa"/>
            <w:shd w:val="clear" w:color="auto" w:fill="auto"/>
            <w:noWrap/>
            <w:vAlign w:val="center"/>
            <w:hideMark/>
          </w:tcPr>
          <w:p w14:paraId="4E29B845"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78</w:t>
            </w:r>
          </w:p>
        </w:tc>
      </w:tr>
      <w:tr w:rsidR="00406C2B" w:rsidRPr="00C65C45" w14:paraId="435DF98D" w14:textId="77777777" w:rsidTr="00406C2B">
        <w:trPr>
          <w:trHeight w:val="300"/>
        </w:trPr>
        <w:tc>
          <w:tcPr>
            <w:tcW w:w="988" w:type="dxa"/>
            <w:shd w:val="clear" w:color="auto" w:fill="auto"/>
            <w:noWrap/>
            <w:vAlign w:val="center"/>
            <w:hideMark/>
          </w:tcPr>
          <w:p w14:paraId="5AF0347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57</w:t>
            </w:r>
          </w:p>
        </w:tc>
        <w:tc>
          <w:tcPr>
            <w:tcW w:w="6237" w:type="dxa"/>
            <w:shd w:val="clear" w:color="auto" w:fill="auto"/>
            <w:noWrap/>
            <w:vAlign w:val="center"/>
            <w:hideMark/>
          </w:tcPr>
          <w:p w14:paraId="4C1899E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magnesio evaluadas en la provincia de Bolívar del 2006 al 2011.</w:t>
            </w:r>
          </w:p>
        </w:tc>
        <w:tc>
          <w:tcPr>
            <w:tcW w:w="1134" w:type="dxa"/>
            <w:shd w:val="clear" w:color="auto" w:fill="auto"/>
            <w:noWrap/>
            <w:vAlign w:val="center"/>
            <w:hideMark/>
          </w:tcPr>
          <w:p w14:paraId="66D63938"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79</w:t>
            </w:r>
          </w:p>
        </w:tc>
      </w:tr>
      <w:tr w:rsidR="00406C2B" w:rsidRPr="00C65C45" w14:paraId="05A74370" w14:textId="77777777" w:rsidTr="00406C2B">
        <w:trPr>
          <w:trHeight w:val="300"/>
        </w:trPr>
        <w:tc>
          <w:tcPr>
            <w:tcW w:w="988" w:type="dxa"/>
            <w:shd w:val="clear" w:color="auto" w:fill="auto"/>
            <w:noWrap/>
            <w:vAlign w:val="center"/>
            <w:hideMark/>
          </w:tcPr>
          <w:p w14:paraId="073B78C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58</w:t>
            </w:r>
          </w:p>
        </w:tc>
        <w:tc>
          <w:tcPr>
            <w:tcW w:w="6237" w:type="dxa"/>
            <w:shd w:val="clear" w:color="auto" w:fill="auto"/>
            <w:noWrap/>
            <w:vAlign w:val="center"/>
            <w:hideMark/>
          </w:tcPr>
          <w:p w14:paraId="0F94587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rendimiento de maíz suave en grano seco, evaluado en la provincia de Chimborazo 2012-2014</w:t>
            </w:r>
          </w:p>
        </w:tc>
        <w:tc>
          <w:tcPr>
            <w:tcW w:w="1134" w:type="dxa"/>
            <w:shd w:val="clear" w:color="auto" w:fill="auto"/>
            <w:noWrap/>
            <w:vAlign w:val="center"/>
            <w:hideMark/>
          </w:tcPr>
          <w:p w14:paraId="491354C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80</w:t>
            </w:r>
          </w:p>
        </w:tc>
      </w:tr>
      <w:tr w:rsidR="00406C2B" w:rsidRPr="00C65C45" w14:paraId="6485698A" w14:textId="77777777" w:rsidTr="00406C2B">
        <w:trPr>
          <w:trHeight w:val="300"/>
        </w:trPr>
        <w:tc>
          <w:tcPr>
            <w:tcW w:w="988" w:type="dxa"/>
            <w:shd w:val="clear" w:color="auto" w:fill="auto"/>
            <w:noWrap/>
            <w:vAlign w:val="center"/>
            <w:hideMark/>
          </w:tcPr>
          <w:p w14:paraId="7CD2D28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59</w:t>
            </w:r>
          </w:p>
        </w:tc>
        <w:tc>
          <w:tcPr>
            <w:tcW w:w="6237" w:type="dxa"/>
            <w:shd w:val="clear" w:color="auto" w:fill="auto"/>
            <w:noWrap/>
            <w:vAlign w:val="center"/>
            <w:hideMark/>
          </w:tcPr>
          <w:p w14:paraId="3EE4C4F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evaluado por localidades (parroquia) en la provincia de Chimborazo 2012-2014.</w:t>
            </w:r>
          </w:p>
        </w:tc>
        <w:tc>
          <w:tcPr>
            <w:tcW w:w="1134" w:type="dxa"/>
            <w:shd w:val="clear" w:color="auto" w:fill="auto"/>
            <w:noWrap/>
            <w:vAlign w:val="center"/>
            <w:hideMark/>
          </w:tcPr>
          <w:p w14:paraId="69650BD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81</w:t>
            </w:r>
          </w:p>
        </w:tc>
      </w:tr>
      <w:tr w:rsidR="00406C2B" w:rsidRPr="00C65C45" w14:paraId="2DB49448" w14:textId="77777777" w:rsidTr="00406C2B">
        <w:trPr>
          <w:trHeight w:val="300"/>
        </w:trPr>
        <w:tc>
          <w:tcPr>
            <w:tcW w:w="988" w:type="dxa"/>
            <w:shd w:val="clear" w:color="auto" w:fill="auto"/>
            <w:noWrap/>
            <w:vAlign w:val="center"/>
            <w:hideMark/>
          </w:tcPr>
          <w:p w14:paraId="6D2EB2D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60</w:t>
            </w:r>
          </w:p>
        </w:tc>
        <w:tc>
          <w:tcPr>
            <w:tcW w:w="6237" w:type="dxa"/>
            <w:shd w:val="clear" w:color="auto" w:fill="auto"/>
            <w:noWrap/>
            <w:vAlign w:val="center"/>
            <w:hideMark/>
          </w:tcPr>
          <w:p w14:paraId="338ED40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nitrógeno evaluado en la provincia de Chimborazo 2012-2014.</w:t>
            </w:r>
          </w:p>
        </w:tc>
        <w:tc>
          <w:tcPr>
            <w:tcW w:w="1134" w:type="dxa"/>
            <w:shd w:val="clear" w:color="auto" w:fill="auto"/>
            <w:noWrap/>
            <w:vAlign w:val="center"/>
            <w:hideMark/>
          </w:tcPr>
          <w:p w14:paraId="096974D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81</w:t>
            </w:r>
          </w:p>
        </w:tc>
      </w:tr>
      <w:tr w:rsidR="00406C2B" w:rsidRPr="00C65C45" w14:paraId="726BE4D5" w14:textId="77777777" w:rsidTr="00406C2B">
        <w:trPr>
          <w:trHeight w:val="300"/>
        </w:trPr>
        <w:tc>
          <w:tcPr>
            <w:tcW w:w="988" w:type="dxa"/>
            <w:shd w:val="clear" w:color="auto" w:fill="auto"/>
            <w:noWrap/>
            <w:vAlign w:val="center"/>
            <w:hideMark/>
          </w:tcPr>
          <w:p w14:paraId="03A953C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61</w:t>
            </w:r>
          </w:p>
        </w:tc>
        <w:tc>
          <w:tcPr>
            <w:tcW w:w="6237" w:type="dxa"/>
            <w:shd w:val="clear" w:color="auto" w:fill="auto"/>
            <w:noWrap/>
            <w:vAlign w:val="center"/>
            <w:hideMark/>
          </w:tcPr>
          <w:p w14:paraId="11FF563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fósforo evaluado en la provincia de Chimborazo 2012-2014.</w:t>
            </w:r>
          </w:p>
        </w:tc>
        <w:tc>
          <w:tcPr>
            <w:tcW w:w="1134" w:type="dxa"/>
            <w:shd w:val="clear" w:color="auto" w:fill="auto"/>
            <w:noWrap/>
            <w:vAlign w:val="center"/>
            <w:hideMark/>
          </w:tcPr>
          <w:p w14:paraId="0B9BC89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81</w:t>
            </w:r>
          </w:p>
        </w:tc>
      </w:tr>
      <w:tr w:rsidR="00406C2B" w:rsidRPr="00C65C45" w14:paraId="082B6EFB" w14:textId="77777777" w:rsidTr="00406C2B">
        <w:trPr>
          <w:trHeight w:val="300"/>
        </w:trPr>
        <w:tc>
          <w:tcPr>
            <w:tcW w:w="988" w:type="dxa"/>
            <w:shd w:val="clear" w:color="auto" w:fill="auto"/>
            <w:noWrap/>
            <w:vAlign w:val="center"/>
            <w:hideMark/>
          </w:tcPr>
          <w:p w14:paraId="3036A94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62</w:t>
            </w:r>
          </w:p>
        </w:tc>
        <w:tc>
          <w:tcPr>
            <w:tcW w:w="6237" w:type="dxa"/>
            <w:shd w:val="clear" w:color="auto" w:fill="auto"/>
            <w:noWrap/>
            <w:vAlign w:val="center"/>
            <w:hideMark/>
          </w:tcPr>
          <w:p w14:paraId="3C07EF6A"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potasio evaluado en la provincia de Chimborazo 2012-2014.</w:t>
            </w:r>
          </w:p>
        </w:tc>
        <w:tc>
          <w:tcPr>
            <w:tcW w:w="1134" w:type="dxa"/>
            <w:shd w:val="clear" w:color="auto" w:fill="auto"/>
            <w:noWrap/>
            <w:vAlign w:val="center"/>
            <w:hideMark/>
          </w:tcPr>
          <w:p w14:paraId="1778965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82</w:t>
            </w:r>
          </w:p>
        </w:tc>
      </w:tr>
      <w:tr w:rsidR="00406C2B" w:rsidRPr="00C65C45" w14:paraId="75E254B2" w14:textId="77777777" w:rsidTr="00406C2B">
        <w:trPr>
          <w:trHeight w:val="300"/>
        </w:trPr>
        <w:tc>
          <w:tcPr>
            <w:tcW w:w="988" w:type="dxa"/>
            <w:shd w:val="clear" w:color="auto" w:fill="auto"/>
            <w:noWrap/>
            <w:vAlign w:val="center"/>
            <w:hideMark/>
          </w:tcPr>
          <w:p w14:paraId="054D469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63</w:t>
            </w:r>
          </w:p>
        </w:tc>
        <w:tc>
          <w:tcPr>
            <w:tcW w:w="6237" w:type="dxa"/>
            <w:shd w:val="clear" w:color="auto" w:fill="auto"/>
            <w:noWrap/>
            <w:vAlign w:val="center"/>
            <w:hideMark/>
          </w:tcPr>
          <w:p w14:paraId="0099B33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azufre evaluado en la provincia de Chimborazo 2012-2014.</w:t>
            </w:r>
          </w:p>
        </w:tc>
        <w:tc>
          <w:tcPr>
            <w:tcW w:w="1134" w:type="dxa"/>
            <w:shd w:val="clear" w:color="auto" w:fill="auto"/>
            <w:noWrap/>
            <w:vAlign w:val="center"/>
            <w:hideMark/>
          </w:tcPr>
          <w:p w14:paraId="237C62A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82</w:t>
            </w:r>
          </w:p>
        </w:tc>
      </w:tr>
      <w:tr w:rsidR="00406C2B" w:rsidRPr="00C65C45" w14:paraId="2DEABF6B" w14:textId="77777777" w:rsidTr="00406C2B">
        <w:trPr>
          <w:trHeight w:val="300"/>
        </w:trPr>
        <w:tc>
          <w:tcPr>
            <w:tcW w:w="988" w:type="dxa"/>
            <w:shd w:val="clear" w:color="auto" w:fill="auto"/>
            <w:noWrap/>
            <w:vAlign w:val="center"/>
            <w:hideMark/>
          </w:tcPr>
          <w:p w14:paraId="06D831C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64</w:t>
            </w:r>
          </w:p>
        </w:tc>
        <w:tc>
          <w:tcPr>
            <w:tcW w:w="6237" w:type="dxa"/>
            <w:shd w:val="clear" w:color="auto" w:fill="auto"/>
            <w:noWrap/>
            <w:vAlign w:val="center"/>
            <w:hideMark/>
          </w:tcPr>
          <w:p w14:paraId="2EFB74B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magnesio evaluado en la provincia de Chimborazo 2012-2014.</w:t>
            </w:r>
          </w:p>
        </w:tc>
        <w:tc>
          <w:tcPr>
            <w:tcW w:w="1134" w:type="dxa"/>
            <w:shd w:val="clear" w:color="auto" w:fill="auto"/>
            <w:noWrap/>
            <w:vAlign w:val="center"/>
            <w:hideMark/>
          </w:tcPr>
          <w:p w14:paraId="7FBA6CB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82</w:t>
            </w:r>
          </w:p>
        </w:tc>
      </w:tr>
      <w:tr w:rsidR="00406C2B" w:rsidRPr="00C65C45" w14:paraId="48DB536F" w14:textId="77777777" w:rsidTr="00406C2B">
        <w:trPr>
          <w:trHeight w:val="300"/>
        </w:trPr>
        <w:tc>
          <w:tcPr>
            <w:tcW w:w="988" w:type="dxa"/>
            <w:shd w:val="clear" w:color="auto" w:fill="auto"/>
            <w:noWrap/>
            <w:vAlign w:val="center"/>
            <w:hideMark/>
          </w:tcPr>
          <w:p w14:paraId="21BE323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65</w:t>
            </w:r>
          </w:p>
        </w:tc>
        <w:tc>
          <w:tcPr>
            <w:tcW w:w="6237" w:type="dxa"/>
            <w:shd w:val="clear" w:color="auto" w:fill="auto"/>
            <w:noWrap/>
            <w:vAlign w:val="center"/>
            <w:hideMark/>
          </w:tcPr>
          <w:p w14:paraId="1899CA6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y porcentaje de varianza para absorción de nitrógeno de maíz suave, evaluado en la provincia de Chimborazo (2012-2014).</w:t>
            </w:r>
          </w:p>
        </w:tc>
        <w:tc>
          <w:tcPr>
            <w:tcW w:w="1134" w:type="dxa"/>
            <w:shd w:val="clear" w:color="auto" w:fill="auto"/>
            <w:noWrap/>
            <w:vAlign w:val="center"/>
            <w:hideMark/>
          </w:tcPr>
          <w:p w14:paraId="5EF71B3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83</w:t>
            </w:r>
          </w:p>
        </w:tc>
      </w:tr>
      <w:tr w:rsidR="00406C2B" w:rsidRPr="00C65C45" w14:paraId="1B236F55" w14:textId="77777777" w:rsidTr="00406C2B">
        <w:trPr>
          <w:trHeight w:val="300"/>
        </w:trPr>
        <w:tc>
          <w:tcPr>
            <w:tcW w:w="988" w:type="dxa"/>
            <w:shd w:val="clear" w:color="auto" w:fill="auto"/>
            <w:noWrap/>
            <w:vAlign w:val="center"/>
            <w:hideMark/>
          </w:tcPr>
          <w:p w14:paraId="211CB65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66</w:t>
            </w:r>
          </w:p>
        </w:tc>
        <w:tc>
          <w:tcPr>
            <w:tcW w:w="6237" w:type="dxa"/>
            <w:shd w:val="clear" w:color="auto" w:fill="auto"/>
            <w:noWrap/>
            <w:vAlign w:val="center"/>
            <w:hideMark/>
          </w:tcPr>
          <w:p w14:paraId="658C32D2"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evaluado por localidades (parroquia) en la provincia de Chimborazo 2012-2014</w:t>
            </w:r>
          </w:p>
        </w:tc>
        <w:tc>
          <w:tcPr>
            <w:tcW w:w="1134" w:type="dxa"/>
            <w:shd w:val="clear" w:color="auto" w:fill="auto"/>
            <w:noWrap/>
            <w:vAlign w:val="center"/>
            <w:hideMark/>
          </w:tcPr>
          <w:p w14:paraId="4E868ED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84</w:t>
            </w:r>
          </w:p>
        </w:tc>
      </w:tr>
      <w:tr w:rsidR="00406C2B" w:rsidRPr="00C65C45" w14:paraId="4650722A" w14:textId="77777777" w:rsidTr="00406C2B">
        <w:trPr>
          <w:trHeight w:val="300"/>
        </w:trPr>
        <w:tc>
          <w:tcPr>
            <w:tcW w:w="988" w:type="dxa"/>
            <w:shd w:val="clear" w:color="auto" w:fill="auto"/>
            <w:noWrap/>
            <w:vAlign w:val="center"/>
            <w:hideMark/>
          </w:tcPr>
          <w:p w14:paraId="3972C87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67</w:t>
            </w:r>
          </w:p>
        </w:tc>
        <w:tc>
          <w:tcPr>
            <w:tcW w:w="6237" w:type="dxa"/>
            <w:shd w:val="clear" w:color="auto" w:fill="auto"/>
            <w:noWrap/>
            <w:vAlign w:val="center"/>
            <w:hideMark/>
          </w:tcPr>
          <w:p w14:paraId="0380C2F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para diversas dosis de nitrógeno evaluadas evaluado en la provincia de Chimborazo 2012-2014.</w:t>
            </w:r>
          </w:p>
        </w:tc>
        <w:tc>
          <w:tcPr>
            <w:tcW w:w="1134" w:type="dxa"/>
            <w:shd w:val="clear" w:color="auto" w:fill="auto"/>
            <w:noWrap/>
            <w:vAlign w:val="center"/>
            <w:hideMark/>
          </w:tcPr>
          <w:p w14:paraId="7DC33EE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84</w:t>
            </w:r>
          </w:p>
        </w:tc>
      </w:tr>
      <w:tr w:rsidR="00406C2B" w:rsidRPr="00C65C45" w14:paraId="2B4D37B8" w14:textId="77777777" w:rsidTr="00406C2B">
        <w:trPr>
          <w:trHeight w:val="300"/>
        </w:trPr>
        <w:tc>
          <w:tcPr>
            <w:tcW w:w="988" w:type="dxa"/>
            <w:shd w:val="clear" w:color="auto" w:fill="auto"/>
            <w:noWrap/>
            <w:vAlign w:val="center"/>
            <w:hideMark/>
          </w:tcPr>
          <w:p w14:paraId="17389E1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68</w:t>
            </w:r>
          </w:p>
        </w:tc>
        <w:tc>
          <w:tcPr>
            <w:tcW w:w="6237" w:type="dxa"/>
            <w:shd w:val="clear" w:color="auto" w:fill="auto"/>
            <w:noWrap/>
            <w:vAlign w:val="center"/>
            <w:hideMark/>
          </w:tcPr>
          <w:p w14:paraId="721569E3" w14:textId="59F233CA" w:rsidR="00406C2B" w:rsidRPr="0094079D" w:rsidRDefault="00406C2B" w:rsidP="00ED2254">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para diversas dosis de f</w:t>
            </w:r>
            <w:r w:rsidR="00ED2254">
              <w:rPr>
                <w:rFonts w:eastAsia="Times New Roman" w:cs="Times New Roman"/>
                <w:color w:val="000000"/>
                <w:szCs w:val="24"/>
                <w:lang w:eastAsia="es-EC"/>
              </w:rPr>
              <w:t>ó</w:t>
            </w:r>
            <w:r w:rsidRPr="0094079D">
              <w:rPr>
                <w:rFonts w:eastAsia="Times New Roman" w:cs="Times New Roman"/>
                <w:color w:val="000000"/>
                <w:szCs w:val="24"/>
                <w:lang w:eastAsia="es-EC"/>
              </w:rPr>
              <w:t>sforo evaluadas evaluado en la provincia de Chimborazo 2012-2014.</w:t>
            </w:r>
          </w:p>
        </w:tc>
        <w:tc>
          <w:tcPr>
            <w:tcW w:w="1134" w:type="dxa"/>
            <w:shd w:val="clear" w:color="auto" w:fill="auto"/>
            <w:noWrap/>
            <w:vAlign w:val="center"/>
            <w:hideMark/>
          </w:tcPr>
          <w:p w14:paraId="3A8C16A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85</w:t>
            </w:r>
          </w:p>
        </w:tc>
      </w:tr>
      <w:tr w:rsidR="00406C2B" w:rsidRPr="00C65C45" w14:paraId="6E1C9198" w14:textId="77777777" w:rsidTr="00406C2B">
        <w:trPr>
          <w:trHeight w:val="300"/>
        </w:trPr>
        <w:tc>
          <w:tcPr>
            <w:tcW w:w="988" w:type="dxa"/>
            <w:shd w:val="clear" w:color="auto" w:fill="auto"/>
            <w:noWrap/>
            <w:vAlign w:val="center"/>
            <w:hideMark/>
          </w:tcPr>
          <w:p w14:paraId="4C5F52C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69</w:t>
            </w:r>
          </w:p>
        </w:tc>
        <w:tc>
          <w:tcPr>
            <w:tcW w:w="6237" w:type="dxa"/>
            <w:shd w:val="clear" w:color="auto" w:fill="auto"/>
            <w:noWrap/>
            <w:vAlign w:val="center"/>
            <w:hideMark/>
          </w:tcPr>
          <w:p w14:paraId="7FF77A5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para diversas dosis de potasio evaluadas evaluado en la provincia de Chimborazo 2012-2014.</w:t>
            </w:r>
          </w:p>
        </w:tc>
        <w:tc>
          <w:tcPr>
            <w:tcW w:w="1134" w:type="dxa"/>
            <w:shd w:val="clear" w:color="auto" w:fill="auto"/>
            <w:noWrap/>
            <w:vAlign w:val="center"/>
            <w:hideMark/>
          </w:tcPr>
          <w:p w14:paraId="541CC0C8"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85</w:t>
            </w:r>
          </w:p>
        </w:tc>
      </w:tr>
      <w:tr w:rsidR="00406C2B" w:rsidRPr="00C65C45" w14:paraId="08FBBCE3" w14:textId="77777777" w:rsidTr="00406C2B">
        <w:trPr>
          <w:trHeight w:val="300"/>
        </w:trPr>
        <w:tc>
          <w:tcPr>
            <w:tcW w:w="988" w:type="dxa"/>
            <w:shd w:val="clear" w:color="auto" w:fill="auto"/>
            <w:noWrap/>
            <w:vAlign w:val="center"/>
            <w:hideMark/>
          </w:tcPr>
          <w:p w14:paraId="590A655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70</w:t>
            </w:r>
          </w:p>
        </w:tc>
        <w:tc>
          <w:tcPr>
            <w:tcW w:w="6237" w:type="dxa"/>
            <w:shd w:val="clear" w:color="auto" w:fill="auto"/>
            <w:noWrap/>
            <w:vAlign w:val="center"/>
            <w:hideMark/>
          </w:tcPr>
          <w:p w14:paraId="7EDF5F0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para diversas dosis de azufre evaluadas evaluado en la provincia de Chimborazo 2012-2014.</w:t>
            </w:r>
          </w:p>
        </w:tc>
        <w:tc>
          <w:tcPr>
            <w:tcW w:w="1134" w:type="dxa"/>
            <w:shd w:val="clear" w:color="auto" w:fill="auto"/>
            <w:noWrap/>
            <w:vAlign w:val="center"/>
            <w:hideMark/>
          </w:tcPr>
          <w:p w14:paraId="5A4E4D6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85</w:t>
            </w:r>
          </w:p>
        </w:tc>
      </w:tr>
      <w:tr w:rsidR="00406C2B" w:rsidRPr="00C65C45" w14:paraId="77D577C4" w14:textId="77777777" w:rsidTr="00406C2B">
        <w:trPr>
          <w:trHeight w:val="300"/>
        </w:trPr>
        <w:tc>
          <w:tcPr>
            <w:tcW w:w="988" w:type="dxa"/>
            <w:shd w:val="clear" w:color="auto" w:fill="auto"/>
            <w:noWrap/>
            <w:vAlign w:val="center"/>
            <w:hideMark/>
          </w:tcPr>
          <w:p w14:paraId="3C8A15D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71</w:t>
            </w:r>
          </w:p>
        </w:tc>
        <w:tc>
          <w:tcPr>
            <w:tcW w:w="6237" w:type="dxa"/>
            <w:shd w:val="clear" w:color="auto" w:fill="auto"/>
            <w:noWrap/>
            <w:vAlign w:val="center"/>
            <w:hideMark/>
          </w:tcPr>
          <w:p w14:paraId="1875075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para diversas dosis de magnesio evaluadas evaluado en la provincia de Chimborazo 2012-2014.</w:t>
            </w:r>
          </w:p>
        </w:tc>
        <w:tc>
          <w:tcPr>
            <w:tcW w:w="1134" w:type="dxa"/>
            <w:shd w:val="clear" w:color="auto" w:fill="auto"/>
            <w:noWrap/>
            <w:vAlign w:val="center"/>
            <w:hideMark/>
          </w:tcPr>
          <w:p w14:paraId="5CA66DF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86</w:t>
            </w:r>
          </w:p>
        </w:tc>
      </w:tr>
      <w:tr w:rsidR="00406C2B" w:rsidRPr="00C65C45" w14:paraId="6A292393" w14:textId="77777777" w:rsidTr="00406C2B">
        <w:trPr>
          <w:trHeight w:val="300"/>
        </w:trPr>
        <w:tc>
          <w:tcPr>
            <w:tcW w:w="988" w:type="dxa"/>
            <w:shd w:val="clear" w:color="auto" w:fill="auto"/>
            <w:noWrap/>
            <w:vAlign w:val="center"/>
            <w:hideMark/>
          </w:tcPr>
          <w:p w14:paraId="53608EA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72</w:t>
            </w:r>
          </w:p>
        </w:tc>
        <w:tc>
          <w:tcPr>
            <w:tcW w:w="6237" w:type="dxa"/>
            <w:shd w:val="clear" w:color="auto" w:fill="auto"/>
            <w:noWrap/>
            <w:vAlign w:val="center"/>
            <w:hideMark/>
          </w:tcPr>
          <w:p w14:paraId="3A4D0DE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fósforo de maíz suave en grano seco, evaluado en la provincia de Chimborazo (2012-2014)</w:t>
            </w:r>
          </w:p>
        </w:tc>
        <w:tc>
          <w:tcPr>
            <w:tcW w:w="1134" w:type="dxa"/>
            <w:shd w:val="clear" w:color="auto" w:fill="auto"/>
            <w:noWrap/>
            <w:vAlign w:val="center"/>
            <w:hideMark/>
          </w:tcPr>
          <w:p w14:paraId="391B5F7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87</w:t>
            </w:r>
          </w:p>
        </w:tc>
      </w:tr>
      <w:tr w:rsidR="00406C2B" w:rsidRPr="00C65C45" w14:paraId="4A0F6352" w14:textId="77777777" w:rsidTr="00406C2B">
        <w:trPr>
          <w:trHeight w:val="300"/>
        </w:trPr>
        <w:tc>
          <w:tcPr>
            <w:tcW w:w="988" w:type="dxa"/>
            <w:shd w:val="clear" w:color="auto" w:fill="auto"/>
            <w:noWrap/>
            <w:vAlign w:val="center"/>
            <w:hideMark/>
          </w:tcPr>
          <w:p w14:paraId="4746C11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73</w:t>
            </w:r>
          </w:p>
        </w:tc>
        <w:tc>
          <w:tcPr>
            <w:tcW w:w="6237" w:type="dxa"/>
            <w:shd w:val="clear" w:color="auto" w:fill="auto"/>
            <w:noWrap/>
            <w:vAlign w:val="center"/>
            <w:hideMark/>
          </w:tcPr>
          <w:p w14:paraId="0069EDB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evaluado por localidades (parroquia) en la provincia de Chimborazo 2012-2014</w:t>
            </w:r>
          </w:p>
        </w:tc>
        <w:tc>
          <w:tcPr>
            <w:tcW w:w="1134" w:type="dxa"/>
            <w:shd w:val="clear" w:color="auto" w:fill="auto"/>
            <w:noWrap/>
            <w:vAlign w:val="center"/>
            <w:hideMark/>
          </w:tcPr>
          <w:p w14:paraId="7AD149F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88</w:t>
            </w:r>
          </w:p>
        </w:tc>
      </w:tr>
      <w:tr w:rsidR="00406C2B" w:rsidRPr="00C65C45" w14:paraId="519D66B7" w14:textId="77777777" w:rsidTr="00406C2B">
        <w:trPr>
          <w:trHeight w:val="300"/>
        </w:trPr>
        <w:tc>
          <w:tcPr>
            <w:tcW w:w="988" w:type="dxa"/>
            <w:shd w:val="clear" w:color="auto" w:fill="auto"/>
            <w:noWrap/>
            <w:vAlign w:val="center"/>
            <w:hideMark/>
          </w:tcPr>
          <w:p w14:paraId="4B6219E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74</w:t>
            </w:r>
          </w:p>
        </w:tc>
        <w:tc>
          <w:tcPr>
            <w:tcW w:w="6237" w:type="dxa"/>
            <w:shd w:val="clear" w:color="auto" w:fill="auto"/>
            <w:noWrap/>
            <w:vAlign w:val="center"/>
            <w:hideMark/>
          </w:tcPr>
          <w:p w14:paraId="0D87A57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nitrógeno evaluadas en la provincia de Chimborazo 2012-2014.</w:t>
            </w:r>
          </w:p>
        </w:tc>
        <w:tc>
          <w:tcPr>
            <w:tcW w:w="1134" w:type="dxa"/>
            <w:shd w:val="clear" w:color="auto" w:fill="auto"/>
            <w:noWrap/>
            <w:vAlign w:val="center"/>
            <w:hideMark/>
          </w:tcPr>
          <w:p w14:paraId="27E32F6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88</w:t>
            </w:r>
          </w:p>
        </w:tc>
      </w:tr>
      <w:tr w:rsidR="00406C2B" w:rsidRPr="00C65C45" w14:paraId="7A174A61" w14:textId="77777777" w:rsidTr="00406C2B">
        <w:trPr>
          <w:trHeight w:val="300"/>
        </w:trPr>
        <w:tc>
          <w:tcPr>
            <w:tcW w:w="988" w:type="dxa"/>
            <w:shd w:val="clear" w:color="auto" w:fill="auto"/>
            <w:noWrap/>
            <w:vAlign w:val="center"/>
            <w:hideMark/>
          </w:tcPr>
          <w:p w14:paraId="1E7A697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75</w:t>
            </w:r>
          </w:p>
        </w:tc>
        <w:tc>
          <w:tcPr>
            <w:tcW w:w="6237" w:type="dxa"/>
            <w:shd w:val="clear" w:color="auto" w:fill="auto"/>
            <w:noWrap/>
            <w:vAlign w:val="center"/>
            <w:hideMark/>
          </w:tcPr>
          <w:p w14:paraId="592C3AFD" w14:textId="22E6AC0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fósforo evaluadas en la provincia de Chimborazo 2012-2014.</w:t>
            </w:r>
          </w:p>
        </w:tc>
        <w:tc>
          <w:tcPr>
            <w:tcW w:w="1134" w:type="dxa"/>
            <w:shd w:val="clear" w:color="auto" w:fill="auto"/>
            <w:noWrap/>
            <w:vAlign w:val="center"/>
            <w:hideMark/>
          </w:tcPr>
          <w:p w14:paraId="10DFF06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88</w:t>
            </w:r>
          </w:p>
        </w:tc>
      </w:tr>
      <w:tr w:rsidR="00406C2B" w:rsidRPr="00C65C45" w14:paraId="02894C58" w14:textId="77777777" w:rsidTr="00406C2B">
        <w:trPr>
          <w:trHeight w:val="300"/>
        </w:trPr>
        <w:tc>
          <w:tcPr>
            <w:tcW w:w="988" w:type="dxa"/>
            <w:shd w:val="clear" w:color="auto" w:fill="auto"/>
            <w:noWrap/>
            <w:vAlign w:val="center"/>
            <w:hideMark/>
          </w:tcPr>
          <w:p w14:paraId="6A8D61B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76</w:t>
            </w:r>
          </w:p>
        </w:tc>
        <w:tc>
          <w:tcPr>
            <w:tcW w:w="6237" w:type="dxa"/>
            <w:shd w:val="clear" w:color="auto" w:fill="auto"/>
            <w:noWrap/>
            <w:vAlign w:val="center"/>
            <w:hideMark/>
          </w:tcPr>
          <w:p w14:paraId="4CE9F09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potasio evaluadas en la provincia de Chimborazo 2012-2014.</w:t>
            </w:r>
          </w:p>
        </w:tc>
        <w:tc>
          <w:tcPr>
            <w:tcW w:w="1134" w:type="dxa"/>
            <w:shd w:val="clear" w:color="auto" w:fill="auto"/>
            <w:noWrap/>
            <w:vAlign w:val="center"/>
            <w:hideMark/>
          </w:tcPr>
          <w:p w14:paraId="45C06FA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88</w:t>
            </w:r>
          </w:p>
        </w:tc>
      </w:tr>
      <w:tr w:rsidR="00406C2B" w:rsidRPr="00C65C45" w14:paraId="6DC3451F" w14:textId="77777777" w:rsidTr="00406C2B">
        <w:trPr>
          <w:trHeight w:val="300"/>
        </w:trPr>
        <w:tc>
          <w:tcPr>
            <w:tcW w:w="988" w:type="dxa"/>
            <w:shd w:val="clear" w:color="auto" w:fill="auto"/>
            <w:noWrap/>
            <w:vAlign w:val="center"/>
            <w:hideMark/>
          </w:tcPr>
          <w:p w14:paraId="68426F2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77</w:t>
            </w:r>
          </w:p>
        </w:tc>
        <w:tc>
          <w:tcPr>
            <w:tcW w:w="6237" w:type="dxa"/>
            <w:shd w:val="clear" w:color="auto" w:fill="auto"/>
            <w:noWrap/>
            <w:vAlign w:val="center"/>
            <w:hideMark/>
          </w:tcPr>
          <w:p w14:paraId="57B0462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azufre evaluadas en la provincia de Chimborazo 2012-2014.</w:t>
            </w:r>
          </w:p>
        </w:tc>
        <w:tc>
          <w:tcPr>
            <w:tcW w:w="1134" w:type="dxa"/>
            <w:shd w:val="clear" w:color="auto" w:fill="auto"/>
            <w:noWrap/>
            <w:vAlign w:val="center"/>
            <w:hideMark/>
          </w:tcPr>
          <w:p w14:paraId="20801C1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89</w:t>
            </w:r>
          </w:p>
        </w:tc>
      </w:tr>
      <w:tr w:rsidR="00406C2B" w:rsidRPr="00C65C45" w14:paraId="085AC17D" w14:textId="77777777" w:rsidTr="00406C2B">
        <w:trPr>
          <w:trHeight w:val="300"/>
        </w:trPr>
        <w:tc>
          <w:tcPr>
            <w:tcW w:w="988" w:type="dxa"/>
            <w:shd w:val="clear" w:color="auto" w:fill="auto"/>
            <w:noWrap/>
            <w:vAlign w:val="center"/>
            <w:hideMark/>
          </w:tcPr>
          <w:p w14:paraId="773FA62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78</w:t>
            </w:r>
          </w:p>
        </w:tc>
        <w:tc>
          <w:tcPr>
            <w:tcW w:w="6237" w:type="dxa"/>
            <w:shd w:val="clear" w:color="auto" w:fill="auto"/>
            <w:noWrap/>
            <w:vAlign w:val="center"/>
            <w:hideMark/>
          </w:tcPr>
          <w:p w14:paraId="5FD5212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para diversas dosis de magnesio evaluadas en la provincia de Chimborazo 2012-2014.</w:t>
            </w:r>
          </w:p>
        </w:tc>
        <w:tc>
          <w:tcPr>
            <w:tcW w:w="1134" w:type="dxa"/>
            <w:shd w:val="clear" w:color="auto" w:fill="auto"/>
            <w:noWrap/>
            <w:vAlign w:val="center"/>
            <w:hideMark/>
          </w:tcPr>
          <w:p w14:paraId="0E665F18"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89</w:t>
            </w:r>
          </w:p>
        </w:tc>
      </w:tr>
      <w:tr w:rsidR="00406C2B" w:rsidRPr="00C65C45" w14:paraId="6E1A9FFD" w14:textId="77777777" w:rsidTr="00406C2B">
        <w:trPr>
          <w:trHeight w:val="300"/>
        </w:trPr>
        <w:tc>
          <w:tcPr>
            <w:tcW w:w="988" w:type="dxa"/>
            <w:shd w:val="clear" w:color="auto" w:fill="auto"/>
            <w:noWrap/>
            <w:vAlign w:val="center"/>
            <w:hideMark/>
          </w:tcPr>
          <w:p w14:paraId="1CBD7A8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79</w:t>
            </w:r>
          </w:p>
        </w:tc>
        <w:tc>
          <w:tcPr>
            <w:tcW w:w="6237" w:type="dxa"/>
            <w:shd w:val="clear" w:color="auto" w:fill="auto"/>
            <w:noWrap/>
            <w:vAlign w:val="center"/>
            <w:hideMark/>
          </w:tcPr>
          <w:p w14:paraId="2C11732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potasio de maíz suave, evaluado en la provincia de Chimborazo (2012-2014)</w:t>
            </w:r>
          </w:p>
        </w:tc>
        <w:tc>
          <w:tcPr>
            <w:tcW w:w="1134" w:type="dxa"/>
            <w:shd w:val="clear" w:color="auto" w:fill="auto"/>
            <w:noWrap/>
            <w:vAlign w:val="center"/>
            <w:hideMark/>
          </w:tcPr>
          <w:p w14:paraId="347B027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90</w:t>
            </w:r>
          </w:p>
        </w:tc>
      </w:tr>
      <w:tr w:rsidR="00406C2B" w:rsidRPr="00C65C45" w14:paraId="683967C1" w14:textId="77777777" w:rsidTr="00406C2B">
        <w:trPr>
          <w:trHeight w:val="300"/>
        </w:trPr>
        <w:tc>
          <w:tcPr>
            <w:tcW w:w="988" w:type="dxa"/>
            <w:shd w:val="clear" w:color="auto" w:fill="auto"/>
            <w:noWrap/>
            <w:vAlign w:val="center"/>
            <w:hideMark/>
          </w:tcPr>
          <w:p w14:paraId="0E78AA6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80</w:t>
            </w:r>
          </w:p>
        </w:tc>
        <w:tc>
          <w:tcPr>
            <w:tcW w:w="6237" w:type="dxa"/>
            <w:shd w:val="clear" w:color="auto" w:fill="auto"/>
            <w:noWrap/>
            <w:vAlign w:val="center"/>
            <w:hideMark/>
          </w:tcPr>
          <w:p w14:paraId="462E87F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evaluado por localidades (parroquia) en la provincia de Chimborazo 2012-2014</w:t>
            </w:r>
          </w:p>
        </w:tc>
        <w:tc>
          <w:tcPr>
            <w:tcW w:w="1134" w:type="dxa"/>
            <w:shd w:val="clear" w:color="auto" w:fill="auto"/>
            <w:noWrap/>
            <w:vAlign w:val="center"/>
            <w:hideMark/>
          </w:tcPr>
          <w:p w14:paraId="0221DD7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91</w:t>
            </w:r>
          </w:p>
        </w:tc>
      </w:tr>
      <w:tr w:rsidR="00406C2B" w:rsidRPr="00C65C45" w14:paraId="26197EE2" w14:textId="77777777" w:rsidTr="00406C2B">
        <w:trPr>
          <w:trHeight w:val="300"/>
        </w:trPr>
        <w:tc>
          <w:tcPr>
            <w:tcW w:w="988" w:type="dxa"/>
            <w:shd w:val="clear" w:color="auto" w:fill="auto"/>
            <w:noWrap/>
            <w:vAlign w:val="center"/>
            <w:hideMark/>
          </w:tcPr>
          <w:p w14:paraId="7D4E554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81</w:t>
            </w:r>
          </w:p>
        </w:tc>
        <w:tc>
          <w:tcPr>
            <w:tcW w:w="6237" w:type="dxa"/>
            <w:shd w:val="clear" w:color="auto" w:fill="auto"/>
            <w:noWrap/>
            <w:vAlign w:val="center"/>
            <w:hideMark/>
          </w:tcPr>
          <w:p w14:paraId="412B0A9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nitrógeno evaluadas en la provincia de Chimborazo 2012-2014.</w:t>
            </w:r>
          </w:p>
        </w:tc>
        <w:tc>
          <w:tcPr>
            <w:tcW w:w="1134" w:type="dxa"/>
            <w:shd w:val="clear" w:color="auto" w:fill="auto"/>
            <w:noWrap/>
            <w:vAlign w:val="center"/>
            <w:hideMark/>
          </w:tcPr>
          <w:p w14:paraId="2B4235D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91</w:t>
            </w:r>
          </w:p>
        </w:tc>
      </w:tr>
      <w:tr w:rsidR="00406C2B" w:rsidRPr="00C65C45" w14:paraId="2FD70E5C" w14:textId="77777777" w:rsidTr="00406C2B">
        <w:trPr>
          <w:trHeight w:val="300"/>
        </w:trPr>
        <w:tc>
          <w:tcPr>
            <w:tcW w:w="988" w:type="dxa"/>
            <w:shd w:val="clear" w:color="auto" w:fill="auto"/>
            <w:noWrap/>
            <w:vAlign w:val="center"/>
            <w:hideMark/>
          </w:tcPr>
          <w:p w14:paraId="3B2579E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82</w:t>
            </w:r>
          </w:p>
        </w:tc>
        <w:tc>
          <w:tcPr>
            <w:tcW w:w="6237" w:type="dxa"/>
            <w:shd w:val="clear" w:color="auto" w:fill="auto"/>
            <w:noWrap/>
            <w:vAlign w:val="center"/>
            <w:hideMark/>
          </w:tcPr>
          <w:p w14:paraId="27C21F3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fósforo evaluadas en la provincia de Chimborazo 2012-2014.</w:t>
            </w:r>
          </w:p>
        </w:tc>
        <w:tc>
          <w:tcPr>
            <w:tcW w:w="1134" w:type="dxa"/>
            <w:shd w:val="clear" w:color="auto" w:fill="auto"/>
            <w:noWrap/>
            <w:vAlign w:val="center"/>
            <w:hideMark/>
          </w:tcPr>
          <w:p w14:paraId="5D34060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91</w:t>
            </w:r>
          </w:p>
        </w:tc>
      </w:tr>
      <w:tr w:rsidR="00406C2B" w:rsidRPr="00C65C45" w14:paraId="02126755" w14:textId="77777777" w:rsidTr="00406C2B">
        <w:trPr>
          <w:trHeight w:val="300"/>
        </w:trPr>
        <w:tc>
          <w:tcPr>
            <w:tcW w:w="988" w:type="dxa"/>
            <w:shd w:val="clear" w:color="auto" w:fill="auto"/>
            <w:noWrap/>
            <w:vAlign w:val="center"/>
            <w:hideMark/>
          </w:tcPr>
          <w:p w14:paraId="684EA98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83</w:t>
            </w:r>
          </w:p>
        </w:tc>
        <w:tc>
          <w:tcPr>
            <w:tcW w:w="6237" w:type="dxa"/>
            <w:shd w:val="clear" w:color="auto" w:fill="auto"/>
            <w:noWrap/>
            <w:vAlign w:val="center"/>
            <w:hideMark/>
          </w:tcPr>
          <w:p w14:paraId="2CCA6C2C" w14:textId="0662586C"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potasio evaluadas en la provincia de Chimborazo 2012-2014.</w:t>
            </w:r>
          </w:p>
        </w:tc>
        <w:tc>
          <w:tcPr>
            <w:tcW w:w="1134" w:type="dxa"/>
            <w:shd w:val="clear" w:color="auto" w:fill="auto"/>
            <w:noWrap/>
            <w:vAlign w:val="center"/>
            <w:hideMark/>
          </w:tcPr>
          <w:p w14:paraId="6CA49C7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91</w:t>
            </w:r>
          </w:p>
        </w:tc>
      </w:tr>
      <w:tr w:rsidR="00406C2B" w:rsidRPr="00C65C45" w14:paraId="07404BC2" w14:textId="77777777" w:rsidTr="00406C2B">
        <w:trPr>
          <w:trHeight w:val="300"/>
        </w:trPr>
        <w:tc>
          <w:tcPr>
            <w:tcW w:w="988" w:type="dxa"/>
            <w:shd w:val="clear" w:color="auto" w:fill="auto"/>
            <w:noWrap/>
            <w:vAlign w:val="center"/>
            <w:hideMark/>
          </w:tcPr>
          <w:p w14:paraId="1712D81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84</w:t>
            </w:r>
          </w:p>
        </w:tc>
        <w:tc>
          <w:tcPr>
            <w:tcW w:w="6237" w:type="dxa"/>
            <w:shd w:val="clear" w:color="auto" w:fill="auto"/>
            <w:noWrap/>
            <w:vAlign w:val="center"/>
            <w:hideMark/>
          </w:tcPr>
          <w:p w14:paraId="48F7896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azufre evaluadas en la provincia de Chimborazo 2012-2014.</w:t>
            </w:r>
          </w:p>
        </w:tc>
        <w:tc>
          <w:tcPr>
            <w:tcW w:w="1134" w:type="dxa"/>
            <w:shd w:val="clear" w:color="auto" w:fill="auto"/>
            <w:noWrap/>
            <w:vAlign w:val="center"/>
            <w:hideMark/>
          </w:tcPr>
          <w:p w14:paraId="5B5FDA2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92</w:t>
            </w:r>
          </w:p>
        </w:tc>
      </w:tr>
      <w:tr w:rsidR="00406C2B" w:rsidRPr="00C65C45" w14:paraId="3C9DC488" w14:textId="77777777" w:rsidTr="00406C2B">
        <w:trPr>
          <w:trHeight w:val="300"/>
        </w:trPr>
        <w:tc>
          <w:tcPr>
            <w:tcW w:w="988" w:type="dxa"/>
            <w:shd w:val="clear" w:color="auto" w:fill="auto"/>
            <w:noWrap/>
            <w:vAlign w:val="center"/>
            <w:hideMark/>
          </w:tcPr>
          <w:p w14:paraId="48A6F93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85</w:t>
            </w:r>
          </w:p>
        </w:tc>
        <w:tc>
          <w:tcPr>
            <w:tcW w:w="6237" w:type="dxa"/>
            <w:shd w:val="clear" w:color="auto" w:fill="auto"/>
            <w:noWrap/>
            <w:vAlign w:val="center"/>
            <w:hideMark/>
          </w:tcPr>
          <w:p w14:paraId="48B28A9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para diversas dosis de magnesio evaluadas en la provincia de Chimborazo 2012-2014.</w:t>
            </w:r>
          </w:p>
        </w:tc>
        <w:tc>
          <w:tcPr>
            <w:tcW w:w="1134" w:type="dxa"/>
            <w:shd w:val="clear" w:color="auto" w:fill="auto"/>
            <w:noWrap/>
            <w:vAlign w:val="center"/>
            <w:hideMark/>
          </w:tcPr>
          <w:p w14:paraId="047CA39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92</w:t>
            </w:r>
          </w:p>
        </w:tc>
      </w:tr>
      <w:tr w:rsidR="00406C2B" w:rsidRPr="00C65C45" w14:paraId="5F8DD47E" w14:textId="77777777" w:rsidTr="00406C2B">
        <w:trPr>
          <w:trHeight w:val="300"/>
        </w:trPr>
        <w:tc>
          <w:tcPr>
            <w:tcW w:w="988" w:type="dxa"/>
            <w:shd w:val="clear" w:color="auto" w:fill="auto"/>
            <w:noWrap/>
            <w:vAlign w:val="center"/>
            <w:hideMark/>
          </w:tcPr>
          <w:p w14:paraId="0B8970F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86</w:t>
            </w:r>
          </w:p>
        </w:tc>
        <w:tc>
          <w:tcPr>
            <w:tcW w:w="6237" w:type="dxa"/>
            <w:shd w:val="clear" w:color="auto" w:fill="auto"/>
            <w:noWrap/>
            <w:vAlign w:val="center"/>
            <w:hideMark/>
          </w:tcPr>
          <w:p w14:paraId="32BFB296"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azufre, en maíz suave, evaluado en la provincia de Chimborazo (2012-2014)</w:t>
            </w:r>
          </w:p>
        </w:tc>
        <w:tc>
          <w:tcPr>
            <w:tcW w:w="1134" w:type="dxa"/>
            <w:shd w:val="clear" w:color="auto" w:fill="auto"/>
            <w:noWrap/>
            <w:vAlign w:val="center"/>
            <w:hideMark/>
          </w:tcPr>
          <w:p w14:paraId="7F32EBD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93</w:t>
            </w:r>
          </w:p>
        </w:tc>
      </w:tr>
      <w:tr w:rsidR="00406C2B" w:rsidRPr="00C65C45" w14:paraId="2DBF9802" w14:textId="77777777" w:rsidTr="00406C2B">
        <w:trPr>
          <w:trHeight w:val="300"/>
        </w:trPr>
        <w:tc>
          <w:tcPr>
            <w:tcW w:w="988" w:type="dxa"/>
            <w:shd w:val="clear" w:color="auto" w:fill="auto"/>
            <w:noWrap/>
            <w:vAlign w:val="center"/>
            <w:hideMark/>
          </w:tcPr>
          <w:p w14:paraId="5F1DD3B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87</w:t>
            </w:r>
          </w:p>
        </w:tc>
        <w:tc>
          <w:tcPr>
            <w:tcW w:w="6237" w:type="dxa"/>
            <w:shd w:val="clear" w:color="auto" w:fill="auto"/>
            <w:noWrap/>
            <w:vAlign w:val="center"/>
            <w:hideMark/>
          </w:tcPr>
          <w:p w14:paraId="164F190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en plantas de maíz evaluado por localidades (parroquia) en la provincia de Chimborazo 2012-2014.</w:t>
            </w:r>
          </w:p>
        </w:tc>
        <w:tc>
          <w:tcPr>
            <w:tcW w:w="1134" w:type="dxa"/>
            <w:shd w:val="clear" w:color="auto" w:fill="auto"/>
            <w:noWrap/>
            <w:vAlign w:val="center"/>
            <w:hideMark/>
          </w:tcPr>
          <w:p w14:paraId="7380C2D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94</w:t>
            </w:r>
          </w:p>
        </w:tc>
      </w:tr>
      <w:tr w:rsidR="00406C2B" w:rsidRPr="00C65C45" w14:paraId="5D6B5FAD" w14:textId="77777777" w:rsidTr="00406C2B">
        <w:trPr>
          <w:trHeight w:val="300"/>
        </w:trPr>
        <w:tc>
          <w:tcPr>
            <w:tcW w:w="988" w:type="dxa"/>
            <w:shd w:val="clear" w:color="auto" w:fill="auto"/>
            <w:noWrap/>
            <w:vAlign w:val="center"/>
            <w:hideMark/>
          </w:tcPr>
          <w:p w14:paraId="2A375FC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88</w:t>
            </w:r>
          </w:p>
        </w:tc>
        <w:tc>
          <w:tcPr>
            <w:tcW w:w="6237" w:type="dxa"/>
            <w:shd w:val="clear" w:color="auto" w:fill="auto"/>
            <w:noWrap/>
            <w:vAlign w:val="center"/>
            <w:hideMark/>
          </w:tcPr>
          <w:p w14:paraId="2961B04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nitrógeno evaluadas en la provincia de Chimborazo 2012-2014.</w:t>
            </w:r>
          </w:p>
        </w:tc>
        <w:tc>
          <w:tcPr>
            <w:tcW w:w="1134" w:type="dxa"/>
            <w:shd w:val="clear" w:color="auto" w:fill="auto"/>
            <w:noWrap/>
            <w:vAlign w:val="center"/>
            <w:hideMark/>
          </w:tcPr>
          <w:p w14:paraId="23B477F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94</w:t>
            </w:r>
          </w:p>
        </w:tc>
      </w:tr>
      <w:tr w:rsidR="00406C2B" w:rsidRPr="00C65C45" w14:paraId="192A3CD0" w14:textId="77777777" w:rsidTr="00406C2B">
        <w:trPr>
          <w:trHeight w:val="300"/>
        </w:trPr>
        <w:tc>
          <w:tcPr>
            <w:tcW w:w="988" w:type="dxa"/>
            <w:shd w:val="clear" w:color="auto" w:fill="auto"/>
            <w:noWrap/>
            <w:vAlign w:val="center"/>
            <w:hideMark/>
          </w:tcPr>
          <w:p w14:paraId="7B424FFA"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89</w:t>
            </w:r>
          </w:p>
        </w:tc>
        <w:tc>
          <w:tcPr>
            <w:tcW w:w="6237" w:type="dxa"/>
            <w:shd w:val="clear" w:color="auto" w:fill="auto"/>
            <w:noWrap/>
            <w:vAlign w:val="center"/>
            <w:hideMark/>
          </w:tcPr>
          <w:p w14:paraId="3A032BB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fósforo evaluadas en la provincia de Chimborazo 2012-2014.</w:t>
            </w:r>
          </w:p>
        </w:tc>
        <w:tc>
          <w:tcPr>
            <w:tcW w:w="1134" w:type="dxa"/>
            <w:shd w:val="clear" w:color="auto" w:fill="auto"/>
            <w:noWrap/>
            <w:vAlign w:val="center"/>
            <w:hideMark/>
          </w:tcPr>
          <w:p w14:paraId="26B2170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95</w:t>
            </w:r>
          </w:p>
        </w:tc>
      </w:tr>
      <w:tr w:rsidR="00406C2B" w:rsidRPr="00C65C45" w14:paraId="250ECC33" w14:textId="77777777" w:rsidTr="00406C2B">
        <w:trPr>
          <w:trHeight w:val="300"/>
        </w:trPr>
        <w:tc>
          <w:tcPr>
            <w:tcW w:w="988" w:type="dxa"/>
            <w:shd w:val="clear" w:color="auto" w:fill="auto"/>
            <w:noWrap/>
            <w:vAlign w:val="center"/>
            <w:hideMark/>
          </w:tcPr>
          <w:p w14:paraId="046BC62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90</w:t>
            </w:r>
          </w:p>
        </w:tc>
        <w:tc>
          <w:tcPr>
            <w:tcW w:w="6237" w:type="dxa"/>
            <w:shd w:val="clear" w:color="auto" w:fill="auto"/>
            <w:noWrap/>
            <w:vAlign w:val="center"/>
            <w:hideMark/>
          </w:tcPr>
          <w:p w14:paraId="359E017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potasio evaluadas en la provincia de Chimborazo 2012-2014.</w:t>
            </w:r>
          </w:p>
        </w:tc>
        <w:tc>
          <w:tcPr>
            <w:tcW w:w="1134" w:type="dxa"/>
            <w:shd w:val="clear" w:color="auto" w:fill="auto"/>
            <w:noWrap/>
            <w:vAlign w:val="center"/>
            <w:hideMark/>
          </w:tcPr>
          <w:p w14:paraId="09ABF62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95</w:t>
            </w:r>
          </w:p>
        </w:tc>
      </w:tr>
      <w:tr w:rsidR="00406C2B" w:rsidRPr="00C65C45" w14:paraId="33B7D164" w14:textId="77777777" w:rsidTr="00406C2B">
        <w:trPr>
          <w:trHeight w:val="300"/>
        </w:trPr>
        <w:tc>
          <w:tcPr>
            <w:tcW w:w="988" w:type="dxa"/>
            <w:shd w:val="clear" w:color="auto" w:fill="auto"/>
            <w:noWrap/>
            <w:vAlign w:val="center"/>
            <w:hideMark/>
          </w:tcPr>
          <w:p w14:paraId="43BC837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91</w:t>
            </w:r>
          </w:p>
        </w:tc>
        <w:tc>
          <w:tcPr>
            <w:tcW w:w="6237" w:type="dxa"/>
            <w:shd w:val="clear" w:color="auto" w:fill="auto"/>
            <w:noWrap/>
            <w:vAlign w:val="center"/>
            <w:hideMark/>
          </w:tcPr>
          <w:p w14:paraId="320B416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azufre evaluadas en la provincia de Chimborazo 2012-2014.</w:t>
            </w:r>
          </w:p>
        </w:tc>
        <w:tc>
          <w:tcPr>
            <w:tcW w:w="1134" w:type="dxa"/>
            <w:shd w:val="clear" w:color="auto" w:fill="auto"/>
            <w:noWrap/>
            <w:vAlign w:val="center"/>
            <w:hideMark/>
          </w:tcPr>
          <w:p w14:paraId="74D8942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95</w:t>
            </w:r>
          </w:p>
        </w:tc>
      </w:tr>
      <w:tr w:rsidR="00406C2B" w:rsidRPr="00C65C45" w14:paraId="26E7C70E" w14:textId="77777777" w:rsidTr="00406C2B">
        <w:trPr>
          <w:trHeight w:val="300"/>
        </w:trPr>
        <w:tc>
          <w:tcPr>
            <w:tcW w:w="988" w:type="dxa"/>
            <w:shd w:val="clear" w:color="auto" w:fill="auto"/>
            <w:noWrap/>
            <w:vAlign w:val="center"/>
            <w:hideMark/>
          </w:tcPr>
          <w:p w14:paraId="2DE8B8A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92</w:t>
            </w:r>
          </w:p>
        </w:tc>
        <w:tc>
          <w:tcPr>
            <w:tcW w:w="6237" w:type="dxa"/>
            <w:shd w:val="clear" w:color="auto" w:fill="auto"/>
            <w:noWrap/>
            <w:vAlign w:val="center"/>
            <w:hideMark/>
          </w:tcPr>
          <w:p w14:paraId="5401AC66"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para diversas dosis de magnesio evaluadas en la provincia de Chimborazo 2012-2014.</w:t>
            </w:r>
          </w:p>
        </w:tc>
        <w:tc>
          <w:tcPr>
            <w:tcW w:w="1134" w:type="dxa"/>
            <w:shd w:val="clear" w:color="auto" w:fill="auto"/>
            <w:noWrap/>
            <w:vAlign w:val="center"/>
            <w:hideMark/>
          </w:tcPr>
          <w:p w14:paraId="5F3F9FF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96</w:t>
            </w:r>
          </w:p>
        </w:tc>
      </w:tr>
      <w:tr w:rsidR="00406C2B" w:rsidRPr="00C65C45" w14:paraId="5E2FE3B2" w14:textId="77777777" w:rsidTr="00406C2B">
        <w:trPr>
          <w:trHeight w:val="300"/>
        </w:trPr>
        <w:tc>
          <w:tcPr>
            <w:tcW w:w="988" w:type="dxa"/>
            <w:shd w:val="clear" w:color="auto" w:fill="auto"/>
            <w:noWrap/>
            <w:vAlign w:val="center"/>
            <w:hideMark/>
          </w:tcPr>
          <w:p w14:paraId="24CC2A2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93</w:t>
            </w:r>
          </w:p>
        </w:tc>
        <w:tc>
          <w:tcPr>
            <w:tcW w:w="6237" w:type="dxa"/>
            <w:shd w:val="clear" w:color="auto" w:fill="auto"/>
            <w:noWrap/>
            <w:vAlign w:val="center"/>
            <w:hideMark/>
          </w:tcPr>
          <w:p w14:paraId="4779A0E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fósforo de maíz suave, evaluado en la provincia de Chimborazo (2012-2014).</w:t>
            </w:r>
          </w:p>
        </w:tc>
        <w:tc>
          <w:tcPr>
            <w:tcW w:w="1134" w:type="dxa"/>
            <w:shd w:val="clear" w:color="auto" w:fill="auto"/>
            <w:noWrap/>
            <w:vAlign w:val="center"/>
            <w:hideMark/>
          </w:tcPr>
          <w:p w14:paraId="201EF1D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97</w:t>
            </w:r>
          </w:p>
        </w:tc>
      </w:tr>
      <w:tr w:rsidR="00406C2B" w:rsidRPr="00C65C45" w14:paraId="6928D0E3" w14:textId="77777777" w:rsidTr="00406C2B">
        <w:trPr>
          <w:trHeight w:val="300"/>
        </w:trPr>
        <w:tc>
          <w:tcPr>
            <w:tcW w:w="988" w:type="dxa"/>
            <w:shd w:val="clear" w:color="auto" w:fill="auto"/>
            <w:noWrap/>
            <w:vAlign w:val="center"/>
            <w:hideMark/>
          </w:tcPr>
          <w:p w14:paraId="6E3F1EC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94</w:t>
            </w:r>
          </w:p>
        </w:tc>
        <w:tc>
          <w:tcPr>
            <w:tcW w:w="6237" w:type="dxa"/>
            <w:shd w:val="clear" w:color="auto" w:fill="auto"/>
            <w:noWrap/>
            <w:vAlign w:val="center"/>
            <w:hideMark/>
          </w:tcPr>
          <w:p w14:paraId="068C561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de plantas de maíz evaluado por localidades (parroquia) en la provincia de Chimborazo 2012-2014.</w:t>
            </w:r>
          </w:p>
        </w:tc>
        <w:tc>
          <w:tcPr>
            <w:tcW w:w="1134" w:type="dxa"/>
            <w:shd w:val="clear" w:color="auto" w:fill="auto"/>
            <w:noWrap/>
            <w:vAlign w:val="center"/>
            <w:hideMark/>
          </w:tcPr>
          <w:p w14:paraId="50D07BC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97</w:t>
            </w:r>
          </w:p>
        </w:tc>
      </w:tr>
      <w:tr w:rsidR="00406C2B" w:rsidRPr="00C65C45" w14:paraId="7ED237A8" w14:textId="77777777" w:rsidTr="00406C2B">
        <w:trPr>
          <w:trHeight w:val="300"/>
        </w:trPr>
        <w:tc>
          <w:tcPr>
            <w:tcW w:w="988" w:type="dxa"/>
            <w:shd w:val="clear" w:color="auto" w:fill="auto"/>
            <w:noWrap/>
            <w:vAlign w:val="center"/>
            <w:hideMark/>
          </w:tcPr>
          <w:p w14:paraId="5DE287A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95</w:t>
            </w:r>
          </w:p>
        </w:tc>
        <w:tc>
          <w:tcPr>
            <w:tcW w:w="6237" w:type="dxa"/>
            <w:shd w:val="clear" w:color="auto" w:fill="auto"/>
            <w:noWrap/>
            <w:vAlign w:val="center"/>
            <w:hideMark/>
          </w:tcPr>
          <w:p w14:paraId="567A0C4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nitrógeno evaluadas en la provincia de Chimborazo 2012-2014.</w:t>
            </w:r>
          </w:p>
        </w:tc>
        <w:tc>
          <w:tcPr>
            <w:tcW w:w="1134" w:type="dxa"/>
            <w:shd w:val="clear" w:color="auto" w:fill="auto"/>
            <w:noWrap/>
            <w:vAlign w:val="center"/>
            <w:hideMark/>
          </w:tcPr>
          <w:p w14:paraId="23368D2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98</w:t>
            </w:r>
          </w:p>
        </w:tc>
      </w:tr>
      <w:tr w:rsidR="00406C2B" w:rsidRPr="00C65C45" w14:paraId="1B8605B5" w14:textId="77777777" w:rsidTr="00406C2B">
        <w:trPr>
          <w:trHeight w:val="300"/>
        </w:trPr>
        <w:tc>
          <w:tcPr>
            <w:tcW w:w="988" w:type="dxa"/>
            <w:shd w:val="clear" w:color="auto" w:fill="auto"/>
            <w:noWrap/>
            <w:vAlign w:val="center"/>
            <w:hideMark/>
          </w:tcPr>
          <w:p w14:paraId="61AE191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96</w:t>
            </w:r>
          </w:p>
        </w:tc>
        <w:tc>
          <w:tcPr>
            <w:tcW w:w="6237" w:type="dxa"/>
            <w:shd w:val="clear" w:color="auto" w:fill="auto"/>
            <w:noWrap/>
            <w:vAlign w:val="center"/>
            <w:hideMark/>
          </w:tcPr>
          <w:p w14:paraId="6F05B1AA"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fósforo evaluadas en la provincia de Chimborazo 2012-2014.</w:t>
            </w:r>
          </w:p>
        </w:tc>
        <w:tc>
          <w:tcPr>
            <w:tcW w:w="1134" w:type="dxa"/>
            <w:shd w:val="clear" w:color="auto" w:fill="auto"/>
            <w:noWrap/>
            <w:vAlign w:val="center"/>
            <w:hideMark/>
          </w:tcPr>
          <w:p w14:paraId="487DC1F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98</w:t>
            </w:r>
          </w:p>
        </w:tc>
      </w:tr>
      <w:tr w:rsidR="00406C2B" w:rsidRPr="00C65C45" w14:paraId="165D2BE4" w14:textId="77777777" w:rsidTr="00406C2B">
        <w:trPr>
          <w:trHeight w:val="300"/>
        </w:trPr>
        <w:tc>
          <w:tcPr>
            <w:tcW w:w="988" w:type="dxa"/>
            <w:shd w:val="clear" w:color="auto" w:fill="auto"/>
            <w:noWrap/>
            <w:vAlign w:val="center"/>
            <w:hideMark/>
          </w:tcPr>
          <w:p w14:paraId="7F95AB58"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97</w:t>
            </w:r>
          </w:p>
        </w:tc>
        <w:tc>
          <w:tcPr>
            <w:tcW w:w="6237" w:type="dxa"/>
            <w:shd w:val="clear" w:color="auto" w:fill="auto"/>
            <w:noWrap/>
            <w:vAlign w:val="center"/>
            <w:hideMark/>
          </w:tcPr>
          <w:p w14:paraId="2BDB50D2"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potasio evaluadas en la provincia de Chimborazo 2012-2014.</w:t>
            </w:r>
          </w:p>
        </w:tc>
        <w:tc>
          <w:tcPr>
            <w:tcW w:w="1134" w:type="dxa"/>
            <w:shd w:val="clear" w:color="auto" w:fill="auto"/>
            <w:noWrap/>
            <w:vAlign w:val="center"/>
            <w:hideMark/>
          </w:tcPr>
          <w:p w14:paraId="17B859E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98</w:t>
            </w:r>
          </w:p>
        </w:tc>
      </w:tr>
      <w:tr w:rsidR="00406C2B" w:rsidRPr="00C65C45" w14:paraId="329C49D9" w14:textId="77777777" w:rsidTr="00406C2B">
        <w:trPr>
          <w:trHeight w:val="300"/>
        </w:trPr>
        <w:tc>
          <w:tcPr>
            <w:tcW w:w="988" w:type="dxa"/>
            <w:shd w:val="clear" w:color="auto" w:fill="auto"/>
            <w:noWrap/>
            <w:vAlign w:val="center"/>
            <w:hideMark/>
          </w:tcPr>
          <w:p w14:paraId="0F6975D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98</w:t>
            </w:r>
          </w:p>
        </w:tc>
        <w:tc>
          <w:tcPr>
            <w:tcW w:w="6237" w:type="dxa"/>
            <w:shd w:val="clear" w:color="auto" w:fill="auto"/>
            <w:noWrap/>
            <w:vAlign w:val="center"/>
            <w:hideMark/>
          </w:tcPr>
          <w:p w14:paraId="5BD977F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azufre evaluadas en la provincia de Chimborazo 2012-2014.</w:t>
            </w:r>
          </w:p>
        </w:tc>
        <w:tc>
          <w:tcPr>
            <w:tcW w:w="1134" w:type="dxa"/>
            <w:shd w:val="clear" w:color="auto" w:fill="auto"/>
            <w:noWrap/>
            <w:vAlign w:val="center"/>
            <w:hideMark/>
          </w:tcPr>
          <w:p w14:paraId="40DB280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99</w:t>
            </w:r>
          </w:p>
        </w:tc>
      </w:tr>
      <w:tr w:rsidR="00406C2B" w:rsidRPr="00C65C45" w14:paraId="7E22FA7E" w14:textId="77777777" w:rsidTr="00406C2B">
        <w:trPr>
          <w:trHeight w:val="300"/>
        </w:trPr>
        <w:tc>
          <w:tcPr>
            <w:tcW w:w="988" w:type="dxa"/>
            <w:shd w:val="clear" w:color="auto" w:fill="auto"/>
            <w:noWrap/>
            <w:vAlign w:val="center"/>
            <w:hideMark/>
          </w:tcPr>
          <w:p w14:paraId="30C9DC7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99</w:t>
            </w:r>
          </w:p>
        </w:tc>
        <w:tc>
          <w:tcPr>
            <w:tcW w:w="6237" w:type="dxa"/>
            <w:shd w:val="clear" w:color="auto" w:fill="auto"/>
            <w:noWrap/>
            <w:vAlign w:val="center"/>
            <w:hideMark/>
          </w:tcPr>
          <w:p w14:paraId="4B1C1B92"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para diversas dosis de magnesio evaluadas en la provincia de Chimborazo 2012-2014.</w:t>
            </w:r>
          </w:p>
        </w:tc>
        <w:tc>
          <w:tcPr>
            <w:tcW w:w="1134" w:type="dxa"/>
            <w:shd w:val="clear" w:color="auto" w:fill="auto"/>
            <w:noWrap/>
            <w:vAlign w:val="center"/>
            <w:hideMark/>
          </w:tcPr>
          <w:p w14:paraId="105A956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99</w:t>
            </w:r>
          </w:p>
        </w:tc>
      </w:tr>
      <w:tr w:rsidR="00406C2B" w:rsidRPr="00C65C45" w14:paraId="52277FCA" w14:textId="77777777" w:rsidTr="00406C2B">
        <w:trPr>
          <w:trHeight w:val="300"/>
        </w:trPr>
        <w:tc>
          <w:tcPr>
            <w:tcW w:w="988" w:type="dxa"/>
            <w:shd w:val="clear" w:color="auto" w:fill="auto"/>
            <w:noWrap/>
            <w:vAlign w:val="center"/>
            <w:hideMark/>
          </w:tcPr>
          <w:p w14:paraId="1EF09EB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100</w:t>
            </w:r>
          </w:p>
        </w:tc>
        <w:tc>
          <w:tcPr>
            <w:tcW w:w="6237" w:type="dxa"/>
            <w:shd w:val="clear" w:color="auto" w:fill="auto"/>
            <w:noWrap/>
            <w:vAlign w:val="center"/>
            <w:hideMark/>
          </w:tcPr>
          <w:p w14:paraId="1004F44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el rendimiento de maíz suave en grano seco, evaluado en la provincia de Imbabura (2010-2015).</w:t>
            </w:r>
          </w:p>
        </w:tc>
        <w:tc>
          <w:tcPr>
            <w:tcW w:w="1134" w:type="dxa"/>
            <w:shd w:val="clear" w:color="auto" w:fill="auto"/>
            <w:noWrap/>
            <w:vAlign w:val="center"/>
            <w:hideMark/>
          </w:tcPr>
          <w:p w14:paraId="291CD51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101</w:t>
            </w:r>
          </w:p>
        </w:tc>
      </w:tr>
      <w:tr w:rsidR="00406C2B" w:rsidRPr="00C65C45" w14:paraId="67EA00E8" w14:textId="77777777" w:rsidTr="00406C2B">
        <w:trPr>
          <w:trHeight w:val="300"/>
        </w:trPr>
        <w:tc>
          <w:tcPr>
            <w:tcW w:w="988" w:type="dxa"/>
            <w:shd w:val="clear" w:color="auto" w:fill="auto"/>
            <w:noWrap/>
            <w:vAlign w:val="center"/>
            <w:hideMark/>
          </w:tcPr>
          <w:p w14:paraId="505E373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101</w:t>
            </w:r>
          </w:p>
        </w:tc>
        <w:tc>
          <w:tcPr>
            <w:tcW w:w="6237" w:type="dxa"/>
            <w:shd w:val="clear" w:color="auto" w:fill="auto"/>
            <w:noWrap/>
            <w:vAlign w:val="center"/>
            <w:hideMark/>
          </w:tcPr>
          <w:p w14:paraId="4978C96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evaluado en varias localidades (parroquia) de la provincia de Imbabura, 2010-2015.</w:t>
            </w:r>
          </w:p>
        </w:tc>
        <w:tc>
          <w:tcPr>
            <w:tcW w:w="1134" w:type="dxa"/>
            <w:shd w:val="clear" w:color="auto" w:fill="auto"/>
            <w:noWrap/>
            <w:vAlign w:val="center"/>
            <w:hideMark/>
          </w:tcPr>
          <w:p w14:paraId="39D2D2B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102</w:t>
            </w:r>
          </w:p>
        </w:tc>
      </w:tr>
      <w:tr w:rsidR="00406C2B" w:rsidRPr="00C65C45" w14:paraId="2B9AE763" w14:textId="77777777" w:rsidTr="00406C2B">
        <w:trPr>
          <w:trHeight w:val="300"/>
        </w:trPr>
        <w:tc>
          <w:tcPr>
            <w:tcW w:w="988" w:type="dxa"/>
            <w:shd w:val="clear" w:color="auto" w:fill="auto"/>
            <w:noWrap/>
            <w:vAlign w:val="center"/>
            <w:hideMark/>
          </w:tcPr>
          <w:p w14:paraId="1731A2F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102</w:t>
            </w:r>
          </w:p>
        </w:tc>
        <w:tc>
          <w:tcPr>
            <w:tcW w:w="6237" w:type="dxa"/>
            <w:shd w:val="clear" w:color="auto" w:fill="auto"/>
            <w:noWrap/>
            <w:vAlign w:val="center"/>
            <w:hideMark/>
          </w:tcPr>
          <w:p w14:paraId="6646B486"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varias dosis de nitrógeno evaluados en la provincia de Imbabura, 2010-2015.</w:t>
            </w:r>
          </w:p>
        </w:tc>
        <w:tc>
          <w:tcPr>
            <w:tcW w:w="1134" w:type="dxa"/>
            <w:shd w:val="clear" w:color="auto" w:fill="auto"/>
            <w:noWrap/>
            <w:vAlign w:val="center"/>
            <w:hideMark/>
          </w:tcPr>
          <w:p w14:paraId="4188791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102</w:t>
            </w:r>
          </w:p>
        </w:tc>
      </w:tr>
      <w:tr w:rsidR="00406C2B" w:rsidRPr="00C65C45" w14:paraId="264B7ED3" w14:textId="77777777" w:rsidTr="00406C2B">
        <w:trPr>
          <w:trHeight w:val="300"/>
        </w:trPr>
        <w:tc>
          <w:tcPr>
            <w:tcW w:w="988" w:type="dxa"/>
            <w:shd w:val="clear" w:color="auto" w:fill="auto"/>
            <w:noWrap/>
            <w:vAlign w:val="center"/>
            <w:hideMark/>
          </w:tcPr>
          <w:p w14:paraId="70AB8DF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103</w:t>
            </w:r>
          </w:p>
        </w:tc>
        <w:tc>
          <w:tcPr>
            <w:tcW w:w="6237" w:type="dxa"/>
            <w:shd w:val="clear" w:color="auto" w:fill="auto"/>
            <w:noWrap/>
            <w:vAlign w:val="center"/>
            <w:hideMark/>
          </w:tcPr>
          <w:p w14:paraId="007318A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varias dosis de fósforo evaluados en la provincia de Imbabura, 2010-2015.</w:t>
            </w:r>
          </w:p>
        </w:tc>
        <w:tc>
          <w:tcPr>
            <w:tcW w:w="1134" w:type="dxa"/>
            <w:shd w:val="clear" w:color="auto" w:fill="auto"/>
            <w:noWrap/>
            <w:vAlign w:val="center"/>
            <w:hideMark/>
          </w:tcPr>
          <w:p w14:paraId="5A84736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102</w:t>
            </w:r>
          </w:p>
        </w:tc>
      </w:tr>
      <w:tr w:rsidR="00406C2B" w:rsidRPr="00C65C45" w14:paraId="0F532263" w14:textId="77777777" w:rsidTr="00406C2B">
        <w:trPr>
          <w:trHeight w:val="300"/>
        </w:trPr>
        <w:tc>
          <w:tcPr>
            <w:tcW w:w="988" w:type="dxa"/>
            <w:shd w:val="clear" w:color="auto" w:fill="auto"/>
            <w:noWrap/>
            <w:vAlign w:val="center"/>
            <w:hideMark/>
          </w:tcPr>
          <w:p w14:paraId="394D2C2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104</w:t>
            </w:r>
          </w:p>
        </w:tc>
        <w:tc>
          <w:tcPr>
            <w:tcW w:w="6237" w:type="dxa"/>
            <w:shd w:val="clear" w:color="auto" w:fill="auto"/>
            <w:noWrap/>
            <w:vAlign w:val="center"/>
            <w:hideMark/>
          </w:tcPr>
          <w:p w14:paraId="60A2F92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varias dosis de potasio evaluados en la provincia de Imbabura, 2010-2015.</w:t>
            </w:r>
          </w:p>
        </w:tc>
        <w:tc>
          <w:tcPr>
            <w:tcW w:w="1134" w:type="dxa"/>
            <w:shd w:val="clear" w:color="auto" w:fill="auto"/>
            <w:noWrap/>
            <w:vAlign w:val="center"/>
            <w:hideMark/>
          </w:tcPr>
          <w:p w14:paraId="673C4C9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103</w:t>
            </w:r>
          </w:p>
        </w:tc>
      </w:tr>
      <w:tr w:rsidR="00406C2B" w:rsidRPr="00C65C45" w14:paraId="7A8EB194" w14:textId="77777777" w:rsidTr="00406C2B">
        <w:trPr>
          <w:trHeight w:val="300"/>
        </w:trPr>
        <w:tc>
          <w:tcPr>
            <w:tcW w:w="988" w:type="dxa"/>
            <w:shd w:val="clear" w:color="auto" w:fill="auto"/>
            <w:noWrap/>
            <w:vAlign w:val="center"/>
            <w:hideMark/>
          </w:tcPr>
          <w:p w14:paraId="035AE82A"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105</w:t>
            </w:r>
          </w:p>
        </w:tc>
        <w:tc>
          <w:tcPr>
            <w:tcW w:w="6237" w:type="dxa"/>
            <w:shd w:val="clear" w:color="auto" w:fill="auto"/>
            <w:noWrap/>
            <w:vAlign w:val="center"/>
            <w:hideMark/>
          </w:tcPr>
          <w:p w14:paraId="51894F9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varias dosis de azufre evaluados en la provincia de Imbabura, 2010-2015.</w:t>
            </w:r>
          </w:p>
        </w:tc>
        <w:tc>
          <w:tcPr>
            <w:tcW w:w="1134" w:type="dxa"/>
            <w:shd w:val="clear" w:color="auto" w:fill="auto"/>
            <w:noWrap/>
            <w:vAlign w:val="center"/>
            <w:hideMark/>
          </w:tcPr>
          <w:p w14:paraId="1BBE9CB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103</w:t>
            </w:r>
          </w:p>
        </w:tc>
      </w:tr>
      <w:tr w:rsidR="00406C2B" w:rsidRPr="00C65C45" w14:paraId="537D169D" w14:textId="77777777" w:rsidTr="00406C2B">
        <w:trPr>
          <w:trHeight w:val="300"/>
        </w:trPr>
        <w:tc>
          <w:tcPr>
            <w:tcW w:w="988" w:type="dxa"/>
            <w:shd w:val="clear" w:color="auto" w:fill="auto"/>
            <w:noWrap/>
            <w:vAlign w:val="center"/>
            <w:hideMark/>
          </w:tcPr>
          <w:p w14:paraId="4F3F753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106</w:t>
            </w:r>
          </w:p>
        </w:tc>
        <w:tc>
          <w:tcPr>
            <w:tcW w:w="6237" w:type="dxa"/>
            <w:shd w:val="clear" w:color="auto" w:fill="auto"/>
            <w:noWrap/>
            <w:vAlign w:val="center"/>
            <w:hideMark/>
          </w:tcPr>
          <w:p w14:paraId="507FF7D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varias dosis de azufre evaluados en la provincia de Imbabura, 2010-2015.</w:t>
            </w:r>
          </w:p>
        </w:tc>
        <w:tc>
          <w:tcPr>
            <w:tcW w:w="1134" w:type="dxa"/>
            <w:shd w:val="clear" w:color="auto" w:fill="auto"/>
            <w:noWrap/>
            <w:vAlign w:val="center"/>
            <w:hideMark/>
          </w:tcPr>
          <w:p w14:paraId="585517C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103</w:t>
            </w:r>
          </w:p>
        </w:tc>
      </w:tr>
      <w:tr w:rsidR="00406C2B" w:rsidRPr="00C65C45" w14:paraId="078A547C" w14:textId="77777777" w:rsidTr="00406C2B">
        <w:trPr>
          <w:trHeight w:val="300"/>
        </w:trPr>
        <w:tc>
          <w:tcPr>
            <w:tcW w:w="988" w:type="dxa"/>
            <w:shd w:val="clear" w:color="auto" w:fill="auto"/>
            <w:noWrap/>
            <w:vAlign w:val="center"/>
            <w:hideMark/>
          </w:tcPr>
          <w:p w14:paraId="00D9542A"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107</w:t>
            </w:r>
          </w:p>
        </w:tc>
        <w:tc>
          <w:tcPr>
            <w:tcW w:w="6237" w:type="dxa"/>
            <w:shd w:val="clear" w:color="auto" w:fill="auto"/>
            <w:noWrap/>
            <w:vAlign w:val="center"/>
            <w:hideMark/>
          </w:tcPr>
          <w:p w14:paraId="2C7E7B8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nitrógeno de maíz suave, evaluado en la provincia de Imbabura (2010-2015).</w:t>
            </w:r>
          </w:p>
        </w:tc>
        <w:tc>
          <w:tcPr>
            <w:tcW w:w="1134" w:type="dxa"/>
            <w:shd w:val="clear" w:color="auto" w:fill="auto"/>
            <w:noWrap/>
            <w:vAlign w:val="center"/>
            <w:hideMark/>
          </w:tcPr>
          <w:p w14:paraId="0B56446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105</w:t>
            </w:r>
          </w:p>
        </w:tc>
      </w:tr>
      <w:tr w:rsidR="00406C2B" w:rsidRPr="00C65C45" w14:paraId="5BBD10DA" w14:textId="77777777" w:rsidTr="00406C2B">
        <w:trPr>
          <w:trHeight w:val="300"/>
        </w:trPr>
        <w:tc>
          <w:tcPr>
            <w:tcW w:w="988" w:type="dxa"/>
            <w:shd w:val="clear" w:color="auto" w:fill="auto"/>
            <w:noWrap/>
            <w:vAlign w:val="center"/>
            <w:hideMark/>
          </w:tcPr>
          <w:p w14:paraId="60D7D1F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108</w:t>
            </w:r>
          </w:p>
        </w:tc>
        <w:tc>
          <w:tcPr>
            <w:tcW w:w="6237" w:type="dxa"/>
            <w:shd w:val="clear" w:color="auto" w:fill="auto"/>
            <w:noWrap/>
            <w:vAlign w:val="center"/>
            <w:hideMark/>
          </w:tcPr>
          <w:p w14:paraId="529E68F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maíz suave, evaluado por localidades (parroquia) en la provincia de Imbabura, 2010-2015.</w:t>
            </w:r>
          </w:p>
        </w:tc>
        <w:tc>
          <w:tcPr>
            <w:tcW w:w="1134" w:type="dxa"/>
            <w:shd w:val="clear" w:color="auto" w:fill="auto"/>
            <w:noWrap/>
            <w:vAlign w:val="center"/>
            <w:hideMark/>
          </w:tcPr>
          <w:p w14:paraId="222E0D3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106</w:t>
            </w:r>
          </w:p>
        </w:tc>
      </w:tr>
      <w:tr w:rsidR="00406C2B" w:rsidRPr="00C65C45" w14:paraId="42E7C8A6" w14:textId="77777777" w:rsidTr="00406C2B">
        <w:trPr>
          <w:trHeight w:val="300"/>
        </w:trPr>
        <w:tc>
          <w:tcPr>
            <w:tcW w:w="988" w:type="dxa"/>
            <w:shd w:val="clear" w:color="auto" w:fill="auto"/>
            <w:noWrap/>
            <w:vAlign w:val="center"/>
            <w:hideMark/>
          </w:tcPr>
          <w:p w14:paraId="7F3C654A"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109</w:t>
            </w:r>
          </w:p>
        </w:tc>
        <w:tc>
          <w:tcPr>
            <w:tcW w:w="6237" w:type="dxa"/>
            <w:shd w:val="clear" w:color="auto" w:fill="auto"/>
            <w:noWrap/>
            <w:vAlign w:val="center"/>
            <w:hideMark/>
          </w:tcPr>
          <w:p w14:paraId="4B06CFE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maíz suave para diversas dosis de nitrógeno evaluadas en la provincia de Imbabura 2010-2015.</w:t>
            </w:r>
          </w:p>
        </w:tc>
        <w:tc>
          <w:tcPr>
            <w:tcW w:w="1134" w:type="dxa"/>
            <w:shd w:val="clear" w:color="auto" w:fill="auto"/>
            <w:noWrap/>
            <w:vAlign w:val="center"/>
            <w:hideMark/>
          </w:tcPr>
          <w:p w14:paraId="5F61B84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106</w:t>
            </w:r>
          </w:p>
        </w:tc>
      </w:tr>
      <w:tr w:rsidR="00406C2B" w:rsidRPr="00C65C45" w14:paraId="4650C570" w14:textId="77777777" w:rsidTr="00406C2B">
        <w:trPr>
          <w:trHeight w:val="300"/>
        </w:trPr>
        <w:tc>
          <w:tcPr>
            <w:tcW w:w="988" w:type="dxa"/>
            <w:shd w:val="clear" w:color="auto" w:fill="auto"/>
            <w:noWrap/>
            <w:vAlign w:val="center"/>
            <w:hideMark/>
          </w:tcPr>
          <w:p w14:paraId="5109530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110</w:t>
            </w:r>
          </w:p>
        </w:tc>
        <w:tc>
          <w:tcPr>
            <w:tcW w:w="6237" w:type="dxa"/>
            <w:shd w:val="clear" w:color="auto" w:fill="auto"/>
            <w:noWrap/>
            <w:vAlign w:val="center"/>
            <w:hideMark/>
          </w:tcPr>
          <w:p w14:paraId="6DC2513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maíz para diversas dosis de fósforo evaluados en la provincia de Imbabura, 2010-2015.</w:t>
            </w:r>
          </w:p>
        </w:tc>
        <w:tc>
          <w:tcPr>
            <w:tcW w:w="1134" w:type="dxa"/>
            <w:shd w:val="clear" w:color="auto" w:fill="auto"/>
            <w:noWrap/>
            <w:vAlign w:val="center"/>
            <w:hideMark/>
          </w:tcPr>
          <w:p w14:paraId="52B35F0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106</w:t>
            </w:r>
          </w:p>
        </w:tc>
      </w:tr>
      <w:tr w:rsidR="00406C2B" w:rsidRPr="00C65C45" w14:paraId="30C10A58" w14:textId="77777777" w:rsidTr="00406C2B">
        <w:trPr>
          <w:trHeight w:val="300"/>
        </w:trPr>
        <w:tc>
          <w:tcPr>
            <w:tcW w:w="988" w:type="dxa"/>
            <w:shd w:val="clear" w:color="auto" w:fill="auto"/>
            <w:noWrap/>
            <w:vAlign w:val="center"/>
            <w:hideMark/>
          </w:tcPr>
          <w:p w14:paraId="23B3413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111</w:t>
            </w:r>
          </w:p>
        </w:tc>
        <w:tc>
          <w:tcPr>
            <w:tcW w:w="6237" w:type="dxa"/>
            <w:shd w:val="clear" w:color="auto" w:fill="auto"/>
            <w:noWrap/>
            <w:vAlign w:val="center"/>
            <w:hideMark/>
          </w:tcPr>
          <w:p w14:paraId="2EDA9C0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maíz suave para diversas dosis de potasio evaluadas en la provincia de Imbabura 2010-2015.</w:t>
            </w:r>
          </w:p>
        </w:tc>
        <w:tc>
          <w:tcPr>
            <w:tcW w:w="1134" w:type="dxa"/>
            <w:shd w:val="clear" w:color="auto" w:fill="auto"/>
            <w:noWrap/>
            <w:vAlign w:val="center"/>
            <w:hideMark/>
          </w:tcPr>
          <w:p w14:paraId="13A15ED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107</w:t>
            </w:r>
          </w:p>
        </w:tc>
      </w:tr>
      <w:tr w:rsidR="00406C2B" w:rsidRPr="00C65C45" w14:paraId="1F418D48" w14:textId="77777777" w:rsidTr="00406C2B">
        <w:trPr>
          <w:trHeight w:val="300"/>
        </w:trPr>
        <w:tc>
          <w:tcPr>
            <w:tcW w:w="988" w:type="dxa"/>
            <w:shd w:val="clear" w:color="auto" w:fill="auto"/>
            <w:noWrap/>
            <w:vAlign w:val="center"/>
            <w:hideMark/>
          </w:tcPr>
          <w:p w14:paraId="78B6A57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112</w:t>
            </w:r>
          </w:p>
        </w:tc>
        <w:tc>
          <w:tcPr>
            <w:tcW w:w="6237" w:type="dxa"/>
            <w:shd w:val="clear" w:color="auto" w:fill="auto"/>
            <w:noWrap/>
            <w:vAlign w:val="center"/>
            <w:hideMark/>
          </w:tcPr>
          <w:p w14:paraId="11F5A0D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maíz suave para diversas dosis de azufre evaluadas en la provincia de Imbabura 2010-2015.</w:t>
            </w:r>
          </w:p>
        </w:tc>
        <w:tc>
          <w:tcPr>
            <w:tcW w:w="1134" w:type="dxa"/>
            <w:shd w:val="clear" w:color="auto" w:fill="auto"/>
            <w:noWrap/>
            <w:vAlign w:val="center"/>
            <w:hideMark/>
          </w:tcPr>
          <w:p w14:paraId="17291CC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107</w:t>
            </w:r>
          </w:p>
        </w:tc>
      </w:tr>
      <w:tr w:rsidR="00406C2B" w:rsidRPr="00C65C45" w14:paraId="0AA2FED5" w14:textId="77777777" w:rsidTr="00406C2B">
        <w:trPr>
          <w:trHeight w:val="300"/>
        </w:trPr>
        <w:tc>
          <w:tcPr>
            <w:tcW w:w="988" w:type="dxa"/>
            <w:shd w:val="clear" w:color="auto" w:fill="auto"/>
            <w:noWrap/>
            <w:vAlign w:val="center"/>
            <w:hideMark/>
          </w:tcPr>
          <w:p w14:paraId="30D5C33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113</w:t>
            </w:r>
          </w:p>
        </w:tc>
        <w:tc>
          <w:tcPr>
            <w:tcW w:w="6237" w:type="dxa"/>
            <w:shd w:val="clear" w:color="auto" w:fill="auto"/>
            <w:noWrap/>
            <w:vAlign w:val="center"/>
            <w:hideMark/>
          </w:tcPr>
          <w:p w14:paraId="13AF20C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maíz suave para diversas dosis de magnesio evaluadas en la provincia de Imbabura 2010-2015.</w:t>
            </w:r>
          </w:p>
        </w:tc>
        <w:tc>
          <w:tcPr>
            <w:tcW w:w="1134" w:type="dxa"/>
            <w:shd w:val="clear" w:color="auto" w:fill="auto"/>
            <w:noWrap/>
            <w:vAlign w:val="center"/>
            <w:hideMark/>
          </w:tcPr>
          <w:p w14:paraId="408A09B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107</w:t>
            </w:r>
          </w:p>
        </w:tc>
      </w:tr>
      <w:tr w:rsidR="00406C2B" w:rsidRPr="00C65C45" w14:paraId="541DA1C6" w14:textId="77777777" w:rsidTr="00406C2B">
        <w:trPr>
          <w:trHeight w:val="300"/>
        </w:trPr>
        <w:tc>
          <w:tcPr>
            <w:tcW w:w="988" w:type="dxa"/>
            <w:shd w:val="clear" w:color="auto" w:fill="auto"/>
            <w:noWrap/>
            <w:vAlign w:val="center"/>
            <w:hideMark/>
          </w:tcPr>
          <w:p w14:paraId="2A16ECF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114</w:t>
            </w:r>
          </w:p>
        </w:tc>
        <w:tc>
          <w:tcPr>
            <w:tcW w:w="6237" w:type="dxa"/>
            <w:shd w:val="clear" w:color="auto" w:fill="auto"/>
            <w:noWrap/>
            <w:vAlign w:val="center"/>
            <w:hideMark/>
          </w:tcPr>
          <w:p w14:paraId="4C8CE94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fósforo de maíz suave en grano seco, evaluado en la provincia de Imbabura 2010-2015.</w:t>
            </w:r>
          </w:p>
        </w:tc>
        <w:tc>
          <w:tcPr>
            <w:tcW w:w="1134" w:type="dxa"/>
            <w:shd w:val="clear" w:color="auto" w:fill="auto"/>
            <w:noWrap/>
            <w:vAlign w:val="center"/>
            <w:hideMark/>
          </w:tcPr>
          <w:p w14:paraId="54DD980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108</w:t>
            </w:r>
          </w:p>
        </w:tc>
      </w:tr>
      <w:tr w:rsidR="00406C2B" w:rsidRPr="00C65C45" w14:paraId="098D7C12" w14:textId="77777777" w:rsidTr="00406C2B">
        <w:trPr>
          <w:trHeight w:val="300"/>
        </w:trPr>
        <w:tc>
          <w:tcPr>
            <w:tcW w:w="988" w:type="dxa"/>
            <w:shd w:val="clear" w:color="auto" w:fill="auto"/>
            <w:noWrap/>
            <w:vAlign w:val="center"/>
            <w:hideMark/>
          </w:tcPr>
          <w:p w14:paraId="0FD41E58"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115</w:t>
            </w:r>
          </w:p>
        </w:tc>
        <w:tc>
          <w:tcPr>
            <w:tcW w:w="6237" w:type="dxa"/>
            <w:shd w:val="clear" w:color="auto" w:fill="auto"/>
            <w:noWrap/>
            <w:vAlign w:val="center"/>
            <w:hideMark/>
          </w:tcPr>
          <w:p w14:paraId="579CE1A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plantas de maíz suave, evaluado por localidades (parroquia) en la provincia de Imbabura 2010-2015.</w:t>
            </w:r>
          </w:p>
        </w:tc>
        <w:tc>
          <w:tcPr>
            <w:tcW w:w="1134" w:type="dxa"/>
            <w:shd w:val="clear" w:color="auto" w:fill="auto"/>
            <w:noWrap/>
            <w:vAlign w:val="center"/>
            <w:hideMark/>
          </w:tcPr>
          <w:p w14:paraId="3889625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109</w:t>
            </w:r>
          </w:p>
        </w:tc>
      </w:tr>
      <w:tr w:rsidR="00406C2B" w:rsidRPr="00C65C45" w14:paraId="6937C644" w14:textId="77777777" w:rsidTr="00406C2B">
        <w:trPr>
          <w:trHeight w:val="300"/>
        </w:trPr>
        <w:tc>
          <w:tcPr>
            <w:tcW w:w="988" w:type="dxa"/>
            <w:shd w:val="clear" w:color="auto" w:fill="auto"/>
            <w:noWrap/>
            <w:vAlign w:val="center"/>
            <w:hideMark/>
          </w:tcPr>
          <w:p w14:paraId="13DD6C5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116</w:t>
            </w:r>
          </w:p>
        </w:tc>
        <w:tc>
          <w:tcPr>
            <w:tcW w:w="6237" w:type="dxa"/>
            <w:shd w:val="clear" w:color="auto" w:fill="auto"/>
            <w:noWrap/>
            <w:vAlign w:val="center"/>
            <w:hideMark/>
          </w:tcPr>
          <w:p w14:paraId="30915EF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maíz suave para diversas dosis de nitrógeno evaluadas en la provincia de Imbabura 2010-2015.</w:t>
            </w:r>
          </w:p>
        </w:tc>
        <w:tc>
          <w:tcPr>
            <w:tcW w:w="1134" w:type="dxa"/>
            <w:shd w:val="clear" w:color="auto" w:fill="auto"/>
            <w:noWrap/>
            <w:vAlign w:val="center"/>
            <w:hideMark/>
          </w:tcPr>
          <w:p w14:paraId="53F4965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109</w:t>
            </w:r>
          </w:p>
        </w:tc>
      </w:tr>
      <w:tr w:rsidR="00406C2B" w:rsidRPr="00C65C45" w14:paraId="2EA26D94" w14:textId="77777777" w:rsidTr="00406C2B">
        <w:trPr>
          <w:trHeight w:val="300"/>
        </w:trPr>
        <w:tc>
          <w:tcPr>
            <w:tcW w:w="988" w:type="dxa"/>
            <w:shd w:val="clear" w:color="auto" w:fill="auto"/>
            <w:noWrap/>
            <w:vAlign w:val="center"/>
            <w:hideMark/>
          </w:tcPr>
          <w:p w14:paraId="1BBE0FE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117</w:t>
            </w:r>
          </w:p>
        </w:tc>
        <w:tc>
          <w:tcPr>
            <w:tcW w:w="6237" w:type="dxa"/>
            <w:shd w:val="clear" w:color="auto" w:fill="auto"/>
            <w:noWrap/>
            <w:vAlign w:val="center"/>
            <w:hideMark/>
          </w:tcPr>
          <w:p w14:paraId="657595D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maíz suave para diversas dosis de fósforo evaluadas en la provincia de Imbabura 2010-2015.</w:t>
            </w:r>
          </w:p>
        </w:tc>
        <w:tc>
          <w:tcPr>
            <w:tcW w:w="1134" w:type="dxa"/>
            <w:shd w:val="clear" w:color="auto" w:fill="auto"/>
            <w:noWrap/>
            <w:vAlign w:val="center"/>
            <w:hideMark/>
          </w:tcPr>
          <w:p w14:paraId="6B015EE5"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110</w:t>
            </w:r>
          </w:p>
        </w:tc>
      </w:tr>
      <w:tr w:rsidR="00406C2B" w:rsidRPr="00C65C45" w14:paraId="43D335D1" w14:textId="77777777" w:rsidTr="00406C2B">
        <w:trPr>
          <w:trHeight w:val="300"/>
        </w:trPr>
        <w:tc>
          <w:tcPr>
            <w:tcW w:w="988" w:type="dxa"/>
            <w:shd w:val="clear" w:color="auto" w:fill="auto"/>
            <w:noWrap/>
            <w:vAlign w:val="center"/>
            <w:hideMark/>
          </w:tcPr>
          <w:p w14:paraId="2852A04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118</w:t>
            </w:r>
          </w:p>
        </w:tc>
        <w:tc>
          <w:tcPr>
            <w:tcW w:w="6237" w:type="dxa"/>
            <w:shd w:val="clear" w:color="auto" w:fill="auto"/>
            <w:noWrap/>
            <w:vAlign w:val="center"/>
            <w:hideMark/>
          </w:tcPr>
          <w:p w14:paraId="04DCAC8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maíz suave para diversas dosis de potasio evaluadas en la provincia de Imbabura 2010-2015.</w:t>
            </w:r>
          </w:p>
        </w:tc>
        <w:tc>
          <w:tcPr>
            <w:tcW w:w="1134" w:type="dxa"/>
            <w:shd w:val="clear" w:color="auto" w:fill="auto"/>
            <w:noWrap/>
            <w:vAlign w:val="center"/>
            <w:hideMark/>
          </w:tcPr>
          <w:p w14:paraId="20D26E0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110</w:t>
            </w:r>
          </w:p>
        </w:tc>
      </w:tr>
      <w:tr w:rsidR="00406C2B" w:rsidRPr="00C65C45" w14:paraId="1C887B6E" w14:textId="77777777" w:rsidTr="00406C2B">
        <w:trPr>
          <w:trHeight w:val="300"/>
        </w:trPr>
        <w:tc>
          <w:tcPr>
            <w:tcW w:w="988" w:type="dxa"/>
            <w:shd w:val="clear" w:color="auto" w:fill="auto"/>
            <w:noWrap/>
            <w:vAlign w:val="center"/>
            <w:hideMark/>
          </w:tcPr>
          <w:p w14:paraId="18C46CC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119</w:t>
            </w:r>
          </w:p>
        </w:tc>
        <w:tc>
          <w:tcPr>
            <w:tcW w:w="6237" w:type="dxa"/>
            <w:shd w:val="clear" w:color="auto" w:fill="auto"/>
            <w:noWrap/>
            <w:vAlign w:val="center"/>
            <w:hideMark/>
          </w:tcPr>
          <w:p w14:paraId="428D6CE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maíz suave para diversas dosis de azufre evaluadas en la provincia de Imbabura 2010-2015.</w:t>
            </w:r>
          </w:p>
        </w:tc>
        <w:tc>
          <w:tcPr>
            <w:tcW w:w="1134" w:type="dxa"/>
            <w:shd w:val="clear" w:color="auto" w:fill="auto"/>
            <w:noWrap/>
            <w:vAlign w:val="center"/>
            <w:hideMark/>
          </w:tcPr>
          <w:p w14:paraId="4696A6C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110</w:t>
            </w:r>
          </w:p>
        </w:tc>
      </w:tr>
      <w:tr w:rsidR="00406C2B" w:rsidRPr="00C65C45" w14:paraId="459D957C" w14:textId="77777777" w:rsidTr="00406C2B">
        <w:trPr>
          <w:trHeight w:val="300"/>
        </w:trPr>
        <w:tc>
          <w:tcPr>
            <w:tcW w:w="988" w:type="dxa"/>
            <w:shd w:val="clear" w:color="auto" w:fill="auto"/>
            <w:noWrap/>
            <w:vAlign w:val="center"/>
            <w:hideMark/>
          </w:tcPr>
          <w:p w14:paraId="3AF3F6B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120</w:t>
            </w:r>
          </w:p>
        </w:tc>
        <w:tc>
          <w:tcPr>
            <w:tcW w:w="6237" w:type="dxa"/>
            <w:shd w:val="clear" w:color="auto" w:fill="auto"/>
            <w:noWrap/>
            <w:vAlign w:val="center"/>
            <w:hideMark/>
          </w:tcPr>
          <w:p w14:paraId="3C4C967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maíz suave para diversas dosis de magnesio evaluadas en la provincia de Imbabura 2010-2015.</w:t>
            </w:r>
          </w:p>
        </w:tc>
        <w:tc>
          <w:tcPr>
            <w:tcW w:w="1134" w:type="dxa"/>
            <w:shd w:val="clear" w:color="auto" w:fill="auto"/>
            <w:noWrap/>
            <w:vAlign w:val="center"/>
            <w:hideMark/>
          </w:tcPr>
          <w:p w14:paraId="6134E76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110</w:t>
            </w:r>
          </w:p>
        </w:tc>
      </w:tr>
      <w:tr w:rsidR="00406C2B" w:rsidRPr="00C65C45" w14:paraId="196CD7AE" w14:textId="77777777" w:rsidTr="00406C2B">
        <w:trPr>
          <w:trHeight w:val="300"/>
        </w:trPr>
        <w:tc>
          <w:tcPr>
            <w:tcW w:w="988" w:type="dxa"/>
            <w:shd w:val="clear" w:color="auto" w:fill="auto"/>
            <w:noWrap/>
            <w:vAlign w:val="center"/>
            <w:hideMark/>
          </w:tcPr>
          <w:p w14:paraId="497C8BB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121</w:t>
            </w:r>
          </w:p>
        </w:tc>
        <w:tc>
          <w:tcPr>
            <w:tcW w:w="6237" w:type="dxa"/>
            <w:shd w:val="clear" w:color="auto" w:fill="auto"/>
            <w:noWrap/>
            <w:vAlign w:val="center"/>
            <w:hideMark/>
          </w:tcPr>
          <w:p w14:paraId="4A07D06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potasio de maíz suave, evaluado en la provincia de Imbabura (2010-2015).</w:t>
            </w:r>
          </w:p>
        </w:tc>
        <w:tc>
          <w:tcPr>
            <w:tcW w:w="1134" w:type="dxa"/>
            <w:shd w:val="clear" w:color="auto" w:fill="auto"/>
            <w:noWrap/>
            <w:vAlign w:val="center"/>
            <w:hideMark/>
          </w:tcPr>
          <w:p w14:paraId="28D1F33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112</w:t>
            </w:r>
          </w:p>
        </w:tc>
      </w:tr>
      <w:tr w:rsidR="00406C2B" w:rsidRPr="00C65C45" w14:paraId="32A6F427" w14:textId="77777777" w:rsidTr="00406C2B">
        <w:trPr>
          <w:trHeight w:val="300"/>
        </w:trPr>
        <w:tc>
          <w:tcPr>
            <w:tcW w:w="988" w:type="dxa"/>
            <w:shd w:val="clear" w:color="auto" w:fill="auto"/>
            <w:noWrap/>
            <w:vAlign w:val="center"/>
            <w:hideMark/>
          </w:tcPr>
          <w:p w14:paraId="7F9AFF5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122</w:t>
            </w:r>
          </w:p>
        </w:tc>
        <w:tc>
          <w:tcPr>
            <w:tcW w:w="6237" w:type="dxa"/>
            <w:shd w:val="clear" w:color="auto" w:fill="auto"/>
            <w:noWrap/>
            <w:vAlign w:val="center"/>
            <w:hideMark/>
          </w:tcPr>
          <w:p w14:paraId="78433B6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de plantas de maíz suave, evaluado por localidades (parroquia) en la provincia de Imbabura 2010-2015.</w:t>
            </w:r>
          </w:p>
        </w:tc>
        <w:tc>
          <w:tcPr>
            <w:tcW w:w="1134" w:type="dxa"/>
            <w:shd w:val="clear" w:color="auto" w:fill="auto"/>
            <w:noWrap/>
            <w:vAlign w:val="center"/>
            <w:hideMark/>
          </w:tcPr>
          <w:p w14:paraId="464A7CE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113</w:t>
            </w:r>
          </w:p>
        </w:tc>
      </w:tr>
      <w:tr w:rsidR="00406C2B" w:rsidRPr="00C65C45" w14:paraId="58F6DB93" w14:textId="77777777" w:rsidTr="00406C2B">
        <w:trPr>
          <w:trHeight w:val="300"/>
        </w:trPr>
        <w:tc>
          <w:tcPr>
            <w:tcW w:w="988" w:type="dxa"/>
            <w:shd w:val="clear" w:color="auto" w:fill="auto"/>
            <w:noWrap/>
            <w:vAlign w:val="center"/>
            <w:hideMark/>
          </w:tcPr>
          <w:p w14:paraId="49F1392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123</w:t>
            </w:r>
          </w:p>
        </w:tc>
        <w:tc>
          <w:tcPr>
            <w:tcW w:w="6237" w:type="dxa"/>
            <w:shd w:val="clear" w:color="auto" w:fill="auto"/>
            <w:noWrap/>
            <w:vAlign w:val="center"/>
            <w:hideMark/>
          </w:tcPr>
          <w:p w14:paraId="462AAE3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de maíz suave para diversas dosis de nitrógeno evaluadas en la provincia de Imbabura 2010-2015.</w:t>
            </w:r>
          </w:p>
        </w:tc>
        <w:tc>
          <w:tcPr>
            <w:tcW w:w="1134" w:type="dxa"/>
            <w:shd w:val="clear" w:color="auto" w:fill="auto"/>
            <w:noWrap/>
            <w:vAlign w:val="center"/>
            <w:hideMark/>
          </w:tcPr>
          <w:p w14:paraId="6E694E8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113</w:t>
            </w:r>
          </w:p>
        </w:tc>
      </w:tr>
      <w:tr w:rsidR="00406C2B" w:rsidRPr="00C65C45" w14:paraId="58001A60" w14:textId="77777777" w:rsidTr="00406C2B">
        <w:trPr>
          <w:trHeight w:val="300"/>
        </w:trPr>
        <w:tc>
          <w:tcPr>
            <w:tcW w:w="988" w:type="dxa"/>
            <w:shd w:val="clear" w:color="auto" w:fill="auto"/>
            <w:noWrap/>
            <w:vAlign w:val="center"/>
            <w:hideMark/>
          </w:tcPr>
          <w:p w14:paraId="11526F58"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124</w:t>
            </w:r>
          </w:p>
        </w:tc>
        <w:tc>
          <w:tcPr>
            <w:tcW w:w="6237" w:type="dxa"/>
            <w:shd w:val="clear" w:color="auto" w:fill="auto"/>
            <w:noWrap/>
            <w:vAlign w:val="center"/>
            <w:hideMark/>
          </w:tcPr>
          <w:p w14:paraId="22864DC0"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de maíz suave para diversas dosis de nitrógeno evaluadas en la provincia de Imbabura 2010-2015.</w:t>
            </w:r>
          </w:p>
        </w:tc>
        <w:tc>
          <w:tcPr>
            <w:tcW w:w="1134" w:type="dxa"/>
            <w:shd w:val="clear" w:color="auto" w:fill="auto"/>
            <w:noWrap/>
            <w:vAlign w:val="center"/>
            <w:hideMark/>
          </w:tcPr>
          <w:p w14:paraId="15617CD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114</w:t>
            </w:r>
          </w:p>
        </w:tc>
      </w:tr>
      <w:tr w:rsidR="00406C2B" w:rsidRPr="00C65C45" w14:paraId="3E9A696A" w14:textId="77777777" w:rsidTr="00406C2B">
        <w:trPr>
          <w:trHeight w:val="300"/>
        </w:trPr>
        <w:tc>
          <w:tcPr>
            <w:tcW w:w="988" w:type="dxa"/>
            <w:shd w:val="clear" w:color="auto" w:fill="auto"/>
            <w:noWrap/>
            <w:vAlign w:val="center"/>
            <w:hideMark/>
          </w:tcPr>
          <w:p w14:paraId="1700CAE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125</w:t>
            </w:r>
          </w:p>
        </w:tc>
        <w:tc>
          <w:tcPr>
            <w:tcW w:w="6237" w:type="dxa"/>
            <w:shd w:val="clear" w:color="auto" w:fill="auto"/>
            <w:noWrap/>
            <w:vAlign w:val="center"/>
            <w:hideMark/>
          </w:tcPr>
          <w:p w14:paraId="1474438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Dosis de potasio empleada en el ensayo</w:t>
            </w:r>
          </w:p>
        </w:tc>
        <w:tc>
          <w:tcPr>
            <w:tcW w:w="1134" w:type="dxa"/>
            <w:shd w:val="clear" w:color="auto" w:fill="auto"/>
            <w:noWrap/>
            <w:vAlign w:val="center"/>
            <w:hideMark/>
          </w:tcPr>
          <w:p w14:paraId="4B4F5C7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114</w:t>
            </w:r>
          </w:p>
        </w:tc>
      </w:tr>
      <w:tr w:rsidR="00406C2B" w:rsidRPr="00C65C45" w14:paraId="5C6EF681" w14:textId="77777777" w:rsidTr="00406C2B">
        <w:trPr>
          <w:trHeight w:val="300"/>
        </w:trPr>
        <w:tc>
          <w:tcPr>
            <w:tcW w:w="988" w:type="dxa"/>
            <w:shd w:val="clear" w:color="auto" w:fill="auto"/>
            <w:noWrap/>
            <w:vAlign w:val="center"/>
            <w:hideMark/>
          </w:tcPr>
          <w:p w14:paraId="44CAE5D8"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126</w:t>
            </w:r>
          </w:p>
        </w:tc>
        <w:tc>
          <w:tcPr>
            <w:tcW w:w="6237" w:type="dxa"/>
            <w:shd w:val="clear" w:color="auto" w:fill="auto"/>
            <w:noWrap/>
            <w:vAlign w:val="center"/>
            <w:hideMark/>
          </w:tcPr>
          <w:p w14:paraId="36E05D3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de maíz suave para diversas dosis de azufre evaluadas en la provincia de Imbabura 2010-2015.</w:t>
            </w:r>
          </w:p>
        </w:tc>
        <w:tc>
          <w:tcPr>
            <w:tcW w:w="1134" w:type="dxa"/>
            <w:shd w:val="clear" w:color="auto" w:fill="auto"/>
            <w:noWrap/>
            <w:vAlign w:val="center"/>
            <w:hideMark/>
          </w:tcPr>
          <w:p w14:paraId="5866023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114</w:t>
            </w:r>
          </w:p>
        </w:tc>
      </w:tr>
      <w:tr w:rsidR="00406C2B" w:rsidRPr="00C65C45" w14:paraId="1F4BA818" w14:textId="77777777" w:rsidTr="00406C2B">
        <w:trPr>
          <w:trHeight w:val="300"/>
        </w:trPr>
        <w:tc>
          <w:tcPr>
            <w:tcW w:w="988" w:type="dxa"/>
            <w:shd w:val="clear" w:color="auto" w:fill="auto"/>
            <w:noWrap/>
            <w:vAlign w:val="center"/>
            <w:hideMark/>
          </w:tcPr>
          <w:p w14:paraId="27F3918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127</w:t>
            </w:r>
          </w:p>
        </w:tc>
        <w:tc>
          <w:tcPr>
            <w:tcW w:w="6237" w:type="dxa"/>
            <w:shd w:val="clear" w:color="auto" w:fill="auto"/>
            <w:noWrap/>
            <w:vAlign w:val="center"/>
            <w:hideMark/>
          </w:tcPr>
          <w:p w14:paraId="46219EC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de maíz suave para diversas dosis de magnesio evaluadas en la provincia de Imbabura 2010-2015.</w:t>
            </w:r>
          </w:p>
        </w:tc>
        <w:tc>
          <w:tcPr>
            <w:tcW w:w="1134" w:type="dxa"/>
            <w:shd w:val="clear" w:color="auto" w:fill="auto"/>
            <w:noWrap/>
            <w:vAlign w:val="center"/>
            <w:hideMark/>
          </w:tcPr>
          <w:p w14:paraId="12D56335"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114</w:t>
            </w:r>
          </w:p>
        </w:tc>
      </w:tr>
      <w:tr w:rsidR="00406C2B" w:rsidRPr="00C65C45" w14:paraId="3B417F40" w14:textId="77777777" w:rsidTr="00406C2B">
        <w:trPr>
          <w:trHeight w:val="300"/>
        </w:trPr>
        <w:tc>
          <w:tcPr>
            <w:tcW w:w="988" w:type="dxa"/>
            <w:shd w:val="clear" w:color="auto" w:fill="auto"/>
            <w:noWrap/>
            <w:vAlign w:val="center"/>
            <w:hideMark/>
          </w:tcPr>
          <w:p w14:paraId="347C714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128</w:t>
            </w:r>
          </w:p>
        </w:tc>
        <w:tc>
          <w:tcPr>
            <w:tcW w:w="6237" w:type="dxa"/>
            <w:shd w:val="clear" w:color="auto" w:fill="auto"/>
            <w:noWrap/>
            <w:vAlign w:val="center"/>
            <w:hideMark/>
          </w:tcPr>
          <w:p w14:paraId="251221A9"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azufre de maíz suave e, evaluado en la provincia de Imbabura (2010-2015).</w:t>
            </w:r>
          </w:p>
        </w:tc>
        <w:tc>
          <w:tcPr>
            <w:tcW w:w="1134" w:type="dxa"/>
            <w:shd w:val="clear" w:color="auto" w:fill="auto"/>
            <w:noWrap/>
            <w:vAlign w:val="center"/>
            <w:hideMark/>
          </w:tcPr>
          <w:p w14:paraId="43A20FB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116</w:t>
            </w:r>
          </w:p>
        </w:tc>
      </w:tr>
      <w:tr w:rsidR="00406C2B" w:rsidRPr="00C65C45" w14:paraId="64E099AB" w14:textId="77777777" w:rsidTr="00406C2B">
        <w:trPr>
          <w:trHeight w:val="300"/>
        </w:trPr>
        <w:tc>
          <w:tcPr>
            <w:tcW w:w="988" w:type="dxa"/>
            <w:shd w:val="clear" w:color="auto" w:fill="auto"/>
            <w:noWrap/>
            <w:vAlign w:val="center"/>
            <w:hideMark/>
          </w:tcPr>
          <w:p w14:paraId="5ABB94B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129</w:t>
            </w:r>
          </w:p>
        </w:tc>
        <w:tc>
          <w:tcPr>
            <w:tcW w:w="6237" w:type="dxa"/>
            <w:shd w:val="clear" w:color="auto" w:fill="auto"/>
            <w:noWrap/>
            <w:vAlign w:val="center"/>
            <w:hideMark/>
          </w:tcPr>
          <w:p w14:paraId="694406F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de plantas de maíz suave, evaluado por localidades (parroquia) en la provincia de Imbabura 2010-2015.</w:t>
            </w:r>
          </w:p>
        </w:tc>
        <w:tc>
          <w:tcPr>
            <w:tcW w:w="1134" w:type="dxa"/>
            <w:shd w:val="clear" w:color="auto" w:fill="auto"/>
            <w:noWrap/>
            <w:vAlign w:val="center"/>
            <w:hideMark/>
          </w:tcPr>
          <w:p w14:paraId="71CD1D0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117</w:t>
            </w:r>
          </w:p>
        </w:tc>
      </w:tr>
      <w:tr w:rsidR="00406C2B" w:rsidRPr="00C65C45" w14:paraId="4103D3AD" w14:textId="77777777" w:rsidTr="00406C2B">
        <w:trPr>
          <w:trHeight w:val="300"/>
        </w:trPr>
        <w:tc>
          <w:tcPr>
            <w:tcW w:w="988" w:type="dxa"/>
            <w:shd w:val="clear" w:color="auto" w:fill="auto"/>
            <w:noWrap/>
            <w:vAlign w:val="center"/>
            <w:hideMark/>
          </w:tcPr>
          <w:p w14:paraId="1774316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130</w:t>
            </w:r>
          </w:p>
        </w:tc>
        <w:tc>
          <w:tcPr>
            <w:tcW w:w="6237" w:type="dxa"/>
            <w:shd w:val="clear" w:color="auto" w:fill="auto"/>
            <w:noWrap/>
            <w:vAlign w:val="center"/>
            <w:hideMark/>
          </w:tcPr>
          <w:p w14:paraId="5F99098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de maíz suave para diversas dosis de nitrógeno evaluadas en la provincia de Imbabura 2010-2015.</w:t>
            </w:r>
          </w:p>
        </w:tc>
        <w:tc>
          <w:tcPr>
            <w:tcW w:w="1134" w:type="dxa"/>
            <w:shd w:val="clear" w:color="auto" w:fill="auto"/>
            <w:noWrap/>
            <w:vAlign w:val="center"/>
            <w:hideMark/>
          </w:tcPr>
          <w:p w14:paraId="0D102FB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117</w:t>
            </w:r>
          </w:p>
        </w:tc>
      </w:tr>
      <w:tr w:rsidR="00406C2B" w:rsidRPr="00C65C45" w14:paraId="583E0A36" w14:textId="77777777" w:rsidTr="00406C2B">
        <w:trPr>
          <w:trHeight w:val="300"/>
        </w:trPr>
        <w:tc>
          <w:tcPr>
            <w:tcW w:w="988" w:type="dxa"/>
            <w:shd w:val="clear" w:color="auto" w:fill="auto"/>
            <w:noWrap/>
            <w:vAlign w:val="center"/>
            <w:hideMark/>
          </w:tcPr>
          <w:p w14:paraId="4ADC7D4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131</w:t>
            </w:r>
          </w:p>
        </w:tc>
        <w:tc>
          <w:tcPr>
            <w:tcW w:w="6237" w:type="dxa"/>
            <w:shd w:val="clear" w:color="auto" w:fill="auto"/>
            <w:noWrap/>
            <w:vAlign w:val="center"/>
            <w:hideMark/>
          </w:tcPr>
          <w:p w14:paraId="07BEAFB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de maíz suave para diversas dosis de fósforo evaluadas en la provincia de Imbabura 2010-2015.</w:t>
            </w:r>
          </w:p>
        </w:tc>
        <w:tc>
          <w:tcPr>
            <w:tcW w:w="1134" w:type="dxa"/>
            <w:shd w:val="clear" w:color="auto" w:fill="auto"/>
            <w:noWrap/>
            <w:vAlign w:val="center"/>
            <w:hideMark/>
          </w:tcPr>
          <w:p w14:paraId="3967A55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117</w:t>
            </w:r>
          </w:p>
        </w:tc>
      </w:tr>
      <w:tr w:rsidR="00406C2B" w:rsidRPr="00C65C45" w14:paraId="089AFCDA" w14:textId="77777777" w:rsidTr="00406C2B">
        <w:trPr>
          <w:trHeight w:val="300"/>
        </w:trPr>
        <w:tc>
          <w:tcPr>
            <w:tcW w:w="988" w:type="dxa"/>
            <w:shd w:val="clear" w:color="auto" w:fill="auto"/>
            <w:noWrap/>
            <w:vAlign w:val="center"/>
            <w:hideMark/>
          </w:tcPr>
          <w:p w14:paraId="5F1AA82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132</w:t>
            </w:r>
          </w:p>
        </w:tc>
        <w:tc>
          <w:tcPr>
            <w:tcW w:w="6237" w:type="dxa"/>
            <w:shd w:val="clear" w:color="auto" w:fill="auto"/>
            <w:noWrap/>
            <w:vAlign w:val="center"/>
            <w:hideMark/>
          </w:tcPr>
          <w:p w14:paraId="1CB11D7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de maíz suave para diversas dosis de potasio evaluadas en la provincia de Imbabura 2010-2015.</w:t>
            </w:r>
          </w:p>
        </w:tc>
        <w:tc>
          <w:tcPr>
            <w:tcW w:w="1134" w:type="dxa"/>
            <w:shd w:val="clear" w:color="auto" w:fill="auto"/>
            <w:noWrap/>
            <w:vAlign w:val="center"/>
            <w:hideMark/>
          </w:tcPr>
          <w:p w14:paraId="51C4DE8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117</w:t>
            </w:r>
          </w:p>
        </w:tc>
      </w:tr>
      <w:tr w:rsidR="00406C2B" w:rsidRPr="00C65C45" w14:paraId="3F05CFC8" w14:textId="77777777" w:rsidTr="00406C2B">
        <w:trPr>
          <w:trHeight w:val="300"/>
        </w:trPr>
        <w:tc>
          <w:tcPr>
            <w:tcW w:w="988" w:type="dxa"/>
            <w:shd w:val="clear" w:color="auto" w:fill="auto"/>
            <w:noWrap/>
            <w:vAlign w:val="center"/>
            <w:hideMark/>
          </w:tcPr>
          <w:p w14:paraId="3CE2F610"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133</w:t>
            </w:r>
          </w:p>
        </w:tc>
        <w:tc>
          <w:tcPr>
            <w:tcW w:w="6237" w:type="dxa"/>
            <w:shd w:val="clear" w:color="auto" w:fill="auto"/>
            <w:noWrap/>
            <w:vAlign w:val="center"/>
            <w:hideMark/>
          </w:tcPr>
          <w:p w14:paraId="6A06867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Absorción total de azufre de maíz suave para diversas dosis de azufre evaluadas en la provincia de Imbabura 2010-2015.</w:t>
            </w:r>
          </w:p>
        </w:tc>
        <w:tc>
          <w:tcPr>
            <w:tcW w:w="1134" w:type="dxa"/>
            <w:shd w:val="clear" w:color="auto" w:fill="auto"/>
            <w:noWrap/>
            <w:vAlign w:val="center"/>
            <w:hideMark/>
          </w:tcPr>
          <w:p w14:paraId="1762A94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118</w:t>
            </w:r>
          </w:p>
        </w:tc>
      </w:tr>
      <w:tr w:rsidR="00406C2B" w:rsidRPr="00C65C45" w14:paraId="52472DD3" w14:textId="77777777" w:rsidTr="00406C2B">
        <w:trPr>
          <w:trHeight w:val="300"/>
        </w:trPr>
        <w:tc>
          <w:tcPr>
            <w:tcW w:w="988" w:type="dxa"/>
            <w:shd w:val="clear" w:color="auto" w:fill="auto"/>
            <w:noWrap/>
            <w:vAlign w:val="center"/>
            <w:hideMark/>
          </w:tcPr>
          <w:p w14:paraId="5D00F93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134</w:t>
            </w:r>
          </w:p>
        </w:tc>
        <w:tc>
          <w:tcPr>
            <w:tcW w:w="6237" w:type="dxa"/>
            <w:shd w:val="clear" w:color="auto" w:fill="auto"/>
            <w:noWrap/>
            <w:vAlign w:val="center"/>
            <w:hideMark/>
          </w:tcPr>
          <w:p w14:paraId="09654006"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de maíz suave para diversas dosis de magnesio evaluadas en la provincia de Imbabura 2010-2015.</w:t>
            </w:r>
          </w:p>
        </w:tc>
        <w:tc>
          <w:tcPr>
            <w:tcW w:w="1134" w:type="dxa"/>
            <w:shd w:val="clear" w:color="auto" w:fill="auto"/>
            <w:noWrap/>
            <w:vAlign w:val="center"/>
            <w:hideMark/>
          </w:tcPr>
          <w:p w14:paraId="0C55CA8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118</w:t>
            </w:r>
          </w:p>
        </w:tc>
      </w:tr>
      <w:tr w:rsidR="00406C2B" w:rsidRPr="00C65C45" w14:paraId="4C2D0A6F" w14:textId="77777777" w:rsidTr="00406C2B">
        <w:trPr>
          <w:trHeight w:val="300"/>
        </w:trPr>
        <w:tc>
          <w:tcPr>
            <w:tcW w:w="988" w:type="dxa"/>
            <w:shd w:val="clear" w:color="auto" w:fill="auto"/>
            <w:noWrap/>
            <w:vAlign w:val="center"/>
            <w:hideMark/>
          </w:tcPr>
          <w:p w14:paraId="0FB5EBD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135</w:t>
            </w:r>
          </w:p>
        </w:tc>
        <w:tc>
          <w:tcPr>
            <w:tcW w:w="6237" w:type="dxa"/>
            <w:shd w:val="clear" w:color="auto" w:fill="auto"/>
            <w:noWrap/>
            <w:vAlign w:val="center"/>
            <w:hideMark/>
          </w:tcPr>
          <w:p w14:paraId="512672E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magnesio de maíz suave en grano seco, evaluado en la provincia de Imbabura (2010-2015).</w:t>
            </w:r>
          </w:p>
        </w:tc>
        <w:tc>
          <w:tcPr>
            <w:tcW w:w="1134" w:type="dxa"/>
            <w:shd w:val="clear" w:color="auto" w:fill="auto"/>
            <w:noWrap/>
            <w:vAlign w:val="center"/>
            <w:hideMark/>
          </w:tcPr>
          <w:p w14:paraId="4B13A85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119</w:t>
            </w:r>
          </w:p>
        </w:tc>
      </w:tr>
      <w:tr w:rsidR="00406C2B" w:rsidRPr="00C65C45" w14:paraId="6213C36A" w14:textId="77777777" w:rsidTr="00406C2B">
        <w:trPr>
          <w:trHeight w:val="300"/>
        </w:trPr>
        <w:tc>
          <w:tcPr>
            <w:tcW w:w="988" w:type="dxa"/>
            <w:shd w:val="clear" w:color="auto" w:fill="auto"/>
            <w:noWrap/>
            <w:vAlign w:val="center"/>
            <w:hideMark/>
          </w:tcPr>
          <w:p w14:paraId="76F62A7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136</w:t>
            </w:r>
          </w:p>
        </w:tc>
        <w:tc>
          <w:tcPr>
            <w:tcW w:w="6237" w:type="dxa"/>
            <w:shd w:val="clear" w:color="auto" w:fill="auto"/>
            <w:noWrap/>
            <w:vAlign w:val="center"/>
            <w:hideMark/>
          </w:tcPr>
          <w:p w14:paraId="5CC76DB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de plantas de maíz suave, evaluado por localidades (parroquia) en la provincia de Imbabura 2010-2015.</w:t>
            </w:r>
          </w:p>
        </w:tc>
        <w:tc>
          <w:tcPr>
            <w:tcW w:w="1134" w:type="dxa"/>
            <w:shd w:val="clear" w:color="auto" w:fill="auto"/>
            <w:noWrap/>
            <w:vAlign w:val="center"/>
            <w:hideMark/>
          </w:tcPr>
          <w:p w14:paraId="69C9141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120</w:t>
            </w:r>
          </w:p>
        </w:tc>
      </w:tr>
      <w:tr w:rsidR="00406C2B" w:rsidRPr="00C65C45" w14:paraId="0546EA0F" w14:textId="77777777" w:rsidTr="00406C2B">
        <w:trPr>
          <w:trHeight w:val="300"/>
        </w:trPr>
        <w:tc>
          <w:tcPr>
            <w:tcW w:w="988" w:type="dxa"/>
            <w:shd w:val="clear" w:color="auto" w:fill="auto"/>
            <w:noWrap/>
            <w:vAlign w:val="center"/>
            <w:hideMark/>
          </w:tcPr>
          <w:p w14:paraId="2B3CA149"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137</w:t>
            </w:r>
          </w:p>
        </w:tc>
        <w:tc>
          <w:tcPr>
            <w:tcW w:w="6237" w:type="dxa"/>
            <w:shd w:val="clear" w:color="auto" w:fill="auto"/>
            <w:noWrap/>
            <w:vAlign w:val="center"/>
            <w:hideMark/>
          </w:tcPr>
          <w:p w14:paraId="500436F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de maíz suave para diversas dosis de nitrógeno evaluadas en la provincia de Imbabura 2010-2015.</w:t>
            </w:r>
          </w:p>
        </w:tc>
        <w:tc>
          <w:tcPr>
            <w:tcW w:w="1134" w:type="dxa"/>
            <w:shd w:val="clear" w:color="auto" w:fill="auto"/>
            <w:noWrap/>
            <w:vAlign w:val="center"/>
            <w:hideMark/>
          </w:tcPr>
          <w:p w14:paraId="4CBCE26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120</w:t>
            </w:r>
          </w:p>
        </w:tc>
      </w:tr>
      <w:tr w:rsidR="00406C2B" w:rsidRPr="00C65C45" w14:paraId="0E445E68" w14:textId="77777777" w:rsidTr="00406C2B">
        <w:trPr>
          <w:trHeight w:val="300"/>
        </w:trPr>
        <w:tc>
          <w:tcPr>
            <w:tcW w:w="988" w:type="dxa"/>
            <w:shd w:val="clear" w:color="auto" w:fill="auto"/>
            <w:noWrap/>
            <w:vAlign w:val="center"/>
            <w:hideMark/>
          </w:tcPr>
          <w:p w14:paraId="0C8DE3F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138</w:t>
            </w:r>
          </w:p>
        </w:tc>
        <w:tc>
          <w:tcPr>
            <w:tcW w:w="6237" w:type="dxa"/>
            <w:shd w:val="clear" w:color="auto" w:fill="auto"/>
            <w:noWrap/>
            <w:vAlign w:val="center"/>
            <w:hideMark/>
          </w:tcPr>
          <w:p w14:paraId="3A7056F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de maíz suave para diversas dosis de fósforo evaluadas en la provincia de Imbabura 2010-2015.</w:t>
            </w:r>
          </w:p>
        </w:tc>
        <w:tc>
          <w:tcPr>
            <w:tcW w:w="1134" w:type="dxa"/>
            <w:shd w:val="clear" w:color="auto" w:fill="auto"/>
            <w:noWrap/>
            <w:vAlign w:val="center"/>
            <w:hideMark/>
          </w:tcPr>
          <w:p w14:paraId="02C658A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120</w:t>
            </w:r>
          </w:p>
        </w:tc>
      </w:tr>
      <w:tr w:rsidR="00406C2B" w:rsidRPr="00C65C45" w14:paraId="16479B9C" w14:textId="77777777" w:rsidTr="00406C2B">
        <w:trPr>
          <w:trHeight w:val="300"/>
        </w:trPr>
        <w:tc>
          <w:tcPr>
            <w:tcW w:w="988" w:type="dxa"/>
            <w:shd w:val="clear" w:color="auto" w:fill="auto"/>
            <w:noWrap/>
            <w:vAlign w:val="center"/>
            <w:hideMark/>
          </w:tcPr>
          <w:p w14:paraId="6FE67DC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139</w:t>
            </w:r>
          </w:p>
        </w:tc>
        <w:tc>
          <w:tcPr>
            <w:tcW w:w="6237" w:type="dxa"/>
            <w:shd w:val="clear" w:color="auto" w:fill="auto"/>
            <w:noWrap/>
            <w:vAlign w:val="center"/>
            <w:hideMark/>
          </w:tcPr>
          <w:p w14:paraId="7874C68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de maíz suave para diversas dosis de potasio evaluadas en la provincia de Imbabura 2010-2015.</w:t>
            </w:r>
          </w:p>
        </w:tc>
        <w:tc>
          <w:tcPr>
            <w:tcW w:w="1134" w:type="dxa"/>
            <w:shd w:val="clear" w:color="auto" w:fill="auto"/>
            <w:noWrap/>
            <w:vAlign w:val="center"/>
            <w:hideMark/>
          </w:tcPr>
          <w:p w14:paraId="32F258D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120</w:t>
            </w:r>
          </w:p>
        </w:tc>
      </w:tr>
      <w:tr w:rsidR="00406C2B" w:rsidRPr="00C65C45" w14:paraId="21F74099" w14:textId="77777777" w:rsidTr="00406C2B">
        <w:trPr>
          <w:trHeight w:val="300"/>
        </w:trPr>
        <w:tc>
          <w:tcPr>
            <w:tcW w:w="988" w:type="dxa"/>
            <w:shd w:val="clear" w:color="auto" w:fill="auto"/>
            <w:noWrap/>
            <w:vAlign w:val="center"/>
            <w:hideMark/>
          </w:tcPr>
          <w:p w14:paraId="54295F2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140</w:t>
            </w:r>
          </w:p>
        </w:tc>
        <w:tc>
          <w:tcPr>
            <w:tcW w:w="6237" w:type="dxa"/>
            <w:shd w:val="clear" w:color="auto" w:fill="auto"/>
            <w:noWrap/>
            <w:vAlign w:val="center"/>
            <w:hideMark/>
          </w:tcPr>
          <w:p w14:paraId="52352154" w14:textId="05E6CC7A"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de maíz suave para diversas dosis de azufre evaluadas en la provincia de Imbabura 2010-2015.</w:t>
            </w:r>
          </w:p>
        </w:tc>
        <w:tc>
          <w:tcPr>
            <w:tcW w:w="1134" w:type="dxa"/>
            <w:shd w:val="clear" w:color="auto" w:fill="auto"/>
            <w:noWrap/>
            <w:vAlign w:val="center"/>
            <w:hideMark/>
          </w:tcPr>
          <w:p w14:paraId="5B4C878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121</w:t>
            </w:r>
          </w:p>
        </w:tc>
      </w:tr>
      <w:tr w:rsidR="00406C2B" w:rsidRPr="00C65C45" w14:paraId="25AF3C9A" w14:textId="77777777" w:rsidTr="00406C2B">
        <w:trPr>
          <w:trHeight w:val="300"/>
        </w:trPr>
        <w:tc>
          <w:tcPr>
            <w:tcW w:w="988" w:type="dxa"/>
            <w:shd w:val="clear" w:color="auto" w:fill="auto"/>
            <w:noWrap/>
            <w:vAlign w:val="center"/>
            <w:hideMark/>
          </w:tcPr>
          <w:p w14:paraId="2575F42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141</w:t>
            </w:r>
          </w:p>
        </w:tc>
        <w:tc>
          <w:tcPr>
            <w:tcW w:w="6237" w:type="dxa"/>
            <w:shd w:val="clear" w:color="auto" w:fill="auto"/>
            <w:noWrap/>
            <w:vAlign w:val="center"/>
            <w:hideMark/>
          </w:tcPr>
          <w:p w14:paraId="3924CD2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de maíz suave para diversas dosis de magnesio evaluadas en la provincia de Imbabura 2010-2015.</w:t>
            </w:r>
          </w:p>
        </w:tc>
        <w:tc>
          <w:tcPr>
            <w:tcW w:w="1134" w:type="dxa"/>
            <w:shd w:val="clear" w:color="auto" w:fill="auto"/>
            <w:noWrap/>
            <w:vAlign w:val="center"/>
            <w:hideMark/>
          </w:tcPr>
          <w:p w14:paraId="53DECEC5"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121</w:t>
            </w:r>
          </w:p>
        </w:tc>
      </w:tr>
      <w:tr w:rsidR="00406C2B" w:rsidRPr="00C65C45" w14:paraId="002C8409" w14:textId="77777777" w:rsidTr="00406C2B">
        <w:trPr>
          <w:trHeight w:val="300"/>
        </w:trPr>
        <w:tc>
          <w:tcPr>
            <w:tcW w:w="988" w:type="dxa"/>
            <w:shd w:val="clear" w:color="auto" w:fill="auto"/>
            <w:noWrap/>
            <w:vAlign w:val="center"/>
            <w:hideMark/>
          </w:tcPr>
          <w:p w14:paraId="4EB49C0A"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142</w:t>
            </w:r>
          </w:p>
        </w:tc>
        <w:tc>
          <w:tcPr>
            <w:tcW w:w="6237" w:type="dxa"/>
            <w:shd w:val="clear" w:color="auto" w:fill="auto"/>
            <w:noWrap/>
            <w:vAlign w:val="center"/>
            <w:hideMark/>
          </w:tcPr>
          <w:p w14:paraId="01D2F90A"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rendimiento de maíz suave en grano seco, evaluado (Consolidado) en las provincias de Bolívar, Chimborazo, Imbabura (2006-2015).</w:t>
            </w:r>
          </w:p>
        </w:tc>
        <w:tc>
          <w:tcPr>
            <w:tcW w:w="1134" w:type="dxa"/>
            <w:shd w:val="clear" w:color="auto" w:fill="auto"/>
            <w:noWrap/>
            <w:vAlign w:val="center"/>
            <w:hideMark/>
          </w:tcPr>
          <w:p w14:paraId="15A89A1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123</w:t>
            </w:r>
          </w:p>
        </w:tc>
      </w:tr>
      <w:tr w:rsidR="00406C2B" w:rsidRPr="00C65C45" w14:paraId="38F55CEB" w14:textId="77777777" w:rsidTr="00406C2B">
        <w:trPr>
          <w:trHeight w:val="300"/>
        </w:trPr>
        <w:tc>
          <w:tcPr>
            <w:tcW w:w="988" w:type="dxa"/>
            <w:shd w:val="clear" w:color="auto" w:fill="auto"/>
            <w:noWrap/>
            <w:vAlign w:val="center"/>
            <w:hideMark/>
          </w:tcPr>
          <w:p w14:paraId="46D1F44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143</w:t>
            </w:r>
          </w:p>
        </w:tc>
        <w:tc>
          <w:tcPr>
            <w:tcW w:w="6237" w:type="dxa"/>
            <w:shd w:val="clear" w:color="auto" w:fill="auto"/>
            <w:noWrap/>
            <w:vAlign w:val="center"/>
            <w:hideMark/>
          </w:tcPr>
          <w:p w14:paraId="7F964686"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evaluado (Consolidado) en las provincias de Bolívar, Chimborazo, Imbabura 2006-2015.</w:t>
            </w:r>
          </w:p>
        </w:tc>
        <w:tc>
          <w:tcPr>
            <w:tcW w:w="1134" w:type="dxa"/>
            <w:shd w:val="clear" w:color="auto" w:fill="auto"/>
            <w:noWrap/>
            <w:vAlign w:val="center"/>
            <w:hideMark/>
          </w:tcPr>
          <w:p w14:paraId="431C8A60"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123</w:t>
            </w:r>
          </w:p>
        </w:tc>
      </w:tr>
      <w:tr w:rsidR="00406C2B" w:rsidRPr="00C65C45" w14:paraId="150E123F" w14:textId="77777777" w:rsidTr="00406C2B">
        <w:trPr>
          <w:trHeight w:val="300"/>
        </w:trPr>
        <w:tc>
          <w:tcPr>
            <w:tcW w:w="988" w:type="dxa"/>
            <w:shd w:val="clear" w:color="auto" w:fill="auto"/>
            <w:noWrap/>
            <w:vAlign w:val="center"/>
            <w:hideMark/>
          </w:tcPr>
          <w:p w14:paraId="37FA674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144</w:t>
            </w:r>
          </w:p>
        </w:tc>
        <w:tc>
          <w:tcPr>
            <w:tcW w:w="6237" w:type="dxa"/>
            <w:shd w:val="clear" w:color="auto" w:fill="auto"/>
            <w:noWrap/>
            <w:vAlign w:val="center"/>
            <w:hideMark/>
          </w:tcPr>
          <w:p w14:paraId="1C58182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nitrógeno evaluado en las provincias de Bolívar, Chimborazo, Imbabura 2006-2015.</w:t>
            </w:r>
          </w:p>
        </w:tc>
        <w:tc>
          <w:tcPr>
            <w:tcW w:w="1134" w:type="dxa"/>
            <w:shd w:val="clear" w:color="auto" w:fill="auto"/>
            <w:noWrap/>
            <w:vAlign w:val="center"/>
            <w:hideMark/>
          </w:tcPr>
          <w:p w14:paraId="7AA4884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124</w:t>
            </w:r>
          </w:p>
        </w:tc>
      </w:tr>
      <w:tr w:rsidR="00406C2B" w:rsidRPr="00C65C45" w14:paraId="197B8292" w14:textId="77777777" w:rsidTr="00406C2B">
        <w:trPr>
          <w:trHeight w:val="300"/>
        </w:trPr>
        <w:tc>
          <w:tcPr>
            <w:tcW w:w="988" w:type="dxa"/>
            <w:shd w:val="clear" w:color="auto" w:fill="auto"/>
            <w:noWrap/>
            <w:vAlign w:val="center"/>
            <w:hideMark/>
          </w:tcPr>
          <w:p w14:paraId="57DEC2B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145</w:t>
            </w:r>
          </w:p>
        </w:tc>
        <w:tc>
          <w:tcPr>
            <w:tcW w:w="6237" w:type="dxa"/>
            <w:shd w:val="clear" w:color="auto" w:fill="auto"/>
            <w:noWrap/>
            <w:vAlign w:val="center"/>
            <w:hideMark/>
          </w:tcPr>
          <w:p w14:paraId="17E1D44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fósforo evaluado en las provincias de Bolívar, Chimborazo, Imbabura 2006-2015.</w:t>
            </w:r>
          </w:p>
        </w:tc>
        <w:tc>
          <w:tcPr>
            <w:tcW w:w="1134" w:type="dxa"/>
            <w:shd w:val="clear" w:color="auto" w:fill="auto"/>
            <w:noWrap/>
            <w:vAlign w:val="center"/>
            <w:hideMark/>
          </w:tcPr>
          <w:p w14:paraId="4D999F2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124</w:t>
            </w:r>
          </w:p>
        </w:tc>
      </w:tr>
      <w:tr w:rsidR="00406C2B" w:rsidRPr="00C65C45" w14:paraId="1B2AE91F" w14:textId="77777777" w:rsidTr="00406C2B">
        <w:trPr>
          <w:trHeight w:val="300"/>
        </w:trPr>
        <w:tc>
          <w:tcPr>
            <w:tcW w:w="988" w:type="dxa"/>
            <w:shd w:val="clear" w:color="auto" w:fill="auto"/>
            <w:noWrap/>
            <w:vAlign w:val="center"/>
            <w:hideMark/>
          </w:tcPr>
          <w:p w14:paraId="324CE7F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146</w:t>
            </w:r>
          </w:p>
        </w:tc>
        <w:tc>
          <w:tcPr>
            <w:tcW w:w="6237" w:type="dxa"/>
            <w:shd w:val="clear" w:color="auto" w:fill="auto"/>
            <w:noWrap/>
            <w:vAlign w:val="center"/>
            <w:hideMark/>
          </w:tcPr>
          <w:p w14:paraId="4B6CC3A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potasio evaluado en las provincias de Bolívar, Chimborazo, Imbabura 2006-2015.</w:t>
            </w:r>
          </w:p>
        </w:tc>
        <w:tc>
          <w:tcPr>
            <w:tcW w:w="1134" w:type="dxa"/>
            <w:shd w:val="clear" w:color="auto" w:fill="auto"/>
            <w:noWrap/>
            <w:vAlign w:val="center"/>
            <w:hideMark/>
          </w:tcPr>
          <w:p w14:paraId="269AC958"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125</w:t>
            </w:r>
          </w:p>
        </w:tc>
      </w:tr>
      <w:tr w:rsidR="00406C2B" w:rsidRPr="00C65C45" w14:paraId="44C98417" w14:textId="77777777" w:rsidTr="00406C2B">
        <w:trPr>
          <w:trHeight w:val="300"/>
        </w:trPr>
        <w:tc>
          <w:tcPr>
            <w:tcW w:w="988" w:type="dxa"/>
            <w:shd w:val="clear" w:color="auto" w:fill="auto"/>
            <w:noWrap/>
            <w:vAlign w:val="center"/>
            <w:hideMark/>
          </w:tcPr>
          <w:p w14:paraId="583E0DE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147</w:t>
            </w:r>
          </w:p>
        </w:tc>
        <w:tc>
          <w:tcPr>
            <w:tcW w:w="6237" w:type="dxa"/>
            <w:shd w:val="clear" w:color="auto" w:fill="auto"/>
            <w:noWrap/>
            <w:vAlign w:val="center"/>
            <w:hideMark/>
          </w:tcPr>
          <w:p w14:paraId="5FA8F16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azufre evaluado en las provincias de Bolívar, Chimborazo, Imbabura 2006-2015.</w:t>
            </w:r>
          </w:p>
        </w:tc>
        <w:tc>
          <w:tcPr>
            <w:tcW w:w="1134" w:type="dxa"/>
            <w:shd w:val="clear" w:color="auto" w:fill="auto"/>
            <w:noWrap/>
            <w:vAlign w:val="center"/>
            <w:hideMark/>
          </w:tcPr>
          <w:p w14:paraId="6F41A7A6"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125</w:t>
            </w:r>
          </w:p>
        </w:tc>
      </w:tr>
      <w:tr w:rsidR="00406C2B" w:rsidRPr="00C65C45" w14:paraId="310D4F4E" w14:textId="77777777" w:rsidTr="00406C2B">
        <w:trPr>
          <w:trHeight w:val="300"/>
        </w:trPr>
        <w:tc>
          <w:tcPr>
            <w:tcW w:w="988" w:type="dxa"/>
            <w:shd w:val="clear" w:color="auto" w:fill="auto"/>
            <w:noWrap/>
            <w:vAlign w:val="center"/>
            <w:hideMark/>
          </w:tcPr>
          <w:p w14:paraId="01DD38B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148</w:t>
            </w:r>
          </w:p>
        </w:tc>
        <w:tc>
          <w:tcPr>
            <w:tcW w:w="6237" w:type="dxa"/>
            <w:shd w:val="clear" w:color="auto" w:fill="auto"/>
            <w:noWrap/>
            <w:vAlign w:val="center"/>
            <w:hideMark/>
          </w:tcPr>
          <w:p w14:paraId="1ED51CC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para diversas dosis de magnesio evaluado en las provincias de Bolívar, Chimborazo, Imbabura 2006-2015.</w:t>
            </w:r>
          </w:p>
        </w:tc>
        <w:tc>
          <w:tcPr>
            <w:tcW w:w="1134" w:type="dxa"/>
            <w:shd w:val="clear" w:color="auto" w:fill="auto"/>
            <w:noWrap/>
            <w:vAlign w:val="center"/>
            <w:hideMark/>
          </w:tcPr>
          <w:p w14:paraId="70BD811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125</w:t>
            </w:r>
          </w:p>
        </w:tc>
      </w:tr>
      <w:tr w:rsidR="00406C2B" w:rsidRPr="00C65C45" w14:paraId="06F4E9AF" w14:textId="77777777" w:rsidTr="00406C2B">
        <w:trPr>
          <w:trHeight w:val="300"/>
        </w:trPr>
        <w:tc>
          <w:tcPr>
            <w:tcW w:w="988" w:type="dxa"/>
            <w:shd w:val="clear" w:color="auto" w:fill="auto"/>
            <w:noWrap/>
            <w:vAlign w:val="center"/>
            <w:hideMark/>
          </w:tcPr>
          <w:p w14:paraId="66A82CF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149</w:t>
            </w:r>
          </w:p>
        </w:tc>
        <w:tc>
          <w:tcPr>
            <w:tcW w:w="6237" w:type="dxa"/>
            <w:shd w:val="clear" w:color="auto" w:fill="auto"/>
            <w:noWrap/>
            <w:vAlign w:val="center"/>
            <w:hideMark/>
          </w:tcPr>
          <w:p w14:paraId="5CD2D4F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nitrógeno de maíz suave en grano seco, evaluado (Consolidado) en las provincias de Bolívar, Chimborazo, Imbabura (2006-2015).</w:t>
            </w:r>
          </w:p>
        </w:tc>
        <w:tc>
          <w:tcPr>
            <w:tcW w:w="1134" w:type="dxa"/>
            <w:shd w:val="clear" w:color="auto" w:fill="auto"/>
            <w:noWrap/>
            <w:vAlign w:val="center"/>
            <w:hideMark/>
          </w:tcPr>
          <w:p w14:paraId="1F4075D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126</w:t>
            </w:r>
          </w:p>
        </w:tc>
      </w:tr>
      <w:tr w:rsidR="00406C2B" w:rsidRPr="00C65C45" w14:paraId="26E9ED73" w14:textId="77777777" w:rsidTr="00406C2B">
        <w:trPr>
          <w:trHeight w:val="300"/>
        </w:trPr>
        <w:tc>
          <w:tcPr>
            <w:tcW w:w="988" w:type="dxa"/>
            <w:shd w:val="clear" w:color="auto" w:fill="auto"/>
            <w:noWrap/>
            <w:vAlign w:val="center"/>
            <w:hideMark/>
          </w:tcPr>
          <w:p w14:paraId="7CB5A3B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150</w:t>
            </w:r>
          </w:p>
        </w:tc>
        <w:tc>
          <w:tcPr>
            <w:tcW w:w="6237" w:type="dxa"/>
            <w:shd w:val="clear" w:color="auto" w:fill="auto"/>
            <w:noWrap/>
            <w:vAlign w:val="center"/>
            <w:hideMark/>
          </w:tcPr>
          <w:p w14:paraId="5F572FD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plantas de maíz suave evaluadas en las provincias de Bolívar, Chimborazo, Imbabura (2006-2015).</w:t>
            </w:r>
          </w:p>
        </w:tc>
        <w:tc>
          <w:tcPr>
            <w:tcW w:w="1134" w:type="dxa"/>
            <w:shd w:val="clear" w:color="auto" w:fill="auto"/>
            <w:noWrap/>
            <w:vAlign w:val="center"/>
            <w:hideMark/>
          </w:tcPr>
          <w:p w14:paraId="2ED4706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127</w:t>
            </w:r>
          </w:p>
        </w:tc>
      </w:tr>
      <w:tr w:rsidR="00406C2B" w:rsidRPr="00C65C45" w14:paraId="7BA71B36" w14:textId="77777777" w:rsidTr="00406C2B">
        <w:trPr>
          <w:trHeight w:val="300"/>
        </w:trPr>
        <w:tc>
          <w:tcPr>
            <w:tcW w:w="988" w:type="dxa"/>
            <w:shd w:val="clear" w:color="auto" w:fill="auto"/>
            <w:noWrap/>
            <w:vAlign w:val="center"/>
            <w:hideMark/>
          </w:tcPr>
          <w:p w14:paraId="7747252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151</w:t>
            </w:r>
          </w:p>
        </w:tc>
        <w:tc>
          <w:tcPr>
            <w:tcW w:w="6237" w:type="dxa"/>
            <w:shd w:val="clear" w:color="auto" w:fill="auto"/>
            <w:noWrap/>
            <w:vAlign w:val="center"/>
            <w:hideMark/>
          </w:tcPr>
          <w:p w14:paraId="7F6A055D" w14:textId="023F225D"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plantas de maíz suave para varias dosis de nitrógeno evaluadas en   Bolívar, Chimborazo, Imbabura (2006-2015)</w:t>
            </w:r>
          </w:p>
        </w:tc>
        <w:tc>
          <w:tcPr>
            <w:tcW w:w="1134" w:type="dxa"/>
            <w:shd w:val="clear" w:color="auto" w:fill="auto"/>
            <w:noWrap/>
            <w:vAlign w:val="center"/>
            <w:hideMark/>
          </w:tcPr>
          <w:p w14:paraId="215CAEB5"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127</w:t>
            </w:r>
          </w:p>
        </w:tc>
      </w:tr>
      <w:tr w:rsidR="00406C2B" w:rsidRPr="00C65C45" w14:paraId="28A05135" w14:textId="77777777" w:rsidTr="00406C2B">
        <w:trPr>
          <w:trHeight w:val="300"/>
        </w:trPr>
        <w:tc>
          <w:tcPr>
            <w:tcW w:w="988" w:type="dxa"/>
            <w:shd w:val="clear" w:color="auto" w:fill="auto"/>
            <w:noWrap/>
            <w:vAlign w:val="center"/>
            <w:hideMark/>
          </w:tcPr>
          <w:p w14:paraId="54CBCF1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152</w:t>
            </w:r>
          </w:p>
        </w:tc>
        <w:tc>
          <w:tcPr>
            <w:tcW w:w="6237" w:type="dxa"/>
            <w:shd w:val="clear" w:color="auto" w:fill="auto"/>
            <w:noWrap/>
            <w:vAlign w:val="center"/>
            <w:hideMark/>
          </w:tcPr>
          <w:p w14:paraId="29D3A11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plantas de maíz suave para varias dosis de potasio evaluadas en  Bolívar, Chimborazo, Imbabura 2006-2015.</w:t>
            </w:r>
          </w:p>
        </w:tc>
        <w:tc>
          <w:tcPr>
            <w:tcW w:w="1134" w:type="dxa"/>
            <w:shd w:val="clear" w:color="auto" w:fill="auto"/>
            <w:noWrap/>
            <w:vAlign w:val="center"/>
            <w:hideMark/>
          </w:tcPr>
          <w:p w14:paraId="36D8722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128</w:t>
            </w:r>
          </w:p>
        </w:tc>
      </w:tr>
      <w:tr w:rsidR="00406C2B" w:rsidRPr="00C65C45" w14:paraId="49A54A51" w14:textId="77777777" w:rsidTr="00406C2B">
        <w:trPr>
          <w:trHeight w:val="300"/>
        </w:trPr>
        <w:tc>
          <w:tcPr>
            <w:tcW w:w="988" w:type="dxa"/>
            <w:shd w:val="clear" w:color="auto" w:fill="auto"/>
            <w:noWrap/>
            <w:vAlign w:val="center"/>
            <w:hideMark/>
          </w:tcPr>
          <w:p w14:paraId="29582E9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153</w:t>
            </w:r>
          </w:p>
        </w:tc>
        <w:tc>
          <w:tcPr>
            <w:tcW w:w="6237" w:type="dxa"/>
            <w:shd w:val="clear" w:color="auto" w:fill="auto"/>
            <w:noWrap/>
            <w:vAlign w:val="center"/>
            <w:hideMark/>
          </w:tcPr>
          <w:p w14:paraId="36FFB2D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plantas de maíz suave para varias dosis de azufre evaluadas en Bolívar, Chimborazo, Imbabura 2006-2015.</w:t>
            </w:r>
          </w:p>
        </w:tc>
        <w:tc>
          <w:tcPr>
            <w:tcW w:w="1134" w:type="dxa"/>
            <w:shd w:val="clear" w:color="auto" w:fill="auto"/>
            <w:noWrap/>
            <w:vAlign w:val="center"/>
            <w:hideMark/>
          </w:tcPr>
          <w:p w14:paraId="0A7BC79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128</w:t>
            </w:r>
          </w:p>
        </w:tc>
      </w:tr>
      <w:tr w:rsidR="00406C2B" w:rsidRPr="00C65C45" w14:paraId="1EB56625" w14:textId="77777777" w:rsidTr="00406C2B">
        <w:trPr>
          <w:trHeight w:val="300"/>
        </w:trPr>
        <w:tc>
          <w:tcPr>
            <w:tcW w:w="988" w:type="dxa"/>
            <w:shd w:val="clear" w:color="auto" w:fill="auto"/>
            <w:noWrap/>
            <w:vAlign w:val="center"/>
            <w:hideMark/>
          </w:tcPr>
          <w:p w14:paraId="6520EA6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154</w:t>
            </w:r>
          </w:p>
        </w:tc>
        <w:tc>
          <w:tcPr>
            <w:tcW w:w="6237" w:type="dxa"/>
            <w:shd w:val="clear" w:color="auto" w:fill="auto"/>
            <w:noWrap/>
            <w:vAlign w:val="center"/>
            <w:hideMark/>
          </w:tcPr>
          <w:p w14:paraId="3ACE521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nitrógeno de plantas de maíz suave para varias dosis de magnesio evaluadas en Bolívar, Chimborazo, Imbabura (2006-2015).</w:t>
            </w:r>
          </w:p>
        </w:tc>
        <w:tc>
          <w:tcPr>
            <w:tcW w:w="1134" w:type="dxa"/>
            <w:shd w:val="clear" w:color="auto" w:fill="auto"/>
            <w:noWrap/>
            <w:vAlign w:val="center"/>
            <w:hideMark/>
          </w:tcPr>
          <w:p w14:paraId="1830AEF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129</w:t>
            </w:r>
          </w:p>
        </w:tc>
      </w:tr>
      <w:tr w:rsidR="00406C2B" w:rsidRPr="00C65C45" w14:paraId="00A81F88" w14:textId="77777777" w:rsidTr="00406C2B">
        <w:trPr>
          <w:trHeight w:val="300"/>
        </w:trPr>
        <w:tc>
          <w:tcPr>
            <w:tcW w:w="988" w:type="dxa"/>
            <w:shd w:val="clear" w:color="auto" w:fill="auto"/>
            <w:noWrap/>
            <w:vAlign w:val="center"/>
            <w:hideMark/>
          </w:tcPr>
          <w:p w14:paraId="301C4B3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155</w:t>
            </w:r>
          </w:p>
        </w:tc>
        <w:tc>
          <w:tcPr>
            <w:tcW w:w="6237" w:type="dxa"/>
            <w:shd w:val="clear" w:color="auto" w:fill="auto"/>
            <w:noWrap/>
            <w:vAlign w:val="center"/>
            <w:hideMark/>
          </w:tcPr>
          <w:p w14:paraId="487D880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fósforo de maíz suave, evaluado en Bolívar, Chimborazo, Imbabura (2006-2015).</w:t>
            </w:r>
          </w:p>
        </w:tc>
        <w:tc>
          <w:tcPr>
            <w:tcW w:w="1134" w:type="dxa"/>
            <w:shd w:val="clear" w:color="auto" w:fill="auto"/>
            <w:noWrap/>
            <w:vAlign w:val="center"/>
            <w:hideMark/>
          </w:tcPr>
          <w:p w14:paraId="12D7ECE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131</w:t>
            </w:r>
          </w:p>
        </w:tc>
      </w:tr>
      <w:tr w:rsidR="00406C2B" w:rsidRPr="00C65C45" w14:paraId="63CE44AA" w14:textId="77777777" w:rsidTr="00406C2B">
        <w:trPr>
          <w:trHeight w:val="300"/>
        </w:trPr>
        <w:tc>
          <w:tcPr>
            <w:tcW w:w="988" w:type="dxa"/>
            <w:shd w:val="clear" w:color="auto" w:fill="auto"/>
            <w:noWrap/>
            <w:vAlign w:val="center"/>
            <w:hideMark/>
          </w:tcPr>
          <w:p w14:paraId="4CCE4E1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156</w:t>
            </w:r>
          </w:p>
        </w:tc>
        <w:tc>
          <w:tcPr>
            <w:tcW w:w="6237" w:type="dxa"/>
            <w:shd w:val="clear" w:color="auto" w:fill="auto"/>
            <w:noWrap/>
            <w:vAlign w:val="center"/>
            <w:hideMark/>
          </w:tcPr>
          <w:p w14:paraId="2195BBB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en plantas de maíz suave evaluado en las provincias de Bolívar, Chimborazo, Imbabura (2006-2015).</w:t>
            </w:r>
          </w:p>
        </w:tc>
        <w:tc>
          <w:tcPr>
            <w:tcW w:w="1134" w:type="dxa"/>
            <w:shd w:val="clear" w:color="auto" w:fill="auto"/>
            <w:noWrap/>
            <w:vAlign w:val="center"/>
            <w:hideMark/>
          </w:tcPr>
          <w:p w14:paraId="084F431C"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132</w:t>
            </w:r>
          </w:p>
        </w:tc>
      </w:tr>
      <w:tr w:rsidR="00406C2B" w:rsidRPr="00C65C45" w14:paraId="5314A0B4" w14:textId="77777777" w:rsidTr="00406C2B">
        <w:trPr>
          <w:trHeight w:val="300"/>
        </w:trPr>
        <w:tc>
          <w:tcPr>
            <w:tcW w:w="988" w:type="dxa"/>
            <w:shd w:val="clear" w:color="auto" w:fill="auto"/>
            <w:noWrap/>
            <w:vAlign w:val="center"/>
            <w:hideMark/>
          </w:tcPr>
          <w:p w14:paraId="7B2D102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157</w:t>
            </w:r>
          </w:p>
        </w:tc>
        <w:tc>
          <w:tcPr>
            <w:tcW w:w="6237" w:type="dxa"/>
            <w:shd w:val="clear" w:color="auto" w:fill="auto"/>
            <w:noWrap/>
            <w:vAlign w:val="center"/>
            <w:hideMark/>
          </w:tcPr>
          <w:p w14:paraId="0AD0FB8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plantas de maíz suave para varias dosis de nitrógeno evaluadas en las provincias de Bolívar, Chimborazo, Imbabura 2006-2015.</w:t>
            </w:r>
          </w:p>
        </w:tc>
        <w:tc>
          <w:tcPr>
            <w:tcW w:w="1134" w:type="dxa"/>
            <w:shd w:val="clear" w:color="auto" w:fill="auto"/>
            <w:noWrap/>
            <w:vAlign w:val="center"/>
            <w:hideMark/>
          </w:tcPr>
          <w:p w14:paraId="0E4DA08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132</w:t>
            </w:r>
          </w:p>
        </w:tc>
      </w:tr>
      <w:tr w:rsidR="00406C2B" w:rsidRPr="00C65C45" w14:paraId="14750532" w14:textId="77777777" w:rsidTr="00406C2B">
        <w:trPr>
          <w:trHeight w:val="300"/>
        </w:trPr>
        <w:tc>
          <w:tcPr>
            <w:tcW w:w="988" w:type="dxa"/>
            <w:shd w:val="clear" w:color="auto" w:fill="auto"/>
            <w:noWrap/>
            <w:vAlign w:val="center"/>
            <w:hideMark/>
          </w:tcPr>
          <w:p w14:paraId="5965F9A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158</w:t>
            </w:r>
          </w:p>
        </w:tc>
        <w:tc>
          <w:tcPr>
            <w:tcW w:w="6237" w:type="dxa"/>
            <w:shd w:val="clear" w:color="auto" w:fill="auto"/>
            <w:noWrap/>
            <w:vAlign w:val="center"/>
            <w:hideMark/>
          </w:tcPr>
          <w:p w14:paraId="382824F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plantas de maíz suave para varias dosis de fosforo evaluadas en las provincias de Bolívar, Chimborazo, Imbabura 2006-2015.</w:t>
            </w:r>
          </w:p>
        </w:tc>
        <w:tc>
          <w:tcPr>
            <w:tcW w:w="1134" w:type="dxa"/>
            <w:shd w:val="clear" w:color="auto" w:fill="auto"/>
            <w:noWrap/>
            <w:vAlign w:val="center"/>
            <w:hideMark/>
          </w:tcPr>
          <w:p w14:paraId="771FA7C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132</w:t>
            </w:r>
          </w:p>
        </w:tc>
      </w:tr>
      <w:tr w:rsidR="00406C2B" w:rsidRPr="00C65C45" w14:paraId="73B90E09" w14:textId="77777777" w:rsidTr="00406C2B">
        <w:trPr>
          <w:trHeight w:val="300"/>
        </w:trPr>
        <w:tc>
          <w:tcPr>
            <w:tcW w:w="988" w:type="dxa"/>
            <w:shd w:val="clear" w:color="auto" w:fill="auto"/>
            <w:noWrap/>
            <w:vAlign w:val="center"/>
            <w:hideMark/>
          </w:tcPr>
          <w:p w14:paraId="6854F8B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159</w:t>
            </w:r>
          </w:p>
        </w:tc>
        <w:tc>
          <w:tcPr>
            <w:tcW w:w="6237" w:type="dxa"/>
            <w:shd w:val="clear" w:color="auto" w:fill="auto"/>
            <w:noWrap/>
            <w:vAlign w:val="center"/>
            <w:hideMark/>
          </w:tcPr>
          <w:p w14:paraId="1ED7B05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plantas de maíz suave para varias dosis de potasio evaluadas en las provincias de Bolívar, Chimborazo, Imbabura 2006-2015.</w:t>
            </w:r>
          </w:p>
        </w:tc>
        <w:tc>
          <w:tcPr>
            <w:tcW w:w="1134" w:type="dxa"/>
            <w:shd w:val="clear" w:color="auto" w:fill="auto"/>
            <w:noWrap/>
            <w:vAlign w:val="center"/>
            <w:hideMark/>
          </w:tcPr>
          <w:p w14:paraId="53941A1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133</w:t>
            </w:r>
          </w:p>
        </w:tc>
      </w:tr>
      <w:tr w:rsidR="00406C2B" w:rsidRPr="00C65C45" w14:paraId="74EB410C" w14:textId="77777777" w:rsidTr="00406C2B">
        <w:trPr>
          <w:trHeight w:val="300"/>
        </w:trPr>
        <w:tc>
          <w:tcPr>
            <w:tcW w:w="988" w:type="dxa"/>
            <w:shd w:val="clear" w:color="auto" w:fill="auto"/>
            <w:noWrap/>
            <w:vAlign w:val="center"/>
            <w:hideMark/>
          </w:tcPr>
          <w:p w14:paraId="1D5C65E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160</w:t>
            </w:r>
          </w:p>
        </w:tc>
        <w:tc>
          <w:tcPr>
            <w:tcW w:w="6237" w:type="dxa"/>
            <w:shd w:val="clear" w:color="auto" w:fill="auto"/>
            <w:noWrap/>
            <w:vAlign w:val="center"/>
            <w:hideMark/>
          </w:tcPr>
          <w:p w14:paraId="7CBD574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plantas de maíz suave para varias dosis de azufre evaluadas en las provincias de Bolívar, Chimborazo, Imbabura 2006-2015.</w:t>
            </w:r>
          </w:p>
        </w:tc>
        <w:tc>
          <w:tcPr>
            <w:tcW w:w="1134" w:type="dxa"/>
            <w:shd w:val="clear" w:color="auto" w:fill="auto"/>
            <w:noWrap/>
            <w:vAlign w:val="center"/>
            <w:hideMark/>
          </w:tcPr>
          <w:p w14:paraId="06C955B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133</w:t>
            </w:r>
          </w:p>
        </w:tc>
      </w:tr>
      <w:tr w:rsidR="00406C2B" w:rsidRPr="00C65C45" w14:paraId="4378843C" w14:textId="77777777" w:rsidTr="00406C2B">
        <w:trPr>
          <w:trHeight w:val="300"/>
        </w:trPr>
        <w:tc>
          <w:tcPr>
            <w:tcW w:w="988" w:type="dxa"/>
            <w:shd w:val="clear" w:color="auto" w:fill="auto"/>
            <w:noWrap/>
            <w:vAlign w:val="center"/>
            <w:hideMark/>
          </w:tcPr>
          <w:p w14:paraId="002B603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161</w:t>
            </w:r>
          </w:p>
        </w:tc>
        <w:tc>
          <w:tcPr>
            <w:tcW w:w="6237" w:type="dxa"/>
            <w:shd w:val="clear" w:color="auto" w:fill="auto"/>
            <w:noWrap/>
            <w:vAlign w:val="center"/>
            <w:hideMark/>
          </w:tcPr>
          <w:p w14:paraId="1B163B4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fósforo de plantas de maíz suave para varias dosis de magnesio evaluadas en las provincias de Bolívar, Chimborazo, Imbabura 2006-2015.</w:t>
            </w:r>
          </w:p>
        </w:tc>
        <w:tc>
          <w:tcPr>
            <w:tcW w:w="1134" w:type="dxa"/>
            <w:shd w:val="clear" w:color="auto" w:fill="auto"/>
            <w:noWrap/>
            <w:vAlign w:val="center"/>
            <w:hideMark/>
          </w:tcPr>
          <w:p w14:paraId="3EEDCA5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133</w:t>
            </w:r>
          </w:p>
        </w:tc>
      </w:tr>
      <w:tr w:rsidR="00406C2B" w:rsidRPr="00C65C45" w14:paraId="6336E97C" w14:textId="77777777" w:rsidTr="00406C2B">
        <w:trPr>
          <w:trHeight w:val="300"/>
        </w:trPr>
        <w:tc>
          <w:tcPr>
            <w:tcW w:w="988" w:type="dxa"/>
            <w:shd w:val="clear" w:color="auto" w:fill="auto"/>
            <w:noWrap/>
            <w:vAlign w:val="center"/>
            <w:hideMark/>
          </w:tcPr>
          <w:p w14:paraId="0175CBB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162</w:t>
            </w:r>
          </w:p>
        </w:tc>
        <w:tc>
          <w:tcPr>
            <w:tcW w:w="6237" w:type="dxa"/>
            <w:shd w:val="clear" w:color="auto" w:fill="auto"/>
            <w:noWrap/>
            <w:vAlign w:val="center"/>
            <w:hideMark/>
          </w:tcPr>
          <w:p w14:paraId="1F14DDC2"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potasio de maíz suave, evaluado en Bolívar, Chimborazo, Imbabura 2006-2015.</w:t>
            </w:r>
          </w:p>
        </w:tc>
        <w:tc>
          <w:tcPr>
            <w:tcW w:w="1134" w:type="dxa"/>
            <w:shd w:val="clear" w:color="auto" w:fill="auto"/>
            <w:noWrap/>
            <w:vAlign w:val="center"/>
            <w:hideMark/>
          </w:tcPr>
          <w:p w14:paraId="7E8C30B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135</w:t>
            </w:r>
          </w:p>
        </w:tc>
      </w:tr>
      <w:tr w:rsidR="00406C2B" w:rsidRPr="00C65C45" w14:paraId="48647738" w14:textId="77777777" w:rsidTr="00406C2B">
        <w:trPr>
          <w:trHeight w:val="300"/>
        </w:trPr>
        <w:tc>
          <w:tcPr>
            <w:tcW w:w="988" w:type="dxa"/>
            <w:shd w:val="clear" w:color="auto" w:fill="auto"/>
            <w:noWrap/>
            <w:vAlign w:val="center"/>
            <w:hideMark/>
          </w:tcPr>
          <w:p w14:paraId="4CA8376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163</w:t>
            </w:r>
          </w:p>
        </w:tc>
        <w:tc>
          <w:tcPr>
            <w:tcW w:w="6237" w:type="dxa"/>
            <w:shd w:val="clear" w:color="auto" w:fill="auto"/>
            <w:noWrap/>
            <w:vAlign w:val="center"/>
            <w:hideMark/>
          </w:tcPr>
          <w:p w14:paraId="6C623FD5" w14:textId="4B160C8C"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en plantas de maíz suave, evaluado en las provincias de Bolívar, Chimborazo, Imbabura 2006-2015.</w:t>
            </w:r>
          </w:p>
        </w:tc>
        <w:tc>
          <w:tcPr>
            <w:tcW w:w="1134" w:type="dxa"/>
            <w:shd w:val="clear" w:color="auto" w:fill="auto"/>
            <w:noWrap/>
            <w:vAlign w:val="center"/>
            <w:hideMark/>
          </w:tcPr>
          <w:p w14:paraId="1037D148"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136</w:t>
            </w:r>
          </w:p>
        </w:tc>
      </w:tr>
      <w:tr w:rsidR="00406C2B" w:rsidRPr="00C65C45" w14:paraId="5003E0F2" w14:textId="77777777" w:rsidTr="00406C2B">
        <w:trPr>
          <w:trHeight w:val="300"/>
        </w:trPr>
        <w:tc>
          <w:tcPr>
            <w:tcW w:w="988" w:type="dxa"/>
            <w:shd w:val="clear" w:color="auto" w:fill="auto"/>
            <w:noWrap/>
            <w:vAlign w:val="center"/>
            <w:hideMark/>
          </w:tcPr>
          <w:p w14:paraId="513E84C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164</w:t>
            </w:r>
          </w:p>
        </w:tc>
        <w:tc>
          <w:tcPr>
            <w:tcW w:w="6237" w:type="dxa"/>
            <w:shd w:val="clear" w:color="auto" w:fill="auto"/>
            <w:noWrap/>
            <w:vAlign w:val="center"/>
            <w:hideMark/>
          </w:tcPr>
          <w:p w14:paraId="66795DB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en plantas de maíz suave para diversas dosis de nitrógeno evaluado en Bolívar, Chimborazo, Imbabura 2006-2015.</w:t>
            </w:r>
          </w:p>
        </w:tc>
        <w:tc>
          <w:tcPr>
            <w:tcW w:w="1134" w:type="dxa"/>
            <w:shd w:val="clear" w:color="auto" w:fill="auto"/>
            <w:noWrap/>
            <w:vAlign w:val="center"/>
            <w:hideMark/>
          </w:tcPr>
          <w:p w14:paraId="590C82D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136</w:t>
            </w:r>
          </w:p>
        </w:tc>
      </w:tr>
      <w:tr w:rsidR="00406C2B" w:rsidRPr="00C65C45" w14:paraId="5C735257" w14:textId="77777777" w:rsidTr="00406C2B">
        <w:trPr>
          <w:trHeight w:val="300"/>
        </w:trPr>
        <w:tc>
          <w:tcPr>
            <w:tcW w:w="988" w:type="dxa"/>
            <w:shd w:val="clear" w:color="auto" w:fill="auto"/>
            <w:noWrap/>
            <w:vAlign w:val="center"/>
            <w:hideMark/>
          </w:tcPr>
          <w:p w14:paraId="3FD98D4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165</w:t>
            </w:r>
          </w:p>
        </w:tc>
        <w:tc>
          <w:tcPr>
            <w:tcW w:w="6237" w:type="dxa"/>
            <w:shd w:val="clear" w:color="auto" w:fill="auto"/>
            <w:noWrap/>
            <w:vAlign w:val="center"/>
            <w:hideMark/>
          </w:tcPr>
          <w:p w14:paraId="180D2C0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Absorción total de potasio en plantas de maíz suave para diversas dosis de fosforo evaluado en las provincias de Bolívar, Chimborazo, Imbabura 2006-2015.</w:t>
            </w:r>
          </w:p>
        </w:tc>
        <w:tc>
          <w:tcPr>
            <w:tcW w:w="1134" w:type="dxa"/>
            <w:shd w:val="clear" w:color="auto" w:fill="auto"/>
            <w:noWrap/>
            <w:vAlign w:val="center"/>
            <w:hideMark/>
          </w:tcPr>
          <w:p w14:paraId="4C5E65C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136</w:t>
            </w:r>
          </w:p>
        </w:tc>
      </w:tr>
      <w:tr w:rsidR="00406C2B" w:rsidRPr="00C65C45" w14:paraId="2FC2E052" w14:textId="77777777" w:rsidTr="00406C2B">
        <w:trPr>
          <w:trHeight w:val="300"/>
        </w:trPr>
        <w:tc>
          <w:tcPr>
            <w:tcW w:w="988" w:type="dxa"/>
            <w:shd w:val="clear" w:color="auto" w:fill="auto"/>
            <w:noWrap/>
            <w:vAlign w:val="center"/>
            <w:hideMark/>
          </w:tcPr>
          <w:p w14:paraId="4F2AC5A5"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166</w:t>
            </w:r>
          </w:p>
        </w:tc>
        <w:tc>
          <w:tcPr>
            <w:tcW w:w="6237" w:type="dxa"/>
            <w:shd w:val="clear" w:color="auto" w:fill="auto"/>
            <w:noWrap/>
            <w:vAlign w:val="center"/>
            <w:hideMark/>
          </w:tcPr>
          <w:p w14:paraId="36ED3651"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val="es-ES" w:eastAsia="es-EC"/>
              </w:rPr>
              <w:t>Absorción total de potasio en plantas de maíz suave para diversas dosis de potasio evaluado en las provincias de Bolívar, Chimborazo, Imbabura 2006-2015.</w:t>
            </w:r>
          </w:p>
        </w:tc>
        <w:tc>
          <w:tcPr>
            <w:tcW w:w="1134" w:type="dxa"/>
            <w:shd w:val="clear" w:color="auto" w:fill="auto"/>
            <w:noWrap/>
            <w:vAlign w:val="center"/>
            <w:hideMark/>
          </w:tcPr>
          <w:p w14:paraId="4549801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137</w:t>
            </w:r>
          </w:p>
        </w:tc>
      </w:tr>
      <w:tr w:rsidR="00406C2B" w:rsidRPr="00C65C45" w14:paraId="33BDC3EC" w14:textId="77777777" w:rsidTr="00406C2B">
        <w:trPr>
          <w:trHeight w:val="300"/>
        </w:trPr>
        <w:tc>
          <w:tcPr>
            <w:tcW w:w="988" w:type="dxa"/>
            <w:shd w:val="clear" w:color="auto" w:fill="auto"/>
            <w:noWrap/>
            <w:vAlign w:val="center"/>
            <w:hideMark/>
          </w:tcPr>
          <w:p w14:paraId="622482F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167</w:t>
            </w:r>
          </w:p>
        </w:tc>
        <w:tc>
          <w:tcPr>
            <w:tcW w:w="6237" w:type="dxa"/>
            <w:shd w:val="clear" w:color="auto" w:fill="auto"/>
            <w:noWrap/>
            <w:vAlign w:val="center"/>
            <w:hideMark/>
          </w:tcPr>
          <w:p w14:paraId="2DC0AA5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en plantas de maíz suave para diversas dosis de azufre evaluado en las provincias de Bolívar, Chimborazo, Imbabura 2006-2015. Dosis de Potasio empleada en el ensayo</w:t>
            </w:r>
          </w:p>
        </w:tc>
        <w:tc>
          <w:tcPr>
            <w:tcW w:w="1134" w:type="dxa"/>
            <w:shd w:val="clear" w:color="auto" w:fill="auto"/>
            <w:noWrap/>
            <w:vAlign w:val="center"/>
            <w:hideMark/>
          </w:tcPr>
          <w:p w14:paraId="53530A4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137</w:t>
            </w:r>
          </w:p>
        </w:tc>
      </w:tr>
      <w:tr w:rsidR="00406C2B" w:rsidRPr="00C65C45" w14:paraId="2180944F" w14:textId="77777777" w:rsidTr="00406C2B">
        <w:trPr>
          <w:trHeight w:val="300"/>
        </w:trPr>
        <w:tc>
          <w:tcPr>
            <w:tcW w:w="988" w:type="dxa"/>
            <w:shd w:val="clear" w:color="auto" w:fill="auto"/>
            <w:noWrap/>
            <w:vAlign w:val="center"/>
            <w:hideMark/>
          </w:tcPr>
          <w:p w14:paraId="1211F9D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168</w:t>
            </w:r>
          </w:p>
        </w:tc>
        <w:tc>
          <w:tcPr>
            <w:tcW w:w="6237" w:type="dxa"/>
            <w:shd w:val="clear" w:color="auto" w:fill="auto"/>
            <w:noWrap/>
            <w:vAlign w:val="center"/>
            <w:hideMark/>
          </w:tcPr>
          <w:p w14:paraId="56A9B2E5"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potasio en plantas de maíz suave para diversas dosis de magnesio evaluado en Bolívar, Chimborazo, Imbabura 2006-2015. Dosis de Potasio empleada en el ensayo</w:t>
            </w:r>
          </w:p>
        </w:tc>
        <w:tc>
          <w:tcPr>
            <w:tcW w:w="1134" w:type="dxa"/>
            <w:shd w:val="clear" w:color="auto" w:fill="auto"/>
            <w:noWrap/>
            <w:vAlign w:val="center"/>
            <w:hideMark/>
          </w:tcPr>
          <w:p w14:paraId="4740F19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137</w:t>
            </w:r>
          </w:p>
        </w:tc>
      </w:tr>
      <w:tr w:rsidR="00406C2B" w:rsidRPr="00C65C45" w14:paraId="0474A0C5" w14:textId="77777777" w:rsidTr="00406C2B">
        <w:trPr>
          <w:trHeight w:val="300"/>
        </w:trPr>
        <w:tc>
          <w:tcPr>
            <w:tcW w:w="988" w:type="dxa"/>
            <w:shd w:val="clear" w:color="auto" w:fill="auto"/>
            <w:noWrap/>
            <w:vAlign w:val="center"/>
            <w:hideMark/>
          </w:tcPr>
          <w:p w14:paraId="5CC6507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169</w:t>
            </w:r>
          </w:p>
        </w:tc>
        <w:tc>
          <w:tcPr>
            <w:tcW w:w="6237" w:type="dxa"/>
            <w:shd w:val="clear" w:color="auto" w:fill="auto"/>
            <w:noWrap/>
            <w:vAlign w:val="center"/>
            <w:hideMark/>
          </w:tcPr>
          <w:p w14:paraId="3F0B0203"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azufre de maíz suave en grano seco, evaluado (Consolidado) en Bolívar, Chimborazo, Imbabura (2006-2015).</w:t>
            </w:r>
          </w:p>
        </w:tc>
        <w:tc>
          <w:tcPr>
            <w:tcW w:w="1134" w:type="dxa"/>
            <w:shd w:val="clear" w:color="auto" w:fill="auto"/>
            <w:noWrap/>
            <w:vAlign w:val="center"/>
            <w:hideMark/>
          </w:tcPr>
          <w:p w14:paraId="2458F9D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139</w:t>
            </w:r>
          </w:p>
        </w:tc>
      </w:tr>
      <w:tr w:rsidR="00406C2B" w:rsidRPr="00C65C45" w14:paraId="0ABA6AB8" w14:textId="77777777" w:rsidTr="00406C2B">
        <w:trPr>
          <w:trHeight w:val="300"/>
        </w:trPr>
        <w:tc>
          <w:tcPr>
            <w:tcW w:w="988" w:type="dxa"/>
            <w:shd w:val="clear" w:color="auto" w:fill="auto"/>
            <w:noWrap/>
            <w:vAlign w:val="center"/>
            <w:hideMark/>
          </w:tcPr>
          <w:p w14:paraId="094850E1"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170</w:t>
            </w:r>
          </w:p>
        </w:tc>
        <w:tc>
          <w:tcPr>
            <w:tcW w:w="6237" w:type="dxa"/>
            <w:shd w:val="clear" w:color="auto" w:fill="auto"/>
            <w:noWrap/>
            <w:vAlign w:val="center"/>
            <w:hideMark/>
          </w:tcPr>
          <w:p w14:paraId="36537AC4" w14:textId="27EC2AA2"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en plantas de maíz suave, evaluado en las provincias de Bolívar, Chimborazo, Imbabura 2006-2015.</w:t>
            </w:r>
          </w:p>
        </w:tc>
        <w:tc>
          <w:tcPr>
            <w:tcW w:w="1134" w:type="dxa"/>
            <w:shd w:val="clear" w:color="auto" w:fill="auto"/>
            <w:noWrap/>
            <w:vAlign w:val="center"/>
            <w:hideMark/>
          </w:tcPr>
          <w:p w14:paraId="3B997F6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140</w:t>
            </w:r>
          </w:p>
        </w:tc>
      </w:tr>
      <w:tr w:rsidR="00406C2B" w:rsidRPr="00C65C45" w14:paraId="432D3FB1" w14:textId="77777777" w:rsidTr="00406C2B">
        <w:trPr>
          <w:trHeight w:val="300"/>
        </w:trPr>
        <w:tc>
          <w:tcPr>
            <w:tcW w:w="988" w:type="dxa"/>
            <w:shd w:val="clear" w:color="auto" w:fill="auto"/>
            <w:noWrap/>
            <w:vAlign w:val="center"/>
            <w:hideMark/>
          </w:tcPr>
          <w:p w14:paraId="2C9CBA7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171</w:t>
            </w:r>
          </w:p>
        </w:tc>
        <w:tc>
          <w:tcPr>
            <w:tcW w:w="6237" w:type="dxa"/>
            <w:shd w:val="clear" w:color="auto" w:fill="auto"/>
            <w:noWrap/>
            <w:vAlign w:val="center"/>
            <w:hideMark/>
          </w:tcPr>
          <w:p w14:paraId="13A9FB6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en plantas de maíz suave para diversas dosis de nitrógeno evaluado en las provincias de Bolívar, Chimborazo, Imbabura 2006-2015.</w:t>
            </w:r>
          </w:p>
        </w:tc>
        <w:tc>
          <w:tcPr>
            <w:tcW w:w="1134" w:type="dxa"/>
            <w:shd w:val="clear" w:color="auto" w:fill="auto"/>
            <w:noWrap/>
            <w:vAlign w:val="center"/>
            <w:hideMark/>
          </w:tcPr>
          <w:p w14:paraId="7B1DD97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140</w:t>
            </w:r>
          </w:p>
        </w:tc>
      </w:tr>
      <w:tr w:rsidR="00406C2B" w:rsidRPr="00C65C45" w14:paraId="749643A2" w14:textId="77777777" w:rsidTr="00406C2B">
        <w:trPr>
          <w:trHeight w:val="300"/>
        </w:trPr>
        <w:tc>
          <w:tcPr>
            <w:tcW w:w="988" w:type="dxa"/>
            <w:shd w:val="clear" w:color="auto" w:fill="auto"/>
            <w:noWrap/>
            <w:vAlign w:val="center"/>
            <w:hideMark/>
          </w:tcPr>
          <w:p w14:paraId="39F13474"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172</w:t>
            </w:r>
          </w:p>
        </w:tc>
        <w:tc>
          <w:tcPr>
            <w:tcW w:w="6237" w:type="dxa"/>
            <w:shd w:val="clear" w:color="auto" w:fill="auto"/>
            <w:noWrap/>
            <w:vAlign w:val="center"/>
            <w:hideMark/>
          </w:tcPr>
          <w:p w14:paraId="75762718" w14:textId="2A2C562E"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en plantas de maíz suave para diversas dosis de fósforo evaluado en las provincias de Bolívar, Chimborazo, Imbabura 2006-2015.</w:t>
            </w:r>
          </w:p>
        </w:tc>
        <w:tc>
          <w:tcPr>
            <w:tcW w:w="1134" w:type="dxa"/>
            <w:shd w:val="clear" w:color="auto" w:fill="auto"/>
            <w:noWrap/>
            <w:vAlign w:val="center"/>
            <w:hideMark/>
          </w:tcPr>
          <w:p w14:paraId="50C6C59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140</w:t>
            </w:r>
          </w:p>
        </w:tc>
      </w:tr>
      <w:tr w:rsidR="00406C2B" w:rsidRPr="00C65C45" w14:paraId="73133DF2" w14:textId="77777777" w:rsidTr="00406C2B">
        <w:trPr>
          <w:trHeight w:val="300"/>
        </w:trPr>
        <w:tc>
          <w:tcPr>
            <w:tcW w:w="988" w:type="dxa"/>
            <w:shd w:val="clear" w:color="auto" w:fill="auto"/>
            <w:noWrap/>
            <w:vAlign w:val="center"/>
            <w:hideMark/>
          </w:tcPr>
          <w:p w14:paraId="43AD96A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173</w:t>
            </w:r>
          </w:p>
        </w:tc>
        <w:tc>
          <w:tcPr>
            <w:tcW w:w="6237" w:type="dxa"/>
            <w:shd w:val="clear" w:color="auto" w:fill="auto"/>
            <w:noWrap/>
            <w:vAlign w:val="center"/>
            <w:hideMark/>
          </w:tcPr>
          <w:p w14:paraId="7578BD8F"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en plantas de maíz suave para diversas dosis de potasio evaluado en las provincias de Bolívar, Chimborazo, Imbabura 2006-2015.</w:t>
            </w:r>
          </w:p>
        </w:tc>
        <w:tc>
          <w:tcPr>
            <w:tcW w:w="1134" w:type="dxa"/>
            <w:shd w:val="clear" w:color="auto" w:fill="auto"/>
            <w:noWrap/>
            <w:vAlign w:val="center"/>
            <w:hideMark/>
          </w:tcPr>
          <w:p w14:paraId="340D08B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141</w:t>
            </w:r>
          </w:p>
        </w:tc>
      </w:tr>
      <w:tr w:rsidR="00406C2B" w:rsidRPr="00C65C45" w14:paraId="22B319B0" w14:textId="77777777" w:rsidTr="00406C2B">
        <w:trPr>
          <w:trHeight w:val="300"/>
        </w:trPr>
        <w:tc>
          <w:tcPr>
            <w:tcW w:w="988" w:type="dxa"/>
            <w:shd w:val="clear" w:color="auto" w:fill="auto"/>
            <w:noWrap/>
            <w:vAlign w:val="center"/>
            <w:hideMark/>
          </w:tcPr>
          <w:p w14:paraId="443C705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174</w:t>
            </w:r>
          </w:p>
        </w:tc>
        <w:tc>
          <w:tcPr>
            <w:tcW w:w="6237" w:type="dxa"/>
            <w:shd w:val="clear" w:color="auto" w:fill="auto"/>
            <w:noWrap/>
            <w:vAlign w:val="center"/>
            <w:hideMark/>
          </w:tcPr>
          <w:p w14:paraId="5DAE842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en plantas de maíz suave para diversas dosis de azufre evaluado en las provincias de Bolívar, Chimborazo, Imbabura 2006-2015.</w:t>
            </w:r>
          </w:p>
        </w:tc>
        <w:tc>
          <w:tcPr>
            <w:tcW w:w="1134" w:type="dxa"/>
            <w:shd w:val="clear" w:color="auto" w:fill="auto"/>
            <w:noWrap/>
            <w:vAlign w:val="center"/>
            <w:hideMark/>
          </w:tcPr>
          <w:p w14:paraId="0B10E879"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141</w:t>
            </w:r>
          </w:p>
        </w:tc>
      </w:tr>
      <w:tr w:rsidR="00406C2B" w:rsidRPr="00C65C45" w14:paraId="075CEEDF" w14:textId="77777777" w:rsidTr="00406C2B">
        <w:trPr>
          <w:trHeight w:val="300"/>
        </w:trPr>
        <w:tc>
          <w:tcPr>
            <w:tcW w:w="988" w:type="dxa"/>
            <w:shd w:val="clear" w:color="auto" w:fill="auto"/>
            <w:noWrap/>
            <w:vAlign w:val="center"/>
            <w:hideMark/>
          </w:tcPr>
          <w:p w14:paraId="4BED4376"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175</w:t>
            </w:r>
          </w:p>
        </w:tc>
        <w:tc>
          <w:tcPr>
            <w:tcW w:w="6237" w:type="dxa"/>
            <w:shd w:val="clear" w:color="auto" w:fill="auto"/>
            <w:noWrap/>
            <w:vAlign w:val="center"/>
            <w:hideMark/>
          </w:tcPr>
          <w:p w14:paraId="6841ED7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azufre en plantas de maíz suave para diversas dosis de magnesio evaluado en las provincias de Bolívar, Chimborazo, Imbabura 2006-2015.</w:t>
            </w:r>
          </w:p>
        </w:tc>
        <w:tc>
          <w:tcPr>
            <w:tcW w:w="1134" w:type="dxa"/>
            <w:shd w:val="clear" w:color="auto" w:fill="auto"/>
            <w:noWrap/>
            <w:vAlign w:val="center"/>
            <w:hideMark/>
          </w:tcPr>
          <w:p w14:paraId="4440DCA1"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141</w:t>
            </w:r>
          </w:p>
        </w:tc>
      </w:tr>
      <w:tr w:rsidR="00406C2B" w:rsidRPr="00C65C45" w14:paraId="4BF80D57" w14:textId="77777777" w:rsidTr="00406C2B">
        <w:trPr>
          <w:trHeight w:val="300"/>
        </w:trPr>
        <w:tc>
          <w:tcPr>
            <w:tcW w:w="988" w:type="dxa"/>
            <w:shd w:val="clear" w:color="auto" w:fill="auto"/>
            <w:noWrap/>
            <w:vAlign w:val="center"/>
            <w:hideMark/>
          </w:tcPr>
          <w:p w14:paraId="1344A77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176</w:t>
            </w:r>
          </w:p>
        </w:tc>
        <w:tc>
          <w:tcPr>
            <w:tcW w:w="6237" w:type="dxa"/>
            <w:shd w:val="clear" w:color="auto" w:fill="auto"/>
            <w:noWrap/>
            <w:vAlign w:val="center"/>
            <w:hideMark/>
          </w:tcPr>
          <w:p w14:paraId="4BD8905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Análisis de la Varianza (SC tipo I) y porcentaje de varianza para absorción de magnesio de maíz suave en grano seco, evaluado (Consolidado) en las provincias de Bolívar, Chimborazo, Imbabura 2006-2015.</w:t>
            </w:r>
          </w:p>
        </w:tc>
        <w:tc>
          <w:tcPr>
            <w:tcW w:w="1134" w:type="dxa"/>
            <w:shd w:val="clear" w:color="auto" w:fill="auto"/>
            <w:noWrap/>
            <w:vAlign w:val="center"/>
            <w:hideMark/>
          </w:tcPr>
          <w:p w14:paraId="4E27125B"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143</w:t>
            </w:r>
          </w:p>
        </w:tc>
      </w:tr>
      <w:tr w:rsidR="00406C2B" w:rsidRPr="00C65C45" w14:paraId="0A60D435" w14:textId="77777777" w:rsidTr="00406C2B">
        <w:trPr>
          <w:trHeight w:val="300"/>
        </w:trPr>
        <w:tc>
          <w:tcPr>
            <w:tcW w:w="988" w:type="dxa"/>
            <w:shd w:val="clear" w:color="auto" w:fill="auto"/>
            <w:noWrap/>
            <w:vAlign w:val="center"/>
            <w:hideMark/>
          </w:tcPr>
          <w:p w14:paraId="0624AC1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177</w:t>
            </w:r>
          </w:p>
        </w:tc>
        <w:tc>
          <w:tcPr>
            <w:tcW w:w="6237" w:type="dxa"/>
            <w:shd w:val="clear" w:color="auto" w:fill="auto"/>
            <w:noWrap/>
            <w:vAlign w:val="center"/>
            <w:hideMark/>
          </w:tcPr>
          <w:p w14:paraId="47EB580E"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en plantas de maíz suave evaluadas en las provincias de Bolívar, Chimborazo, Imbabura 2006-2015.</w:t>
            </w:r>
          </w:p>
        </w:tc>
        <w:tc>
          <w:tcPr>
            <w:tcW w:w="1134" w:type="dxa"/>
            <w:shd w:val="clear" w:color="auto" w:fill="auto"/>
            <w:noWrap/>
            <w:vAlign w:val="center"/>
            <w:hideMark/>
          </w:tcPr>
          <w:p w14:paraId="2A9DFF88"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144</w:t>
            </w:r>
          </w:p>
        </w:tc>
      </w:tr>
      <w:tr w:rsidR="00406C2B" w:rsidRPr="00C65C45" w14:paraId="6A045DAF" w14:textId="77777777" w:rsidTr="00406C2B">
        <w:trPr>
          <w:trHeight w:val="300"/>
        </w:trPr>
        <w:tc>
          <w:tcPr>
            <w:tcW w:w="988" w:type="dxa"/>
            <w:shd w:val="clear" w:color="auto" w:fill="auto"/>
            <w:noWrap/>
            <w:vAlign w:val="center"/>
            <w:hideMark/>
          </w:tcPr>
          <w:p w14:paraId="3FB9B9E3"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178</w:t>
            </w:r>
          </w:p>
        </w:tc>
        <w:tc>
          <w:tcPr>
            <w:tcW w:w="6237" w:type="dxa"/>
            <w:shd w:val="clear" w:color="auto" w:fill="auto"/>
            <w:noWrap/>
            <w:vAlign w:val="center"/>
            <w:hideMark/>
          </w:tcPr>
          <w:p w14:paraId="531D21FD"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en plantas de maíz suave para diversas dosis de nitrógeno evaluado en Bolívar, Chimborazo, Imbabura 2006-2015.</w:t>
            </w:r>
          </w:p>
        </w:tc>
        <w:tc>
          <w:tcPr>
            <w:tcW w:w="1134" w:type="dxa"/>
            <w:shd w:val="clear" w:color="auto" w:fill="auto"/>
            <w:noWrap/>
            <w:vAlign w:val="center"/>
            <w:hideMark/>
          </w:tcPr>
          <w:p w14:paraId="1FADCFA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144</w:t>
            </w:r>
          </w:p>
        </w:tc>
      </w:tr>
      <w:tr w:rsidR="00406C2B" w:rsidRPr="00C65C45" w14:paraId="54C26923" w14:textId="77777777" w:rsidTr="00406C2B">
        <w:trPr>
          <w:trHeight w:val="300"/>
        </w:trPr>
        <w:tc>
          <w:tcPr>
            <w:tcW w:w="988" w:type="dxa"/>
            <w:shd w:val="clear" w:color="auto" w:fill="auto"/>
            <w:noWrap/>
            <w:vAlign w:val="center"/>
            <w:hideMark/>
          </w:tcPr>
          <w:p w14:paraId="448AF3D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179</w:t>
            </w:r>
          </w:p>
        </w:tc>
        <w:tc>
          <w:tcPr>
            <w:tcW w:w="6237" w:type="dxa"/>
            <w:shd w:val="clear" w:color="auto" w:fill="auto"/>
            <w:noWrap/>
            <w:vAlign w:val="center"/>
            <w:hideMark/>
          </w:tcPr>
          <w:p w14:paraId="21BA57B4"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en plantas de maíz suave para diversas dosis de fósforo evaluado en Bolívar, Chimborazo, Imbabura 2006-2015.</w:t>
            </w:r>
          </w:p>
        </w:tc>
        <w:tc>
          <w:tcPr>
            <w:tcW w:w="1134" w:type="dxa"/>
            <w:shd w:val="clear" w:color="auto" w:fill="auto"/>
            <w:noWrap/>
            <w:vAlign w:val="center"/>
            <w:hideMark/>
          </w:tcPr>
          <w:p w14:paraId="04C355E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144</w:t>
            </w:r>
          </w:p>
        </w:tc>
      </w:tr>
      <w:tr w:rsidR="00406C2B" w:rsidRPr="00C65C45" w14:paraId="48836508" w14:textId="77777777" w:rsidTr="00406C2B">
        <w:trPr>
          <w:trHeight w:val="300"/>
        </w:trPr>
        <w:tc>
          <w:tcPr>
            <w:tcW w:w="988" w:type="dxa"/>
            <w:shd w:val="clear" w:color="auto" w:fill="auto"/>
            <w:noWrap/>
            <w:vAlign w:val="center"/>
            <w:hideMark/>
          </w:tcPr>
          <w:p w14:paraId="414839B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180</w:t>
            </w:r>
          </w:p>
        </w:tc>
        <w:tc>
          <w:tcPr>
            <w:tcW w:w="6237" w:type="dxa"/>
            <w:shd w:val="clear" w:color="auto" w:fill="auto"/>
            <w:noWrap/>
            <w:vAlign w:val="center"/>
            <w:hideMark/>
          </w:tcPr>
          <w:p w14:paraId="0ADBA8D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en plantas de maíz suave para diversas dosis de potasio evaluado en Bolívar, Chimborazo, Imbabura 2006-2015.</w:t>
            </w:r>
          </w:p>
        </w:tc>
        <w:tc>
          <w:tcPr>
            <w:tcW w:w="1134" w:type="dxa"/>
            <w:shd w:val="clear" w:color="auto" w:fill="auto"/>
            <w:noWrap/>
            <w:vAlign w:val="center"/>
            <w:hideMark/>
          </w:tcPr>
          <w:p w14:paraId="27E99EF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145</w:t>
            </w:r>
          </w:p>
        </w:tc>
      </w:tr>
      <w:tr w:rsidR="00406C2B" w:rsidRPr="00C65C45" w14:paraId="10BF78DA" w14:textId="77777777" w:rsidTr="00406C2B">
        <w:trPr>
          <w:trHeight w:val="300"/>
        </w:trPr>
        <w:tc>
          <w:tcPr>
            <w:tcW w:w="988" w:type="dxa"/>
            <w:shd w:val="clear" w:color="auto" w:fill="auto"/>
            <w:noWrap/>
            <w:vAlign w:val="center"/>
            <w:hideMark/>
          </w:tcPr>
          <w:p w14:paraId="73C7C9CE"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181</w:t>
            </w:r>
          </w:p>
        </w:tc>
        <w:tc>
          <w:tcPr>
            <w:tcW w:w="6237" w:type="dxa"/>
            <w:shd w:val="clear" w:color="auto" w:fill="auto"/>
            <w:noWrap/>
            <w:vAlign w:val="center"/>
            <w:hideMark/>
          </w:tcPr>
          <w:p w14:paraId="5295E53C"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en plantas de maíz suave para diversas dosis de azufre evaluado en Bolívar, Chimborazo, Imbabura 2006-2015.</w:t>
            </w:r>
          </w:p>
        </w:tc>
        <w:tc>
          <w:tcPr>
            <w:tcW w:w="1134" w:type="dxa"/>
            <w:shd w:val="clear" w:color="auto" w:fill="auto"/>
            <w:noWrap/>
            <w:vAlign w:val="center"/>
            <w:hideMark/>
          </w:tcPr>
          <w:p w14:paraId="5B88234F"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145</w:t>
            </w:r>
          </w:p>
        </w:tc>
      </w:tr>
      <w:tr w:rsidR="00406C2B" w:rsidRPr="00C65C45" w14:paraId="70A2B299" w14:textId="77777777" w:rsidTr="00406C2B">
        <w:trPr>
          <w:trHeight w:val="300"/>
        </w:trPr>
        <w:tc>
          <w:tcPr>
            <w:tcW w:w="988" w:type="dxa"/>
            <w:shd w:val="clear" w:color="auto" w:fill="auto"/>
            <w:noWrap/>
            <w:vAlign w:val="center"/>
            <w:hideMark/>
          </w:tcPr>
          <w:p w14:paraId="1C8BECEF"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182</w:t>
            </w:r>
          </w:p>
        </w:tc>
        <w:tc>
          <w:tcPr>
            <w:tcW w:w="6237" w:type="dxa"/>
            <w:shd w:val="clear" w:color="auto" w:fill="auto"/>
            <w:noWrap/>
            <w:vAlign w:val="center"/>
            <w:hideMark/>
          </w:tcPr>
          <w:p w14:paraId="3F0D46F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Absorción total de magnesio en plantas de maíz suave para diversas dosis de magnesio evaluado en las provincias de Bolívar, Chimborazo, Imbabura 2006-2015.</w:t>
            </w:r>
          </w:p>
        </w:tc>
        <w:tc>
          <w:tcPr>
            <w:tcW w:w="1134" w:type="dxa"/>
            <w:shd w:val="clear" w:color="auto" w:fill="auto"/>
            <w:noWrap/>
            <w:vAlign w:val="center"/>
            <w:hideMark/>
          </w:tcPr>
          <w:p w14:paraId="7B687022"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145</w:t>
            </w:r>
          </w:p>
        </w:tc>
      </w:tr>
      <w:tr w:rsidR="00406C2B" w:rsidRPr="00C65C45" w14:paraId="1B73B7CF" w14:textId="77777777" w:rsidTr="00406C2B">
        <w:trPr>
          <w:trHeight w:val="300"/>
        </w:trPr>
        <w:tc>
          <w:tcPr>
            <w:tcW w:w="988" w:type="dxa"/>
            <w:shd w:val="clear" w:color="auto" w:fill="auto"/>
            <w:noWrap/>
            <w:vAlign w:val="center"/>
            <w:hideMark/>
          </w:tcPr>
          <w:p w14:paraId="2CAA874D"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lastRenderedPageBreak/>
              <w:t>N° 183</w:t>
            </w:r>
          </w:p>
        </w:tc>
        <w:tc>
          <w:tcPr>
            <w:tcW w:w="6237" w:type="dxa"/>
            <w:shd w:val="clear" w:color="auto" w:fill="auto"/>
            <w:noWrap/>
            <w:vAlign w:val="center"/>
            <w:hideMark/>
          </w:tcPr>
          <w:p w14:paraId="25156838"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promedio de maíz en grano seco obtenidas en 242 parcelas entre el 2006 al 2015.</w:t>
            </w:r>
          </w:p>
        </w:tc>
        <w:tc>
          <w:tcPr>
            <w:tcW w:w="1134" w:type="dxa"/>
            <w:shd w:val="clear" w:color="auto" w:fill="auto"/>
            <w:noWrap/>
            <w:vAlign w:val="center"/>
            <w:hideMark/>
          </w:tcPr>
          <w:p w14:paraId="414BFE9E"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148</w:t>
            </w:r>
          </w:p>
        </w:tc>
      </w:tr>
      <w:tr w:rsidR="00406C2B" w:rsidRPr="00C65C45" w14:paraId="37E1CCF8" w14:textId="77777777" w:rsidTr="00406C2B">
        <w:trPr>
          <w:trHeight w:val="300"/>
        </w:trPr>
        <w:tc>
          <w:tcPr>
            <w:tcW w:w="988" w:type="dxa"/>
            <w:shd w:val="clear" w:color="auto" w:fill="auto"/>
            <w:noWrap/>
            <w:vAlign w:val="center"/>
            <w:hideMark/>
          </w:tcPr>
          <w:p w14:paraId="415F53D2"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184</w:t>
            </w:r>
          </w:p>
        </w:tc>
        <w:tc>
          <w:tcPr>
            <w:tcW w:w="6237" w:type="dxa"/>
            <w:shd w:val="clear" w:color="auto" w:fill="auto"/>
            <w:noWrap/>
            <w:vAlign w:val="center"/>
            <w:hideMark/>
          </w:tcPr>
          <w:p w14:paraId="011F6E0B"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en grano seco en tres provincias de la sierra del Ecuador (Bolívar, Chimborazo e Imbabura) durante el periodo 2012-2015</w:t>
            </w:r>
          </w:p>
        </w:tc>
        <w:tc>
          <w:tcPr>
            <w:tcW w:w="1134" w:type="dxa"/>
            <w:shd w:val="clear" w:color="auto" w:fill="auto"/>
            <w:noWrap/>
            <w:vAlign w:val="center"/>
            <w:hideMark/>
          </w:tcPr>
          <w:p w14:paraId="2DCD4BCD"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149</w:t>
            </w:r>
          </w:p>
        </w:tc>
      </w:tr>
      <w:tr w:rsidR="00406C2B" w:rsidRPr="00C65C45" w14:paraId="6F9B3787" w14:textId="77777777" w:rsidTr="00406C2B">
        <w:trPr>
          <w:trHeight w:val="300"/>
        </w:trPr>
        <w:tc>
          <w:tcPr>
            <w:tcW w:w="988" w:type="dxa"/>
            <w:shd w:val="clear" w:color="auto" w:fill="auto"/>
            <w:noWrap/>
            <w:vAlign w:val="center"/>
            <w:hideMark/>
          </w:tcPr>
          <w:p w14:paraId="6C810EB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185</w:t>
            </w:r>
          </w:p>
        </w:tc>
        <w:tc>
          <w:tcPr>
            <w:tcW w:w="6237" w:type="dxa"/>
            <w:shd w:val="clear" w:color="auto" w:fill="auto"/>
            <w:noWrap/>
            <w:vAlign w:val="center"/>
            <w:hideMark/>
          </w:tcPr>
          <w:p w14:paraId="2E1F3324" w14:textId="01F2E793"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Rendimiento de maíz suave de variedades mejoradas por el INIAP.</w:t>
            </w:r>
          </w:p>
        </w:tc>
        <w:tc>
          <w:tcPr>
            <w:tcW w:w="1134" w:type="dxa"/>
            <w:shd w:val="clear" w:color="auto" w:fill="auto"/>
            <w:noWrap/>
            <w:vAlign w:val="center"/>
            <w:hideMark/>
          </w:tcPr>
          <w:p w14:paraId="7DF9B4D4"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150</w:t>
            </w:r>
          </w:p>
        </w:tc>
      </w:tr>
      <w:tr w:rsidR="00406C2B" w:rsidRPr="00C65C45" w14:paraId="15763732" w14:textId="77777777" w:rsidTr="00406C2B">
        <w:trPr>
          <w:trHeight w:val="300"/>
        </w:trPr>
        <w:tc>
          <w:tcPr>
            <w:tcW w:w="988" w:type="dxa"/>
            <w:shd w:val="clear" w:color="auto" w:fill="auto"/>
            <w:noWrap/>
            <w:vAlign w:val="center"/>
            <w:hideMark/>
          </w:tcPr>
          <w:p w14:paraId="30AE2277"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186</w:t>
            </w:r>
          </w:p>
        </w:tc>
        <w:tc>
          <w:tcPr>
            <w:tcW w:w="6237" w:type="dxa"/>
            <w:shd w:val="clear" w:color="auto" w:fill="auto"/>
            <w:noWrap/>
            <w:vAlign w:val="center"/>
            <w:hideMark/>
          </w:tcPr>
          <w:p w14:paraId="236D02C7"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Comparativo entre el rendimiento de maíz suave obtenido en este y el rendimiento de maíz suave variedades del INIAP.</w:t>
            </w:r>
          </w:p>
        </w:tc>
        <w:tc>
          <w:tcPr>
            <w:tcW w:w="1134" w:type="dxa"/>
            <w:shd w:val="clear" w:color="auto" w:fill="auto"/>
            <w:noWrap/>
            <w:vAlign w:val="center"/>
            <w:hideMark/>
          </w:tcPr>
          <w:p w14:paraId="28105413"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150</w:t>
            </w:r>
          </w:p>
        </w:tc>
      </w:tr>
      <w:tr w:rsidR="00406C2B" w:rsidRPr="00C65C45" w14:paraId="64655DE6" w14:textId="77777777" w:rsidTr="00406C2B">
        <w:trPr>
          <w:trHeight w:val="300"/>
        </w:trPr>
        <w:tc>
          <w:tcPr>
            <w:tcW w:w="988" w:type="dxa"/>
            <w:shd w:val="clear" w:color="auto" w:fill="auto"/>
            <w:noWrap/>
            <w:vAlign w:val="center"/>
            <w:hideMark/>
          </w:tcPr>
          <w:p w14:paraId="733027EB"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187</w:t>
            </w:r>
          </w:p>
        </w:tc>
        <w:tc>
          <w:tcPr>
            <w:tcW w:w="6237" w:type="dxa"/>
            <w:shd w:val="clear" w:color="auto" w:fill="auto"/>
            <w:noWrap/>
            <w:vAlign w:val="center"/>
            <w:hideMark/>
          </w:tcPr>
          <w:p w14:paraId="19784966" w14:textId="77777777"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Porcentaje de Varianza explicada por GLM sobre el rendimiento observado en el cultivo de maíz en tres provincias de la Sierra del Ecuador. 2006-2015.</w:t>
            </w:r>
          </w:p>
        </w:tc>
        <w:tc>
          <w:tcPr>
            <w:tcW w:w="1134" w:type="dxa"/>
            <w:shd w:val="clear" w:color="auto" w:fill="auto"/>
            <w:noWrap/>
            <w:vAlign w:val="center"/>
            <w:hideMark/>
          </w:tcPr>
          <w:p w14:paraId="36A49E9A"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156</w:t>
            </w:r>
          </w:p>
        </w:tc>
      </w:tr>
      <w:tr w:rsidR="00406C2B" w:rsidRPr="00C65C45" w14:paraId="1035279D" w14:textId="77777777" w:rsidTr="00406C2B">
        <w:trPr>
          <w:trHeight w:val="300"/>
        </w:trPr>
        <w:tc>
          <w:tcPr>
            <w:tcW w:w="988" w:type="dxa"/>
            <w:shd w:val="clear" w:color="auto" w:fill="auto"/>
            <w:noWrap/>
            <w:vAlign w:val="center"/>
            <w:hideMark/>
          </w:tcPr>
          <w:p w14:paraId="1FD0263C" w14:textId="77777777" w:rsidR="00406C2B" w:rsidRPr="0094079D" w:rsidRDefault="00406C2B" w:rsidP="00207ECA">
            <w:pPr>
              <w:spacing w:before="120" w:after="120" w:line="240" w:lineRule="auto"/>
              <w:jc w:val="left"/>
              <w:rPr>
                <w:rFonts w:eastAsia="Times New Roman" w:cs="Times New Roman"/>
                <w:color w:val="000000"/>
                <w:szCs w:val="24"/>
                <w:lang w:eastAsia="es-EC"/>
              </w:rPr>
            </w:pPr>
            <w:r w:rsidRPr="0094079D">
              <w:rPr>
                <w:rFonts w:eastAsia="Times New Roman" w:cs="Times New Roman"/>
                <w:color w:val="000000"/>
                <w:szCs w:val="24"/>
                <w:lang w:eastAsia="es-EC"/>
              </w:rPr>
              <w:t>N° 188</w:t>
            </w:r>
          </w:p>
        </w:tc>
        <w:tc>
          <w:tcPr>
            <w:tcW w:w="6237" w:type="dxa"/>
            <w:shd w:val="clear" w:color="auto" w:fill="auto"/>
            <w:noWrap/>
            <w:vAlign w:val="center"/>
            <w:hideMark/>
          </w:tcPr>
          <w:p w14:paraId="0F5791EF" w14:textId="5EAAA31B" w:rsidR="00406C2B" w:rsidRPr="0094079D" w:rsidRDefault="00406C2B" w:rsidP="00207ECA">
            <w:pPr>
              <w:spacing w:before="120" w:after="120" w:line="240" w:lineRule="auto"/>
              <w:rPr>
                <w:rFonts w:eastAsia="Times New Roman" w:cs="Times New Roman"/>
                <w:color w:val="000000"/>
                <w:szCs w:val="24"/>
                <w:lang w:eastAsia="es-EC"/>
              </w:rPr>
            </w:pPr>
            <w:r w:rsidRPr="0094079D">
              <w:rPr>
                <w:rFonts w:eastAsia="Times New Roman" w:cs="Times New Roman"/>
                <w:color w:val="000000"/>
                <w:szCs w:val="24"/>
                <w:lang w:eastAsia="es-EC"/>
              </w:rPr>
              <w:t>Efecto de diversas fuentes de variación sobre el rendimiento de maíz suave provincias de Bolívar, Chimborazo y de Imbabura obtenidas en 242 parcelas entre el 2006 al 2015.</w:t>
            </w:r>
          </w:p>
        </w:tc>
        <w:tc>
          <w:tcPr>
            <w:tcW w:w="1134" w:type="dxa"/>
            <w:shd w:val="clear" w:color="auto" w:fill="auto"/>
            <w:noWrap/>
            <w:vAlign w:val="center"/>
            <w:hideMark/>
          </w:tcPr>
          <w:p w14:paraId="2D8631E7" w14:textId="77777777" w:rsidR="00406C2B" w:rsidRPr="0094079D" w:rsidRDefault="00406C2B" w:rsidP="00207ECA">
            <w:pPr>
              <w:spacing w:before="120" w:after="120" w:line="240" w:lineRule="auto"/>
              <w:jc w:val="center"/>
              <w:rPr>
                <w:rFonts w:eastAsia="Times New Roman" w:cs="Times New Roman"/>
                <w:color w:val="000000"/>
                <w:szCs w:val="24"/>
                <w:lang w:eastAsia="es-EC"/>
              </w:rPr>
            </w:pPr>
            <w:r w:rsidRPr="0094079D">
              <w:rPr>
                <w:rFonts w:eastAsia="Times New Roman" w:cs="Times New Roman"/>
                <w:color w:val="000000"/>
                <w:szCs w:val="24"/>
                <w:lang w:eastAsia="es-EC"/>
              </w:rPr>
              <w:t>157</w:t>
            </w:r>
          </w:p>
        </w:tc>
      </w:tr>
      <w:bookmarkEnd w:id="20"/>
    </w:tbl>
    <w:p w14:paraId="61C72D22" w14:textId="27011420" w:rsidR="00171CEE" w:rsidRPr="006D3049" w:rsidRDefault="00171CEE" w:rsidP="008A0CEB">
      <w:pPr>
        <w:outlineLvl w:val="0"/>
        <w:rPr>
          <w:bCs/>
          <w:lang w:val="es-ES"/>
        </w:rPr>
      </w:pPr>
    </w:p>
    <w:p w14:paraId="1C68712B" w14:textId="77777777" w:rsidR="003A1E83" w:rsidRDefault="003A1E83">
      <w:pPr>
        <w:jc w:val="left"/>
        <w:rPr>
          <w:bCs/>
          <w:lang w:val="es-ES"/>
        </w:rPr>
      </w:pPr>
    </w:p>
    <w:p w14:paraId="40AF513D" w14:textId="77777777" w:rsidR="003A1E83" w:rsidRDefault="003A1E83">
      <w:pPr>
        <w:jc w:val="left"/>
        <w:rPr>
          <w:bCs/>
          <w:lang w:val="es-ES"/>
        </w:rPr>
      </w:pPr>
    </w:p>
    <w:p w14:paraId="3CB9CA28" w14:textId="1EB835B0" w:rsidR="003A1E83" w:rsidRDefault="003A1E83">
      <w:pPr>
        <w:jc w:val="left"/>
        <w:rPr>
          <w:bCs/>
          <w:lang w:val="es-ES"/>
        </w:rPr>
      </w:pPr>
      <w:r>
        <w:rPr>
          <w:bCs/>
          <w:lang w:val="es-ES"/>
        </w:rPr>
        <w:br/>
      </w:r>
    </w:p>
    <w:p w14:paraId="5407E15F" w14:textId="77777777" w:rsidR="003A1E83" w:rsidRDefault="003A1E83">
      <w:pPr>
        <w:jc w:val="left"/>
        <w:rPr>
          <w:bCs/>
          <w:lang w:val="es-ES"/>
        </w:rPr>
      </w:pPr>
      <w:r>
        <w:rPr>
          <w:bCs/>
          <w:lang w:val="es-ES"/>
        </w:rPr>
        <w:br w:type="page"/>
      </w:r>
    </w:p>
    <w:p w14:paraId="17351506" w14:textId="1544FFA5" w:rsidR="004A61DF" w:rsidRDefault="00562112" w:rsidP="004A61DF">
      <w:pPr>
        <w:jc w:val="center"/>
        <w:rPr>
          <w:b/>
          <w:lang w:val="es-ES"/>
        </w:rPr>
      </w:pPr>
      <w:r>
        <w:rPr>
          <w:b/>
          <w:lang w:val="es-ES"/>
        </w:rPr>
        <w:lastRenderedPageBreak/>
        <w:t>Í</w:t>
      </w:r>
      <w:r w:rsidR="004A61DF" w:rsidRPr="006D3049">
        <w:rPr>
          <w:b/>
          <w:lang w:val="es-ES"/>
        </w:rPr>
        <w:t>NDICE DE FIGURAS</w:t>
      </w:r>
    </w:p>
    <w:tbl>
      <w:tblPr>
        <w:tblW w:w="8168" w:type="dxa"/>
        <w:tblCellMar>
          <w:left w:w="70" w:type="dxa"/>
          <w:right w:w="70" w:type="dxa"/>
        </w:tblCellMar>
        <w:tblLook w:val="04A0" w:firstRow="1" w:lastRow="0" w:firstColumn="1" w:lastColumn="0" w:noHBand="0" w:noVBand="1"/>
      </w:tblPr>
      <w:tblGrid>
        <w:gridCol w:w="1099"/>
        <w:gridCol w:w="5773"/>
        <w:gridCol w:w="1296"/>
      </w:tblGrid>
      <w:tr w:rsidR="002A67E9" w:rsidRPr="00C65C45" w14:paraId="444B88F8" w14:textId="77777777" w:rsidTr="002A67E9">
        <w:trPr>
          <w:trHeight w:val="363"/>
        </w:trPr>
        <w:tc>
          <w:tcPr>
            <w:tcW w:w="1099" w:type="dxa"/>
            <w:shd w:val="clear" w:color="auto" w:fill="auto"/>
            <w:noWrap/>
            <w:vAlign w:val="center"/>
            <w:hideMark/>
          </w:tcPr>
          <w:p w14:paraId="6F27D4F4" w14:textId="77777777" w:rsidR="002A67E9" w:rsidRPr="00C65C45" w:rsidRDefault="002A67E9" w:rsidP="00207ECA">
            <w:pPr>
              <w:spacing w:before="120" w:after="120" w:line="240" w:lineRule="auto"/>
              <w:jc w:val="center"/>
              <w:rPr>
                <w:rFonts w:eastAsia="Times New Roman" w:cs="Times New Roman"/>
                <w:b/>
                <w:bCs/>
                <w:color w:val="000000"/>
                <w:szCs w:val="24"/>
                <w:lang w:eastAsia="es-EC"/>
              </w:rPr>
            </w:pPr>
            <w:r w:rsidRPr="00C65C45">
              <w:rPr>
                <w:rFonts w:eastAsia="Times New Roman" w:cs="Times New Roman"/>
                <w:b/>
                <w:bCs/>
                <w:color w:val="000000"/>
                <w:szCs w:val="24"/>
                <w:lang w:val="es-ES" w:eastAsia="es-EC"/>
              </w:rPr>
              <w:t>N°</w:t>
            </w:r>
          </w:p>
        </w:tc>
        <w:tc>
          <w:tcPr>
            <w:tcW w:w="5773" w:type="dxa"/>
            <w:shd w:val="clear" w:color="auto" w:fill="auto"/>
            <w:noWrap/>
            <w:vAlign w:val="center"/>
            <w:hideMark/>
          </w:tcPr>
          <w:p w14:paraId="66217658" w14:textId="77777777" w:rsidR="002A67E9" w:rsidRPr="00C65C45" w:rsidRDefault="002A67E9" w:rsidP="00207ECA">
            <w:pPr>
              <w:spacing w:before="120" w:after="120" w:line="240" w:lineRule="auto"/>
              <w:jc w:val="center"/>
              <w:rPr>
                <w:rFonts w:eastAsia="Times New Roman" w:cs="Times New Roman"/>
                <w:b/>
                <w:bCs/>
                <w:color w:val="000000"/>
                <w:szCs w:val="24"/>
                <w:lang w:eastAsia="es-EC"/>
              </w:rPr>
            </w:pPr>
            <w:r w:rsidRPr="00C65C45">
              <w:rPr>
                <w:rFonts w:eastAsia="Times New Roman" w:cs="Times New Roman"/>
                <w:b/>
                <w:bCs/>
                <w:color w:val="000000"/>
                <w:szCs w:val="24"/>
                <w:lang w:val="es-ES" w:eastAsia="es-EC"/>
              </w:rPr>
              <w:t>Contenido</w:t>
            </w:r>
          </w:p>
        </w:tc>
        <w:tc>
          <w:tcPr>
            <w:tcW w:w="1296" w:type="dxa"/>
            <w:shd w:val="clear" w:color="auto" w:fill="auto"/>
            <w:noWrap/>
            <w:vAlign w:val="center"/>
            <w:hideMark/>
          </w:tcPr>
          <w:p w14:paraId="2CC608C7" w14:textId="77777777" w:rsidR="002A67E9" w:rsidRPr="00C65C45" w:rsidRDefault="002A67E9" w:rsidP="00207ECA">
            <w:pPr>
              <w:spacing w:before="120" w:after="120" w:line="240" w:lineRule="auto"/>
              <w:jc w:val="center"/>
              <w:rPr>
                <w:rFonts w:eastAsia="Times New Roman" w:cs="Times New Roman"/>
                <w:b/>
                <w:bCs/>
                <w:color w:val="000000"/>
                <w:szCs w:val="24"/>
                <w:lang w:eastAsia="es-EC"/>
              </w:rPr>
            </w:pPr>
            <w:r w:rsidRPr="00C65C45">
              <w:rPr>
                <w:rFonts w:eastAsia="Times New Roman" w:cs="Times New Roman"/>
                <w:b/>
                <w:bCs/>
                <w:color w:val="000000"/>
                <w:szCs w:val="24"/>
                <w:lang w:eastAsia="es-EC"/>
              </w:rPr>
              <w:t>Pag</w:t>
            </w:r>
          </w:p>
        </w:tc>
      </w:tr>
      <w:tr w:rsidR="002A67E9" w:rsidRPr="00C65C45" w14:paraId="3444927A" w14:textId="77777777" w:rsidTr="002A67E9">
        <w:trPr>
          <w:trHeight w:val="363"/>
        </w:trPr>
        <w:tc>
          <w:tcPr>
            <w:tcW w:w="1099" w:type="dxa"/>
            <w:shd w:val="clear" w:color="auto" w:fill="auto"/>
            <w:noWrap/>
            <w:vAlign w:val="center"/>
            <w:hideMark/>
          </w:tcPr>
          <w:p w14:paraId="20D2614C"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bCs/>
                <w:noProof/>
                <w:color w:val="000000"/>
                <w:szCs w:val="24"/>
                <w:lang w:eastAsia="es-EC"/>
              </w:rPr>
              <w:t>N° 1</w:t>
            </w:r>
          </w:p>
        </w:tc>
        <w:tc>
          <w:tcPr>
            <w:tcW w:w="5773" w:type="dxa"/>
            <w:shd w:val="clear" w:color="auto" w:fill="auto"/>
            <w:noWrap/>
            <w:vAlign w:val="center"/>
            <w:hideMark/>
          </w:tcPr>
          <w:p w14:paraId="41EB53DC" w14:textId="77777777" w:rsidR="002A67E9" w:rsidRPr="00C65C45" w:rsidRDefault="002A67E9" w:rsidP="00207ECA">
            <w:pPr>
              <w:spacing w:before="120" w:after="120" w:line="240" w:lineRule="auto"/>
              <w:jc w:val="left"/>
              <w:rPr>
                <w:rFonts w:eastAsia="Times New Roman" w:cs="Times New Roman"/>
                <w:color w:val="000000"/>
                <w:szCs w:val="24"/>
                <w:lang w:eastAsia="es-EC"/>
              </w:rPr>
            </w:pPr>
            <w:r w:rsidRPr="00C65C45">
              <w:rPr>
                <w:rFonts w:eastAsia="Times New Roman" w:cs="Times New Roman"/>
                <w:bCs/>
                <w:noProof/>
                <w:color w:val="000000"/>
                <w:szCs w:val="24"/>
                <w:lang w:eastAsia="es-EC"/>
              </w:rPr>
              <w:t>Distribución del ensayo en provincias</w:t>
            </w:r>
          </w:p>
        </w:tc>
        <w:tc>
          <w:tcPr>
            <w:tcW w:w="1296" w:type="dxa"/>
            <w:shd w:val="clear" w:color="auto" w:fill="auto"/>
            <w:noWrap/>
            <w:vAlign w:val="center"/>
            <w:hideMark/>
          </w:tcPr>
          <w:p w14:paraId="7BFD020C"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color w:val="000000"/>
                <w:szCs w:val="24"/>
                <w:lang w:eastAsia="es-EC"/>
              </w:rPr>
              <w:t>55</w:t>
            </w:r>
          </w:p>
        </w:tc>
      </w:tr>
      <w:tr w:rsidR="002A67E9" w:rsidRPr="00C65C45" w14:paraId="1CE87E57" w14:textId="77777777" w:rsidTr="002A67E9">
        <w:trPr>
          <w:trHeight w:val="363"/>
        </w:trPr>
        <w:tc>
          <w:tcPr>
            <w:tcW w:w="1099" w:type="dxa"/>
            <w:shd w:val="clear" w:color="auto" w:fill="auto"/>
            <w:noWrap/>
            <w:vAlign w:val="center"/>
            <w:hideMark/>
          </w:tcPr>
          <w:p w14:paraId="45B41F92"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bCs/>
                <w:noProof/>
                <w:color w:val="000000"/>
                <w:szCs w:val="24"/>
                <w:lang w:eastAsia="es-EC"/>
              </w:rPr>
              <w:t>N°2</w:t>
            </w:r>
          </w:p>
        </w:tc>
        <w:tc>
          <w:tcPr>
            <w:tcW w:w="5773" w:type="dxa"/>
            <w:shd w:val="clear" w:color="auto" w:fill="auto"/>
            <w:noWrap/>
            <w:vAlign w:val="center"/>
            <w:hideMark/>
          </w:tcPr>
          <w:p w14:paraId="2A2C084B" w14:textId="77777777" w:rsidR="002A67E9" w:rsidRPr="00C65C45" w:rsidRDefault="002A67E9" w:rsidP="00207ECA">
            <w:pPr>
              <w:spacing w:before="120" w:after="120" w:line="240" w:lineRule="auto"/>
              <w:jc w:val="left"/>
              <w:rPr>
                <w:rFonts w:eastAsia="Times New Roman" w:cs="Times New Roman"/>
                <w:color w:val="000000"/>
                <w:szCs w:val="24"/>
                <w:lang w:eastAsia="es-EC"/>
              </w:rPr>
            </w:pPr>
            <w:r w:rsidRPr="00C65C45">
              <w:rPr>
                <w:rFonts w:eastAsia="Times New Roman" w:cs="Times New Roman"/>
                <w:bCs/>
                <w:noProof/>
                <w:color w:val="000000"/>
                <w:szCs w:val="24"/>
                <w:lang w:eastAsia="es-EC"/>
              </w:rPr>
              <w:t>Evolución del rendimiento de maíz suave en la Sierra del Ecuador</w:t>
            </w:r>
          </w:p>
        </w:tc>
        <w:tc>
          <w:tcPr>
            <w:tcW w:w="1296" w:type="dxa"/>
            <w:shd w:val="clear" w:color="auto" w:fill="auto"/>
            <w:noWrap/>
            <w:vAlign w:val="center"/>
            <w:hideMark/>
          </w:tcPr>
          <w:p w14:paraId="7647006E"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color w:val="000000"/>
                <w:szCs w:val="24"/>
                <w:lang w:eastAsia="es-EC"/>
              </w:rPr>
              <w:t>148</w:t>
            </w:r>
          </w:p>
        </w:tc>
      </w:tr>
      <w:tr w:rsidR="002A67E9" w:rsidRPr="00C65C45" w14:paraId="0E8EF8B1" w14:textId="77777777" w:rsidTr="002A67E9">
        <w:trPr>
          <w:trHeight w:val="363"/>
        </w:trPr>
        <w:tc>
          <w:tcPr>
            <w:tcW w:w="1099" w:type="dxa"/>
            <w:shd w:val="clear" w:color="auto" w:fill="auto"/>
            <w:noWrap/>
            <w:vAlign w:val="center"/>
            <w:hideMark/>
          </w:tcPr>
          <w:p w14:paraId="1E43852E"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color w:val="000000"/>
                <w:szCs w:val="24"/>
                <w:lang w:eastAsia="es-EC"/>
              </w:rPr>
              <w:t>N° 3</w:t>
            </w:r>
          </w:p>
        </w:tc>
        <w:tc>
          <w:tcPr>
            <w:tcW w:w="5773" w:type="dxa"/>
            <w:shd w:val="clear" w:color="auto" w:fill="auto"/>
            <w:noWrap/>
            <w:vAlign w:val="center"/>
            <w:hideMark/>
          </w:tcPr>
          <w:p w14:paraId="1F590AAF" w14:textId="77777777" w:rsidR="002A67E9" w:rsidRPr="00C65C45" w:rsidRDefault="002A67E9" w:rsidP="00207ECA">
            <w:pPr>
              <w:spacing w:before="120" w:after="120" w:line="240" w:lineRule="auto"/>
              <w:jc w:val="left"/>
              <w:rPr>
                <w:rFonts w:eastAsia="Times New Roman" w:cs="Times New Roman"/>
                <w:color w:val="000000"/>
                <w:szCs w:val="24"/>
                <w:lang w:eastAsia="es-EC"/>
              </w:rPr>
            </w:pPr>
            <w:r w:rsidRPr="00C65C45">
              <w:rPr>
                <w:rFonts w:eastAsia="Times New Roman" w:cs="Times New Roman"/>
                <w:color w:val="000000"/>
                <w:szCs w:val="24"/>
                <w:lang w:eastAsia="es-EC"/>
              </w:rPr>
              <w:t>Promedio de absorción de nitrógeno en Kg ha-1 en el cultivo de maíz en las provincias de Bolívar, Chimborazo y de Imbabura obtenidas en 242 parcelas entre el 2006 al 2015.</w:t>
            </w:r>
          </w:p>
        </w:tc>
        <w:tc>
          <w:tcPr>
            <w:tcW w:w="1296" w:type="dxa"/>
            <w:shd w:val="clear" w:color="auto" w:fill="auto"/>
            <w:noWrap/>
            <w:vAlign w:val="center"/>
            <w:hideMark/>
          </w:tcPr>
          <w:p w14:paraId="35FB8E4D"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color w:val="000000"/>
                <w:szCs w:val="24"/>
                <w:lang w:eastAsia="es-EC"/>
              </w:rPr>
              <w:t>152</w:t>
            </w:r>
          </w:p>
        </w:tc>
      </w:tr>
      <w:tr w:rsidR="002A67E9" w:rsidRPr="00C65C45" w14:paraId="482452FA" w14:textId="77777777" w:rsidTr="002A67E9">
        <w:trPr>
          <w:trHeight w:val="363"/>
        </w:trPr>
        <w:tc>
          <w:tcPr>
            <w:tcW w:w="1099" w:type="dxa"/>
            <w:shd w:val="clear" w:color="auto" w:fill="auto"/>
            <w:noWrap/>
            <w:vAlign w:val="center"/>
            <w:hideMark/>
          </w:tcPr>
          <w:p w14:paraId="1DE7542D"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bCs/>
                <w:noProof/>
                <w:color w:val="000000"/>
                <w:szCs w:val="24"/>
                <w:lang w:eastAsia="es-EC"/>
              </w:rPr>
              <w:t>N° 4</w:t>
            </w:r>
          </w:p>
        </w:tc>
        <w:tc>
          <w:tcPr>
            <w:tcW w:w="5773" w:type="dxa"/>
            <w:shd w:val="clear" w:color="auto" w:fill="auto"/>
            <w:noWrap/>
            <w:vAlign w:val="center"/>
            <w:hideMark/>
          </w:tcPr>
          <w:p w14:paraId="4E950CD3" w14:textId="77777777" w:rsidR="002A67E9" w:rsidRPr="00C65C45" w:rsidRDefault="002A67E9" w:rsidP="00207ECA">
            <w:pPr>
              <w:spacing w:before="120" w:after="120" w:line="240" w:lineRule="auto"/>
              <w:jc w:val="left"/>
              <w:rPr>
                <w:rFonts w:eastAsia="Times New Roman" w:cs="Times New Roman"/>
                <w:color w:val="000000"/>
                <w:szCs w:val="24"/>
                <w:lang w:eastAsia="es-EC"/>
              </w:rPr>
            </w:pPr>
            <w:r w:rsidRPr="00C65C45">
              <w:rPr>
                <w:rFonts w:eastAsia="Times New Roman" w:cs="Times New Roman"/>
                <w:bCs/>
                <w:noProof/>
                <w:color w:val="000000"/>
                <w:szCs w:val="24"/>
                <w:lang w:eastAsia="es-EC"/>
              </w:rPr>
              <w:t>Promedio de la absorción de fosforo en el cultivo de maíz en kg ha-1 en las provincias de Bolívar, Chimborazo y de Imbabura obtenidas en 242 ensayos entre el 2006 al 2015.</w:t>
            </w:r>
          </w:p>
        </w:tc>
        <w:tc>
          <w:tcPr>
            <w:tcW w:w="1296" w:type="dxa"/>
            <w:shd w:val="clear" w:color="auto" w:fill="auto"/>
            <w:noWrap/>
            <w:vAlign w:val="center"/>
            <w:hideMark/>
          </w:tcPr>
          <w:p w14:paraId="4719E99F"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color w:val="000000"/>
                <w:szCs w:val="24"/>
                <w:lang w:eastAsia="es-EC"/>
              </w:rPr>
              <w:t>153</w:t>
            </w:r>
          </w:p>
        </w:tc>
      </w:tr>
      <w:tr w:rsidR="002A67E9" w:rsidRPr="00C65C45" w14:paraId="549BE945" w14:textId="77777777" w:rsidTr="002A67E9">
        <w:trPr>
          <w:trHeight w:val="363"/>
        </w:trPr>
        <w:tc>
          <w:tcPr>
            <w:tcW w:w="1099" w:type="dxa"/>
            <w:shd w:val="clear" w:color="auto" w:fill="auto"/>
            <w:noWrap/>
            <w:vAlign w:val="center"/>
            <w:hideMark/>
          </w:tcPr>
          <w:p w14:paraId="34900EF9"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bCs/>
                <w:noProof/>
                <w:color w:val="000000"/>
                <w:szCs w:val="24"/>
                <w:lang w:eastAsia="es-EC"/>
              </w:rPr>
              <w:t>N° 5</w:t>
            </w:r>
          </w:p>
        </w:tc>
        <w:tc>
          <w:tcPr>
            <w:tcW w:w="5773" w:type="dxa"/>
            <w:shd w:val="clear" w:color="auto" w:fill="auto"/>
            <w:noWrap/>
            <w:vAlign w:val="center"/>
            <w:hideMark/>
          </w:tcPr>
          <w:p w14:paraId="159B2B3E" w14:textId="77777777" w:rsidR="002A67E9" w:rsidRPr="00C65C45" w:rsidRDefault="002A67E9" w:rsidP="00207ECA">
            <w:pPr>
              <w:spacing w:before="120" w:after="120" w:line="240" w:lineRule="auto"/>
              <w:jc w:val="left"/>
              <w:rPr>
                <w:rFonts w:eastAsia="Times New Roman" w:cs="Times New Roman"/>
                <w:color w:val="000000"/>
                <w:szCs w:val="24"/>
                <w:lang w:eastAsia="es-EC"/>
              </w:rPr>
            </w:pPr>
            <w:r w:rsidRPr="00C65C45">
              <w:rPr>
                <w:rFonts w:eastAsia="Times New Roman" w:cs="Times New Roman"/>
                <w:bCs/>
                <w:noProof/>
                <w:color w:val="000000"/>
                <w:szCs w:val="24"/>
                <w:lang w:eastAsia="es-EC"/>
              </w:rPr>
              <w:t>Promedio de la absorción de potasio en el cultivo de maíz en Kg ha-1 en las provincias de Bolívar, Chimborazo y de Imbabura obtenidas en 242 parcelas entre el 2006 al 2015.</w:t>
            </w:r>
          </w:p>
        </w:tc>
        <w:tc>
          <w:tcPr>
            <w:tcW w:w="1296" w:type="dxa"/>
            <w:shd w:val="clear" w:color="auto" w:fill="auto"/>
            <w:noWrap/>
            <w:vAlign w:val="center"/>
            <w:hideMark/>
          </w:tcPr>
          <w:p w14:paraId="7CD6B99E"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color w:val="000000"/>
                <w:szCs w:val="24"/>
                <w:lang w:eastAsia="es-EC"/>
              </w:rPr>
              <w:t>154</w:t>
            </w:r>
          </w:p>
        </w:tc>
      </w:tr>
      <w:tr w:rsidR="002A67E9" w:rsidRPr="00C65C45" w14:paraId="49F4E402" w14:textId="77777777" w:rsidTr="002A67E9">
        <w:trPr>
          <w:trHeight w:val="363"/>
        </w:trPr>
        <w:tc>
          <w:tcPr>
            <w:tcW w:w="1099" w:type="dxa"/>
            <w:shd w:val="clear" w:color="auto" w:fill="auto"/>
            <w:noWrap/>
            <w:vAlign w:val="center"/>
            <w:hideMark/>
          </w:tcPr>
          <w:p w14:paraId="7C50D41B"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bCs/>
                <w:noProof/>
                <w:color w:val="000000"/>
                <w:szCs w:val="24"/>
                <w:lang w:eastAsia="es-EC"/>
              </w:rPr>
              <w:t>N° 6</w:t>
            </w:r>
          </w:p>
        </w:tc>
        <w:tc>
          <w:tcPr>
            <w:tcW w:w="5773" w:type="dxa"/>
            <w:shd w:val="clear" w:color="auto" w:fill="auto"/>
            <w:noWrap/>
            <w:vAlign w:val="center"/>
            <w:hideMark/>
          </w:tcPr>
          <w:p w14:paraId="43E5FA0F" w14:textId="77777777" w:rsidR="002A67E9" w:rsidRPr="00C65C45" w:rsidRDefault="002A67E9" w:rsidP="00207ECA">
            <w:pPr>
              <w:spacing w:before="120" w:after="120" w:line="240" w:lineRule="auto"/>
              <w:jc w:val="left"/>
              <w:rPr>
                <w:rFonts w:eastAsia="Times New Roman" w:cs="Times New Roman"/>
                <w:color w:val="000000"/>
                <w:szCs w:val="24"/>
                <w:lang w:eastAsia="es-EC"/>
              </w:rPr>
            </w:pPr>
            <w:r w:rsidRPr="00C65C45">
              <w:rPr>
                <w:rFonts w:eastAsia="Times New Roman" w:cs="Times New Roman"/>
                <w:bCs/>
                <w:noProof/>
                <w:color w:val="000000"/>
                <w:szCs w:val="24"/>
                <w:lang w:eastAsia="es-EC"/>
              </w:rPr>
              <w:t>Promedio de la absorción de azufre en Kg ha-1 en el cultivo de maíz en las provincias de Bolívar, Chimborazo y de Imbabura obtenidas en 242 parcelas entre el 2006 al 2015.</w:t>
            </w:r>
          </w:p>
        </w:tc>
        <w:tc>
          <w:tcPr>
            <w:tcW w:w="1296" w:type="dxa"/>
            <w:shd w:val="clear" w:color="auto" w:fill="auto"/>
            <w:noWrap/>
            <w:vAlign w:val="center"/>
            <w:hideMark/>
          </w:tcPr>
          <w:p w14:paraId="68B6DACD"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color w:val="000000"/>
                <w:szCs w:val="24"/>
                <w:lang w:eastAsia="es-EC"/>
              </w:rPr>
              <w:t>155</w:t>
            </w:r>
          </w:p>
        </w:tc>
      </w:tr>
      <w:tr w:rsidR="002A67E9" w:rsidRPr="00C65C45" w14:paraId="21E8A119" w14:textId="77777777" w:rsidTr="002A67E9">
        <w:trPr>
          <w:trHeight w:val="363"/>
        </w:trPr>
        <w:tc>
          <w:tcPr>
            <w:tcW w:w="1099" w:type="dxa"/>
            <w:shd w:val="clear" w:color="auto" w:fill="auto"/>
            <w:noWrap/>
            <w:vAlign w:val="center"/>
            <w:hideMark/>
          </w:tcPr>
          <w:p w14:paraId="52DBEC07"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bCs/>
                <w:noProof/>
                <w:color w:val="000000"/>
                <w:szCs w:val="24"/>
                <w:lang w:eastAsia="es-EC"/>
              </w:rPr>
              <w:t>N° 7</w:t>
            </w:r>
          </w:p>
        </w:tc>
        <w:tc>
          <w:tcPr>
            <w:tcW w:w="5773" w:type="dxa"/>
            <w:shd w:val="clear" w:color="auto" w:fill="auto"/>
            <w:noWrap/>
            <w:vAlign w:val="center"/>
            <w:hideMark/>
          </w:tcPr>
          <w:p w14:paraId="59FAB770" w14:textId="77777777" w:rsidR="002A67E9" w:rsidRPr="00C65C45" w:rsidRDefault="002A67E9" w:rsidP="00207ECA">
            <w:pPr>
              <w:spacing w:before="120" w:after="120" w:line="240" w:lineRule="auto"/>
              <w:jc w:val="left"/>
              <w:rPr>
                <w:rFonts w:eastAsia="Times New Roman" w:cs="Times New Roman"/>
                <w:color w:val="000000"/>
                <w:szCs w:val="24"/>
                <w:lang w:eastAsia="es-EC"/>
              </w:rPr>
            </w:pPr>
            <w:r w:rsidRPr="00C65C45">
              <w:rPr>
                <w:rFonts w:eastAsia="Times New Roman" w:cs="Times New Roman"/>
                <w:bCs/>
                <w:noProof/>
                <w:color w:val="000000"/>
                <w:szCs w:val="24"/>
                <w:lang w:eastAsia="es-EC"/>
              </w:rPr>
              <w:t>Promedio de la absorción de magnesio en Kg ha-1 en el cultivo de maíz en las provincias de Bolívar, Chimborazo y de Imbabura obtenidas en 242 parcelas entre el 2006 al 2015.</w:t>
            </w:r>
          </w:p>
        </w:tc>
        <w:tc>
          <w:tcPr>
            <w:tcW w:w="1296" w:type="dxa"/>
            <w:shd w:val="clear" w:color="auto" w:fill="auto"/>
            <w:noWrap/>
            <w:vAlign w:val="center"/>
            <w:hideMark/>
          </w:tcPr>
          <w:p w14:paraId="025C16F0" w14:textId="77777777" w:rsidR="002A67E9" w:rsidRPr="00C65C45" w:rsidRDefault="002A67E9" w:rsidP="00207ECA">
            <w:pPr>
              <w:spacing w:before="120" w:after="120" w:line="240" w:lineRule="auto"/>
              <w:jc w:val="center"/>
              <w:rPr>
                <w:rFonts w:eastAsia="Times New Roman" w:cs="Times New Roman"/>
                <w:color w:val="000000"/>
                <w:szCs w:val="24"/>
                <w:lang w:eastAsia="es-EC"/>
              </w:rPr>
            </w:pPr>
            <w:r w:rsidRPr="00C65C45">
              <w:rPr>
                <w:rFonts w:eastAsia="Times New Roman" w:cs="Times New Roman"/>
                <w:color w:val="000000"/>
                <w:szCs w:val="24"/>
                <w:lang w:eastAsia="es-EC"/>
              </w:rPr>
              <w:t>156</w:t>
            </w:r>
          </w:p>
        </w:tc>
      </w:tr>
    </w:tbl>
    <w:p w14:paraId="7ABD5418" w14:textId="4926C386" w:rsidR="00406C2B" w:rsidRDefault="00406C2B" w:rsidP="00406C2B">
      <w:pPr>
        <w:jc w:val="left"/>
        <w:rPr>
          <w:lang w:val="es-ES"/>
        </w:rPr>
      </w:pPr>
    </w:p>
    <w:p w14:paraId="4AC40D4A" w14:textId="117A23CD" w:rsidR="004A61DF" w:rsidRDefault="004A61DF" w:rsidP="004A61DF">
      <w:pPr>
        <w:spacing w:line="360" w:lineRule="auto"/>
        <w:rPr>
          <w:lang w:val="es-ES"/>
        </w:rPr>
      </w:pPr>
      <w:r>
        <w:rPr>
          <w:lang w:val="es-ES"/>
        </w:rPr>
        <w:br w:type="page"/>
      </w:r>
    </w:p>
    <w:p w14:paraId="071A42A5" w14:textId="520747EF" w:rsidR="00DF2451" w:rsidRPr="004D588C" w:rsidRDefault="00DF2451" w:rsidP="00F3075E">
      <w:pPr>
        <w:pStyle w:val="Ttulo1"/>
        <w:numPr>
          <w:ilvl w:val="0"/>
          <w:numId w:val="0"/>
        </w:numPr>
        <w:spacing w:before="360" w:after="360"/>
        <w:rPr>
          <w:szCs w:val="24"/>
        </w:rPr>
      </w:pPr>
      <w:bookmarkStart w:id="21" w:name="_Toc72741033"/>
      <w:bookmarkStart w:id="22" w:name="_Toc72741831"/>
      <w:bookmarkStart w:id="23" w:name="_Toc72742629"/>
      <w:bookmarkStart w:id="24" w:name="_Toc72881381"/>
      <w:bookmarkStart w:id="25" w:name="_Toc72882463"/>
      <w:bookmarkStart w:id="26" w:name="_Toc75608808"/>
      <w:bookmarkStart w:id="27" w:name="_Toc75611734"/>
      <w:bookmarkStart w:id="28" w:name="_Toc75612580"/>
      <w:bookmarkStart w:id="29" w:name="_Toc75679735"/>
      <w:bookmarkStart w:id="30" w:name="_Toc75702343"/>
      <w:bookmarkStart w:id="31" w:name="_Toc80008340"/>
      <w:bookmarkStart w:id="32" w:name="_Toc80312233"/>
      <w:r w:rsidRPr="004D588C">
        <w:rPr>
          <w:szCs w:val="24"/>
        </w:rPr>
        <w:lastRenderedPageBreak/>
        <w:t>R</w:t>
      </w:r>
      <w:bookmarkEnd w:id="21"/>
      <w:bookmarkEnd w:id="22"/>
      <w:bookmarkEnd w:id="23"/>
      <w:bookmarkEnd w:id="24"/>
      <w:bookmarkEnd w:id="25"/>
      <w:bookmarkEnd w:id="26"/>
      <w:bookmarkEnd w:id="27"/>
      <w:bookmarkEnd w:id="28"/>
      <w:bookmarkEnd w:id="29"/>
      <w:bookmarkEnd w:id="30"/>
      <w:r w:rsidR="00BE4378">
        <w:rPr>
          <w:szCs w:val="24"/>
        </w:rPr>
        <w:t>ESUMEN</w:t>
      </w:r>
      <w:bookmarkEnd w:id="31"/>
      <w:bookmarkEnd w:id="32"/>
      <w:r w:rsidR="0006048E">
        <w:rPr>
          <w:szCs w:val="24"/>
        </w:rPr>
        <w:t xml:space="preserve"> </w:t>
      </w:r>
    </w:p>
    <w:p w14:paraId="55781885" w14:textId="7FD596A9" w:rsidR="00796E58" w:rsidRPr="00796E58" w:rsidRDefault="000D1754" w:rsidP="00F3075E">
      <w:pPr>
        <w:spacing w:after="0" w:line="360" w:lineRule="auto"/>
        <w:rPr>
          <w:rFonts w:cs="Times New Roman"/>
        </w:rPr>
      </w:pPr>
      <w:r w:rsidRPr="00796E58">
        <w:rPr>
          <w:rFonts w:cs="Times New Roman"/>
          <w:szCs w:val="24"/>
        </w:rPr>
        <w:t xml:space="preserve">El maíz tiene como </w:t>
      </w:r>
      <w:r w:rsidR="004768AE" w:rsidRPr="00796E58">
        <w:rPr>
          <w:rFonts w:cs="Times New Roman"/>
          <w:szCs w:val="24"/>
        </w:rPr>
        <w:t xml:space="preserve">origen México donde existen alrededor de 2000 tipos, mientras que en Ecuador hasta la fecha se han descrito 29 </w:t>
      </w:r>
      <w:r w:rsidR="004768AE" w:rsidRPr="00796E58">
        <w:rPr>
          <w:rFonts w:cs="Times New Roman"/>
          <w:color w:val="000000" w:themeColor="text1"/>
          <w:szCs w:val="24"/>
        </w:rPr>
        <w:t>variedades</w:t>
      </w:r>
      <w:r w:rsidR="004768AE" w:rsidRPr="00796E58">
        <w:rPr>
          <w:rFonts w:cs="Times New Roman"/>
          <w:szCs w:val="24"/>
          <w:lang w:val="es-ES"/>
        </w:rPr>
        <w:t>,</w:t>
      </w:r>
      <w:r w:rsidR="00EB1C94" w:rsidRPr="00796E58">
        <w:rPr>
          <w:rFonts w:cs="Times New Roman"/>
          <w:szCs w:val="24"/>
          <w:lang w:val="es-ES"/>
        </w:rPr>
        <w:t xml:space="preserve"> la</w:t>
      </w:r>
      <w:r w:rsidR="000257C0" w:rsidRPr="00796E58">
        <w:rPr>
          <w:rFonts w:cs="Times New Roman"/>
          <w:szCs w:val="24"/>
          <w:lang w:val="es-ES"/>
        </w:rPr>
        <w:t>s</w:t>
      </w:r>
      <w:r w:rsidR="00EB1C94" w:rsidRPr="00796E58">
        <w:rPr>
          <w:rFonts w:cs="Times New Roman"/>
          <w:szCs w:val="24"/>
          <w:lang w:val="es-ES"/>
        </w:rPr>
        <w:t xml:space="preserve"> provincia</w:t>
      </w:r>
      <w:r w:rsidR="000257C0" w:rsidRPr="00796E58">
        <w:rPr>
          <w:rFonts w:cs="Times New Roman"/>
          <w:szCs w:val="24"/>
          <w:lang w:val="es-ES"/>
        </w:rPr>
        <w:t>s</w:t>
      </w:r>
      <w:r w:rsidR="00EB1C94" w:rsidRPr="00796E58">
        <w:rPr>
          <w:rFonts w:cs="Times New Roman"/>
          <w:szCs w:val="24"/>
          <w:lang w:val="es-ES"/>
        </w:rPr>
        <w:t xml:space="preserve"> de </w:t>
      </w:r>
      <w:r w:rsidR="00DF6104" w:rsidRPr="00796E58">
        <w:rPr>
          <w:rFonts w:cs="Times New Roman"/>
          <w:szCs w:val="24"/>
          <w:lang w:val="es-ES"/>
        </w:rPr>
        <w:t>Bolívar</w:t>
      </w:r>
      <w:r w:rsidR="000257C0" w:rsidRPr="00796E58">
        <w:rPr>
          <w:rFonts w:cs="Times New Roman"/>
          <w:szCs w:val="24"/>
          <w:lang w:val="es-ES"/>
        </w:rPr>
        <w:t xml:space="preserve">, Imbabura y Chimborazo, mantienen importantes extensiones de </w:t>
      </w:r>
      <w:r w:rsidR="004768AE" w:rsidRPr="00796E58">
        <w:rPr>
          <w:rFonts w:cs="Times New Roman"/>
          <w:szCs w:val="24"/>
          <w:lang w:val="es-ES"/>
        </w:rPr>
        <w:t>maíz suave</w:t>
      </w:r>
      <w:r w:rsidR="005678CC" w:rsidRPr="00796E58">
        <w:rPr>
          <w:rFonts w:cs="Times New Roman"/>
          <w:szCs w:val="24"/>
          <w:lang w:val="es-ES"/>
        </w:rPr>
        <w:t xml:space="preserve">, </w:t>
      </w:r>
      <w:r w:rsidR="000257C0" w:rsidRPr="00796E58">
        <w:rPr>
          <w:rFonts w:cs="Times New Roman"/>
          <w:szCs w:val="24"/>
          <w:lang w:val="es-ES"/>
        </w:rPr>
        <w:t>como uno de sus principales componentes dentro de los sistemas de producción, siendo además uno de los elementos que contribuye con los procesos de seguridad y soberanía alimentaria, en r</w:t>
      </w:r>
      <w:r w:rsidR="00DF6104" w:rsidRPr="00796E58">
        <w:rPr>
          <w:rFonts w:cs="Times New Roman"/>
          <w:szCs w:val="24"/>
          <w:lang w:val="es-ES"/>
        </w:rPr>
        <w:t>elación directa con los capitales natural, social, cultural, económico y ambiental</w:t>
      </w:r>
      <w:r w:rsidR="000257C0" w:rsidRPr="00796E58">
        <w:rPr>
          <w:rFonts w:cs="Times New Roman"/>
          <w:szCs w:val="24"/>
          <w:lang w:val="es-ES"/>
        </w:rPr>
        <w:t xml:space="preserve"> de estos agro-ecosistemas</w:t>
      </w:r>
      <w:r w:rsidR="00DF6104" w:rsidRPr="00796E58">
        <w:rPr>
          <w:rFonts w:cs="Times New Roman"/>
          <w:szCs w:val="24"/>
          <w:lang w:val="es-ES"/>
        </w:rPr>
        <w:t>.</w:t>
      </w:r>
      <w:r w:rsidR="004D588C" w:rsidRPr="00796E58">
        <w:rPr>
          <w:rFonts w:cs="Times New Roman"/>
          <w:szCs w:val="24"/>
          <w:lang w:val="es-ES"/>
        </w:rPr>
        <w:t xml:space="preserve"> </w:t>
      </w:r>
      <w:r w:rsidR="000257C0" w:rsidRPr="00796E58">
        <w:rPr>
          <w:rFonts w:cs="Times New Roman"/>
          <w:szCs w:val="24"/>
        </w:rPr>
        <w:t>El desequilibrio nutrimental es un factor determinante en la pérdida de la fertilidad del suelo, debido a que la extracción de nutrientes en las cosechas provoca que más nutrientes minerales salgan del suelo, comparados con los que se reponen a través de la fertilización</w:t>
      </w:r>
      <w:bookmarkStart w:id="33" w:name="_Toc72741034"/>
      <w:bookmarkStart w:id="34" w:name="_Toc72741832"/>
      <w:bookmarkStart w:id="35" w:name="_Toc72742630"/>
      <w:r w:rsidR="00713CDC">
        <w:rPr>
          <w:rFonts w:cs="Times New Roman"/>
          <w:szCs w:val="24"/>
        </w:rPr>
        <w:t xml:space="preserve">, pudiendo estar generado de primera mano, reducciones importantes en los niveles de productividad y rentabilidad de las UPAs, lo que condicionaría en gran medida el mejoramiento y sostenibilidad de los sistemas de producción agrícola que incluyen al rubro maíz suave como uno de sus componentes. </w:t>
      </w:r>
      <w:r w:rsidR="000257C0" w:rsidRPr="00796E58">
        <w:rPr>
          <w:rFonts w:cs="Times New Roman"/>
          <w:color w:val="000000" w:themeColor="text1"/>
          <w:szCs w:val="24"/>
        </w:rPr>
        <w:t xml:space="preserve">Los objetivos </w:t>
      </w:r>
      <w:r w:rsidR="00713CDC">
        <w:rPr>
          <w:rFonts w:cs="Times New Roman"/>
          <w:color w:val="000000" w:themeColor="text1"/>
          <w:szCs w:val="24"/>
        </w:rPr>
        <w:t>del estudio, estuvieron encaminados a:</w:t>
      </w:r>
      <w:r w:rsidR="000257C0" w:rsidRPr="00796E58">
        <w:rPr>
          <w:rFonts w:cs="Times New Roman"/>
          <w:color w:val="000000" w:themeColor="text1"/>
          <w:szCs w:val="24"/>
        </w:rPr>
        <w:t xml:space="preserve"> </w:t>
      </w:r>
      <w:r w:rsidR="000257C0" w:rsidRPr="00796E58">
        <w:rPr>
          <w:rFonts w:cs="Times New Roman"/>
          <w:szCs w:val="24"/>
        </w:rPr>
        <w:t xml:space="preserve">Generar una base de datos con resultados de experimentos realizados en las </w:t>
      </w:r>
      <w:r w:rsidR="00DF0761" w:rsidRPr="00796E58">
        <w:rPr>
          <w:rFonts w:cs="Times New Roman"/>
          <w:szCs w:val="24"/>
        </w:rPr>
        <w:t xml:space="preserve">tres </w:t>
      </w:r>
      <w:r w:rsidR="000257C0" w:rsidRPr="00796E58">
        <w:rPr>
          <w:rFonts w:cs="Times New Roman"/>
          <w:szCs w:val="24"/>
        </w:rPr>
        <w:t>provincias, locaciones con atributos agronómicos</w:t>
      </w:r>
      <w:r w:rsidR="000257C0" w:rsidRPr="00796E58">
        <w:rPr>
          <w:rFonts w:cs="Times New Roman"/>
          <w:color w:val="FF0000"/>
          <w:szCs w:val="24"/>
        </w:rPr>
        <w:t xml:space="preserve"> </w:t>
      </w:r>
      <w:r w:rsidR="000257C0" w:rsidRPr="00796E58">
        <w:rPr>
          <w:rFonts w:cs="Times New Roman"/>
          <w:szCs w:val="24"/>
        </w:rPr>
        <w:t>y las dosis de fertilización para el cultivo de maíz</w:t>
      </w:r>
      <w:r w:rsidR="00DF0761" w:rsidRPr="00796E58">
        <w:rPr>
          <w:rFonts w:cs="Times New Roman"/>
          <w:szCs w:val="24"/>
        </w:rPr>
        <w:t>,</w:t>
      </w:r>
      <w:r w:rsidR="000257C0" w:rsidRPr="00796E58">
        <w:rPr>
          <w:rFonts w:cs="Times New Roman"/>
          <w:szCs w:val="24"/>
        </w:rPr>
        <w:t xml:space="preserve"> y</w:t>
      </w:r>
      <w:r w:rsidR="00DF0761" w:rsidRPr="00796E58">
        <w:rPr>
          <w:rFonts w:cs="Times New Roman"/>
          <w:szCs w:val="24"/>
        </w:rPr>
        <w:t>,</w:t>
      </w:r>
      <w:r w:rsidR="000257C0" w:rsidRPr="00796E58">
        <w:rPr>
          <w:rFonts w:cs="Times New Roman"/>
          <w:szCs w:val="24"/>
        </w:rPr>
        <w:t xml:space="preserve"> Analizar la respuesta de rendimiento del maíz a la aplicación de macronutrientes</w:t>
      </w:r>
      <w:r w:rsidR="00DF0761" w:rsidRPr="00796E58">
        <w:rPr>
          <w:rFonts w:cs="Times New Roman"/>
          <w:szCs w:val="24"/>
        </w:rPr>
        <w:t xml:space="preserve">. </w:t>
      </w:r>
      <w:r w:rsidR="00FC06FD" w:rsidRPr="00796E58">
        <w:rPr>
          <w:rFonts w:cs="Times New Roman"/>
          <w:color w:val="000000" w:themeColor="text1"/>
          <w:szCs w:val="24"/>
        </w:rPr>
        <w:t>Con estos antecedentes, el presente trabajo prop</w:t>
      </w:r>
      <w:r w:rsidR="00713CDC">
        <w:rPr>
          <w:rFonts w:cs="Times New Roman"/>
          <w:color w:val="000000" w:themeColor="text1"/>
          <w:szCs w:val="24"/>
        </w:rPr>
        <w:t>uso</w:t>
      </w:r>
      <w:r w:rsidR="00FC06FD" w:rsidRPr="00796E58">
        <w:rPr>
          <w:rFonts w:cs="Times New Roman"/>
          <w:color w:val="000000" w:themeColor="text1"/>
          <w:szCs w:val="24"/>
        </w:rPr>
        <w:t xml:space="preserve"> sistematizar y analizar la información de los ensayos de M</w:t>
      </w:r>
      <w:r w:rsidR="000257C0" w:rsidRPr="00796E58">
        <w:rPr>
          <w:rFonts w:cs="Times New Roman"/>
          <w:color w:val="000000" w:themeColor="text1"/>
          <w:szCs w:val="24"/>
        </w:rPr>
        <w:t xml:space="preserve">anejo de </w:t>
      </w:r>
      <w:r w:rsidR="00FC06FD" w:rsidRPr="00796E58">
        <w:rPr>
          <w:rFonts w:cs="Times New Roman"/>
          <w:color w:val="000000" w:themeColor="text1"/>
          <w:szCs w:val="24"/>
        </w:rPr>
        <w:t>N</w:t>
      </w:r>
      <w:r w:rsidR="000257C0" w:rsidRPr="00796E58">
        <w:rPr>
          <w:rFonts w:cs="Times New Roman"/>
          <w:color w:val="000000" w:themeColor="text1"/>
          <w:szCs w:val="24"/>
        </w:rPr>
        <w:t xml:space="preserve">utrientes por </w:t>
      </w:r>
      <w:r w:rsidR="00FC06FD" w:rsidRPr="00796E58">
        <w:rPr>
          <w:rFonts w:cs="Times New Roman"/>
          <w:color w:val="000000" w:themeColor="text1"/>
          <w:szCs w:val="24"/>
        </w:rPr>
        <w:t>S</w:t>
      </w:r>
      <w:r w:rsidR="000257C0" w:rsidRPr="00796E58">
        <w:rPr>
          <w:rFonts w:cs="Times New Roman"/>
          <w:color w:val="000000" w:themeColor="text1"/>
          <w:szCs w:val="24"/>
        </w:rPr>
        <w:t xml:space="preserve">itio </w:t>
      </w:r>
      <w:r w:rsidR="00FC06FD" w:rsidRPr="00796E58">
        <w:rPr>
          <w:rFonts w:cs="Times New Roman"/>
          <w:color w:val="000000" w:themeColor="text1"/>
          <w:szCs w:val="24"/>
        </w:rPr>
        <w:t>E</w:t>
      </w:r>
      <w:r w:rsidR="000257C0" w:rsidRPr="00796E58">
        <w:rPr>
          <w:rFonts w:cs="Times New Roman"/>
          <w:color w:val="000000" w:themeColor="text1"/>
          <w:szCs w:val="24"/>
        </w:rPr>
        <w:t xml:space="preserve">specífico, </w:t>
      </w:r>
      <w:r w:rsidR="00FC06FD" w:rsidRPr="00796E58">
        <w:rPr>
          <w:rFonts w:cs="Times New Roman"/>
          <w:color w:val="000000" w:themeColor="text1"/>
          <w:szCs w:val="24"/>
        </w:rPr>
        <w:t>de nueve años de investigación del INIAP en las tres provincias</w:t>
      </w:r>
      <w:r w:rsidR="000257C0" w:rsidRPr="00796E58">
        <w:rPr>
          <w:rFonts w:cs="Times New Roman"/>
          <w:color w:val="000000" w:themeColor="text1"/>
          <w:szCs w:val="24"/>
        </w:rPr>
        <w:t xml:space="preserve"> en mención</w:t>
      </w:r>
      <w:r w:rsidR="00FC06FD" w:rsidRPr="00796E58">
        <w:rPr>
          <w:rFonts w:cs="Times New Roman"/>
          <w:color w:val="000000" w:themeColor="text1"/>
          <w:szCs w:val="24"/>
        </w:rPr>
        <w:t xml:space="preserve">. </w:t>
      </w:r>
      <w:r w:rsidR="000257C0" w:rsidRPr="00796E58">
        <w:rPr>
          <w:rFonts w:cs="Times New Roman"/>
          <w:color w:val="000000" w:themeColor="text1"/>
          <w:szCs w:val="24"/>
        </w:rPr>
        <w:t xml:space="preserve">El presente estudio fue de tipo analítico. </w:t>
      </w:r>
      <w:r w:rsidR="00FC06FD" w:rsidRPr="00796E58">
        <w:rPr>
          <w:rFonts w:cs="Times New Roman"/>
          <w:color w:val="000000" w:themeColor="text1"/>
          <w:szCs w:val="24"/>
        </w:rPr>
        <w:t xml:space="preserve">Los datos que se </w:t>
      </w:r>
      <w:r w:rsidR="00713CDC">
        <w:rPr>
          <w:rFonts w:cs="Times New Roman"/>
          <w:color w:val="000000" w:themeColor="text1"/>
          <w:szCs w:val="24"/>
        </w:rPr>
        <w:t xml:space="preserve">tomaron en cuenta, </w:t>
      </w:r>
      <w:r w:rsidR="000257C0" w:rsidRPr="00796E58">
        <w:rPr>
          <w:rFonts w:cs="Times New Roman"/>
          <w:color w:val="000000" w:themeColor="text1"/>
          <w:szCs w:val="24"/>
        </w:rPr>
        <w:t xml:space="preserve">hacen referencia </w:t>
      </w:r>
      <w:r w:rsidR="00FC06FD" w:rsidRPr="00796E58">
        <w:rPr>
          <w:rFonts w:cs="Times New Roman"/>
          <w:color w:val="000000" w:themeColor="text1"/>
          <w:szCs w:val="24"/>
        </w:rPr>
        <w:t xml:space="preserve">a los sitios de cultivo de maíz en la Sierra ecuatoriana, altitud de </w:t>
      </w:r>
      <w:r w:rsidR="000257C0" w:rsidRPr="00796E58">
        <w:rPr>
          <w:rFonts w:cs="Times New Roman"/>
          <w:color w:val="000000" w:themeColor="text1"/>
          <w:szCs w:val="24"/>
        </w:rPr>
        <w:t>implementación</w:t>
      </w:r>
      <w:r w:rsidR="00FC06FD" w:rsidRPr="00796E58">
        <w:rPr>
          <w:rFonts w:cs="Times New Roman"/>
          <w:color w:val="000000" w:themeColor="text1"/>
          <w:szCs w:val="24"/>
        </w:rPr>
        <w:t xml:space="preserve">, variedades cultivadas, dosis de fertilizantes utilizados, rendimiento del grano en </w:t>
      </w:r>
      <w:r w:rsidR="00FC06FD" w:rsidRPr="00796E58">
        <w:rPr>
          <w:rFonts w:cs="Times New Roman"/>
          <w:szCs w:val="24"/>
        </w:rPr>
        <w:t>t ha-1</w:t>
      </w:r>
      <w:r w:rsidR="00FC06FD" w:rsidRPr="00796E58">
        <w:rPr>
          <w:rFonts w:cs="Times New Roman"/>
          <w:color w:val="000000" w:themeColor="text1"/>
          <w:szCs w:val="24"/>
        </w:rPr>
        <w:t>, nivel de absorción del fertilizante</w:t>
      </w:r>
      <w:r w:rsidR="00796E58" w:rsidRPr="00796E58">
        <w:rPr>
          <w:rFonts w:cs="Times New Roman"/>
          <w:color w:val="000000" w:themeColor="text1"/>
          <w:szCs w:val="24"/>
        </w:rPr>
        <w:t>.</w:t>
      </w:r>
      <w:r w:rsidR="00DF0761" w:rsidRPr="00796E58">
        <w:rPr>
          <w:rFonts w:cs="Times New Roman"/>
          <w:szCs w:val="24"/>
        </w:rPr>
        <w:t xml:space="preserve"> Se emplearon co</w:t>
      </w:r>
      <w:r w:rsidR="00FC06FD" w:rsidRPr="00796E58">
        <w:rPr>
          <w:rFonts w:cs="Times New Roman"/>
          <w:color w:val="000000" w:themeColor="text1"/>
          <w:szCs w:val="24"/>
        </w:rPr>
        <w:t>mo métodos de análisis la Varianza entre lotes de producción y la Correlación de Pearson para medir la relación entre las variables planteadas</w:t>
      </w:r>
      <w:r w:rsidR="00DF0761" w:rsidRPr="00796E58">
        <w:rPr>
          <w:rFonts w:cs="Times New Roman"/>
          <w:color w:val="000000" w:themeColor="text1"/>
          <w:szCs w:val="24"/>
        </w:rPr>
        <w:t xml:space="preserve">. </w:t>
      </w:r>
      <w:r w:rsidR="00796E58" w:rsidRPr="00796E58">
        <w:rPr>
          <w:rFonts w:cs="Times New Roman"/>
          <w:szCs w:val="24"/>
        </w:rPr>
        <w:t>Se realizó el análisis de la respuesta de rendimiento del maíz a la aplicación de macronutrientes en las provincias de Bolívar, Imbabura y Chimborazo, siendo el nitrógeno el elemento más importante, explicando el 31.49% de la variación observada en el rendimiento. Como segundo elemento en importancia se identificó al potasio con el 3.53%, seguidos de fósforo con 2.99 %, azufre con 0.57% y el magnesio 0.52%. En el promedio general de las tres provincias, el cultivo de maíz suave absorbió 124.06 kg ha</w:t>
      </w:r>
      <w:r w:rsidR="00796E58" w:rsidRPr="00796E58">
        <w:rPr>
          <w:rFonts w:cs="Times New Roman"/>
          <w:szCs w:val="24"/>
          <w:vertAlign w:val="superscript"/>
        </w:rPr>
        <w:t xml:space="preserve">-1 </w:t>
      </w:r>
      <w:r w:rsidR="00796E58" w:rsidRPr="00796E58">
        <w:rPr>
          <w:rFonts w:cs="Times New Roman"/>
          <w:szCs w:val="24"/>
        </w:rPr>
        <w:t>de nitrógeno, 26.38 kg ha</w:t>
      </w:r>
      <w:r w:rsidR="00796E58" w:rsidRPr="00796E58">
        <w:rPr>
          <w:rFonts w:cs="Times New Roman"/>
          <w:szCs w:val="24"/>
          <w:vertAlign w:val="superscript"/>
        </w:rPr>
        <w:t xml:space="preserve">-1 </w:t>
      </w:r>
      <w:r w:rsidR="00796E58" w:rsidRPr="00796E58">
        <w:rPr>
          <w:rFonts w:cs="Times New Roman"/>
          <w:szCs w:val="24"/>
        </w:rPr>
        <w:t>de fosforo, 115.31 kg ha</w:t>
      </w:r>
      <w:r w:rsidR="00796E58" w:rsidRPr="00796E58">
        <w:rPr>
          <w:rFonts w:cs="Times New Roman"/>
          <w:szCs w:val="24"/>
          <w:vertAlign w:val="superscript"/>
        </w:rPr>
        <w:t xml:space="preserve">-1 </w:t>
      </w:r>
      <w:r w:rsidR="00796E58" w:rsidRPr="00796E58">
        <w:rPr>
          <w:rFonts w:cs="Times New Roman"/>
          <w:szCs w:val="24"/>
        </w:rPr>
        <w:t>de potasio, 11.16 kg ha</w:t>
      </w:r>
      <w:r w:rsidR="00796E58" w:rsidRPr="00796E58">
        <w:rPr>
          <w:rFonts w:cs="Times New Roman"/>
          <w:szCs w:val="24"/>
          <w:vertAlign w:val="superscript"/>
        </w:rPr>
        <w:t xml:space="preserve">-1 </w:t>
      </w:r>
      <w:r w:rsidR="00796E58" w:rsidRPr="00796E58">
        <w:rPr>
          <w:rFonts w:cs="Times New Roman"/>
          <w:szCs w:val="24"/>
        </w:rPr>
        <w:t>de azufre y 19.61 kg ha</w:t>
      </w:r>
      <w:r w:rsidR="00796E58" w:rsidRPr="00796E58">
        <w:rPr>
          <w:rFonts w:cs="Times New Roman"/>
          <w:szCs w:val="24"/>
          <w:vertAlign w:val="superscript"/>
        </w:rPr>
        <w:t xml:space="preserve">-1 </w:t>
      </w:r>
      <w:r w:rsidR="00796E58" w:rsidRPr="00796E58">
        <w:rPr>
          <w:rFonts w:cs="Times New Roman"/>
          <w:szCs w:val="24"/>
        </w:rPr>
        <w:t xml:space="preserve">de magnesio, y obtuvo un promedio </w:t>
      </w:r>
      <w:r w:rsidR="00796E58" w:rsidRPr="00796E58">
        <w:rPr>
          <w:rFonts w:cs="Times New Roman"/>
          <w:szCs w:val="24"/>
        </w:rPr>
        <w:lastRenderedPageBreak/>
        <w:t>de rendimiento de grano de 4.29 t ha</w:t>
      </w:r>
      <w:r w:rsidR="00796E58" w:rsidRPr="00796E58">
        <w:rPr>
          <w:rFonts w:cs="Times New Roman"/>
          <w:szCs w:val="24"/>
          <w:vertAlign w:val="superscript"/>
        </w:rPr>
        <w:t>-1</w:t>
      </w:r>
      <w:r w:rsidR="00796E58" w:rsidRPr="00796E58">
        <w:rPr>
          <w:rFonts w:cs="Times New Roman"/>
          <w:szCs w:val="24"/>
        </w:rPr>
        <w:t xml:space="preserve">. </w:t>
      </w:r>
      <w:r w:rsidR="00796E58" w:rsidRPr="00796E58">
        <w:rPr>
          <w:rFonts w:cs="Times New Roman"/>
        </w:rPr>
        <w:t xml:space="preserve">Al ser el ambiente uno de los principales factores que influencian el rendimiento del cultivo de maíz suave en la Sierra del Ecuador, se recomienda estudiar el efecto de las precipitaciones, humedad ambiental, potencial de evapotranspiración y otros en investigaciones subsecuentes. </w:t>
      </w:r>
    </w:p>
    <w:p w14:paraId="1AFC7C43" w14:textId="4ADB2380" w:rsidR="00796E58" w:rsidRPr="00796E58" w:rsidRDefault="00713CDC" w:rsidP="00F3075E">
      <w:pPr>
        <w:spacing w:before="360" w:after="360" w:line="240" w:lineRule="auto"/>
        <w:rPr>
          <w:rFonts w:cs="Times New Roman"/>
          <w:szCs w:val="24"/>
        </w:rPr>
      </w:pPr>
      <w:r w:rsidRPr="00F3075E">
        <w:rPr>
          <w:rFonts w:cs="Times New Roman"/>
          <w:b/>
          <w:szCs w:val="24"/>
        </w:rPr>
        <w:t>Palabras claves:</w:t>
      </w:r>
      <w:r>
        <w:rPr>
          <w:rFonts w:cs="Times New Roman"/>
          <w:szCs w:val="24"/>
        </w:rPr>
        <w:t xml:space="preserve"> Macronutrientes, absorción, rendimiento.</w:t>
      </w:r>
    </w:p>
    <w:p w14:paraId="1F24A79E" w14:textId="6337D906" w:rsidR="00FC06FD" w:rsidRPr="00DF0761" w:rsidRDefault="00796E58" w:rsidP="004D5CB3">
      <w:pPr>
        <w:spacing w:after="0"/>
        <w:rPr>
          <w:rFonts w:cs="Times New Roman"/>
          <w:color w:val="000000" w:themeColor="text1"/>
          <w:szCs w:val="24"/>
        </w:rPr>
      </w:pPr>
      <w:r>
        <w:rPr>
          <w:rFonts w:cs="Times New Roman"/>
          <w:szCs w:val="24"/>
        </w:rPr>
        <w:t xml:space="preserve"> </w:t>
      </w:r>
      <w:r w:rsidR="00DF0761">
        <w:rPr>
          <w:rFonts w:cs="Times New Roman"/>
          <w:color w:val="000000" w:themeColor="text1"/>
          <w:szCs w:val="24"/>
        </w:rPr>
        <w:t xml:space="preserve"> </w:t>
      </w:r>
    </w:p>
    <w:p w14:paraId="205E47AA" w14:textId="5BF008CB" w:rsidR="001838ED" w:rsidRDefault="001838ED" w:rsidP="004D5CB3">
      <w:pPr>
        <w:spacing w:after="0"/>
        <w:rPr>
          <w:rFonts w:cs="Times New Roman"/>
          <w:b/>
          <w:bCs/>
          <w:szCs w:val="24"/>
          <w:u w:val="single"/>
        </w:rPr>
      </w:pPr>
    </w:p>
    <w:p w14:paraId="228E2AE4" w14:textId="77777777" w:rsidR="001838ED" w:rsidRPr="002C656F" w:rsidRDefault="001838ED" w:rsidP="004D5CB3">
      <w:pPr>
        <w:spacing w:after="0"/>
        <w:rPr>
          <w:rFonts w:cs="Times New Roman"/>
          <w:b/>
          <w:bCs/>
          <w:szCs w:val="24"/>
          <w:u w:val="single"/>
        </w:rPr>
      </w:pPr>
    </w:p>
    <w:p w14:paraId="0CF215B5" w14:textId="7BAC617B" w:rsidR="00FC06FD" w:rsidRPr="00FC06FD" w:rsidRDefault="00FC06FD" w:rsidP="00135DE8">
      <w:pPr>
        <w:pStyle w:val="Prrafodelista"/>
        <w:numPr>
          <w:ilvl w:val="0"/>
          <w:numId w:val="12"/>
        </w:numPr>
        <w:spacing w:after="0" w:line="360" w:lineRule="auto"/>
        <w:rPr>
          <w:rFonts w:cs="Times New Roman"/>
          <w:color w:val="000000" w:themeColor="text1"/>
          <w:szCs w:val="24"/>
        </w:rPr>
      </w:pPr>
      <w:r w:rsidRPr="00FC06FD">
        <w:rPr>
          <w:rFonts w:cs="Times New Roman"/>
          <w:color w:val="000000" w:themeColor="text1"/>
          <w:szCs w:val="24"/>
        </w:rPr>
        <w:br w:type="page"/>
      </w:r>
    </w:p>
    <w:p w14:paraId="22AF8488" w14:textId="0E915CFD" w:rsidR="00C93020" w:rsidRDefault="00F3075E" w:rsidP="00F3075E">
      <w:pPr>
        <w:pStyle w:val="Ttulo1"/>
        <w:numPr>
          <w:ilvl w:val="0"/>
          <w:numId w:val="0"/>
        </w:numPr>
        <w:spacing w:before="360" w:after="360" w:line="240" w:lineRule="auto"/>
        <w:rPr>
          <w:lang w:val="en-US"/>
        </w:rPr>
      </w:pPr>
      <w:bookmarkStart w:id="36" w:name="_Toc80008341"/>
      <w:bookmarkStart w:id="37" w:name="_Toc80312234"/>
      <w:bookmarkEnd w:id="33"/>
      <w:bookmarkEnd w:id="34"/>
      <w:bookmarkEnd w:id="35"/>
      <w:r>
        <w:rPr>
          <w:lang w:val="en-US"/>
        </w:rPr>
        <w:lastRenderedPageBreak/>
        <w:t>SUMMARY</w:t>
      </w:r>
      <w:bookmarkEnd w:id="36"/>
      <w:bookmarkEnd w:id="37"/>
    </w:p>
    <w:p w14:paraId="1FBB4B38" w14:textId="3BF9F45C" w:rsidR="00C93020" w:rsidRDefault="00C93020" w:rsidP="00F3075E">
      <w:pPr>
        <w:spacing w:after="0" w:line="360" w:lineRule="auto"/>
        <w:rPr>
          <w:lang w:val="en-US"/>
        </w:rPr>
      </w:pPr>
      <w:r w:rsidRPr="00C93020">
        <w:rPr>
          <w:lang w:val="en-US"/>
        </w:rPr>
        <w:t xml:space="preserve">Corn has its origin in Mexico where there are about 2000 types, while in Ecuador to date 29 varieties have been described, the provinces of Bolivar, Imbabura and Chimborazo, maintain important extensions of soft corn, as one of its main components within the production systems, being also one of the elements that contributes to the processes of food security and sovereignty, in direct relation with the natural, social, cultural, economic and environmental capitals of these agro-ecosystems. The nutritional imbalance is a determining factor in the loss of soil fertility, because the extraction of nutrients in the crops causes more mineral nutrients to leave the soil, compared to those that are replenished through fertilization, which could be generating, first hand, important reductions in the levels of productivity and profitability of the UPAs, which would greatly condition the improvement and sustainability of agricultural production systems that include soft corn as one of its components. The objectives of the study were as follows: Generate a database with results of experiments carried out in the three provinces, locations with agronomic attributes and fertilization doses for the corn crop, and, Analyze the response of corn yield to the application of macronutrients. With this background, the present work proposed to systematize and analyze the information from the Site Specific Nutrient Management trials of nine years of INIAP research in the three provinces mentioned. This was an analytical study. The data taken into account refer to corn cultivation sites in the Ecuadorian Sierra, implementation altitude, cultivated varieties, fertilizer doses used, grain yield in t ha-1, and fertilizer absorption level. Variance between production lots and Pearson's Correlation were used as methods of analysis to measure the relationship between the variables considered. The analysis of the response of corn yield to the application of macronutrients in the provinces of Bolivar, Imbabura and Chimborazo was carried out, with nitrogen being the most important element, explaining 31.49% of the variation observed in yield. The second most important element was potassium with 3.53%, followed by phosphorus with 2.99%, sulfur with 0.57% and magnesium with 0.52%. In the overall average of the three provinces, the soft corn crop absorbed 124.06 kg ha-1 of nitrogen, 26.38 kg ha-1 of phosphorus, 115.31 kg ha-1 of potassium, 11.16 kg ha-1 of sulfur and 19.61 kg ha-1 of magnesium, and obtained an average grain yield of 4.29 t ha-1. Since the environment is one of the main factors influencing the yield of soft corn in the Sierra del Ecuador, it is recommended to study </w:t>
      </w:r>
      <w:r w:rsidRPr="00C93020">
        <w:rPr>
          <w:lang w:val="en-US"/>
        </w:rPr>
        <w:lastRenderedPageBreak/>
        <w:t xml:space="preserve">the effect of rainfall, environmental humidity, evapotranspiration potential and others in subsequent research. </w:t>
      </w:r>
    </w:p>
    <w:p w14:paraId="6F415E03" w14:textId="00DCC0B3" w:rsidR="00C93020" w:rsidRDefault="00C93020" w:rsidP="00F3075E">
      <w:pPr>
        <w:tabs>
          <w:tab w:val="left" w:pos="2835"/>
        </w:tabs>
        <w:spacing w:before="360" w:after="360" w:line="360" w:lineRule="auto"/>
        <w:rPr>
          <w:lang w:val="en-US"/>
        </w:rPr>
      </w:pPr>
      <w:r w:rsidRPr="00F3075E">
        <w:rPr>
          <w:b/>
          <w:lang w:val="en-US"/>
        </w:rPr>
        <w:t>Key words</w:t>
      </w:r>
      <w:r w:rsidRPr="00C93020">
        <w:rPr>
          <w:lang w:val="en-US"/>
        </w:rPr>
        <w:t>: Macronutrients, absorption, yield.</w:t>
      </w:r>
    </w:p>
    <w:p w14:paraId="574164A4" w14:textId="77777777" w:rsidR="004A61DF" w:rsidRDefault="004A61DF" w:rsidP="00F3075E">
      <w:pPr>
        <w:tabs>
          <w:tab w:val="left" w:pos="2835"/>
        </w:tabs>
        <w:spacing w:before="360" w:after="360" w:line="360" w:lineRule="auto"/>
        <w:rPr>
          <w:lang w:val="en-US"/>
        </w:rPr>
        <w:sectPr w:rsidR="004A61DF" w:rsidSect="005C6603">
          <w:footerReference w:type="default" r:id="rId13"/>
          <w:pgSz w:w="11906" w:h="16838"/>
          <w:pgMar w:top="1418" w:right="1416" w:bottom="1418" w:left="1985" w:header="0" w:footer="567" w:gutter="0"/>
          <w:pgNumType w:fmt="upperRoman" w:start="1"/>
          <w:cols w:space="720"/>
          <w:docGrid w:linePitch="326"/>
        </w:sectPr>
      </w:pPr>
    </w:p>
    <w:p w14:paraId="285C24D2" w14:textId="095885C5" w:rsidR="0077235D" w:rsidRPr="007E253F" w:rsidRDefault="0077235D" w:rsidP="00BE4378">
      <w:pPr>
        <w:pStyle w:val="Ttulo1"/>
        <w:spacing w:before="360" w:after="360"/>
        <w:ind w:left="714" w:hanging="357"/>
        <w:rPr>
          <w:szCs w:val="24"/>
        </w:rPr>
      </w:pPr>
      <w:bookmarkStart w:id="38" w:name="_Toc72741035"/>
      <w:bookmarkStart w:id="39" w:name="_Toc72741833"/>
      <w:bookmarkStart w:id="40" w:name="_Toc72742631"/>
      <w:bookmarkStart w:id="41" w:name="_Toc72881383"/>
      <w:bookmarkStart w:id="42" w:name="_Toc72882465"/>
      <w:bookmarkStart w:id="43" w:name="_Toc75608810"/>
      <w:bookmarkStart w:id="44" w:name="_Toc75611736"/>
      <w:bookmarkStart w:id="45" w:name="_Toc75612582"/>
      <w:bookmarkStart w:id="46" w:name="_Toc75679737"/>
      <w:bookmarkStart w:id="47" w:name="_Toc75702345"/>
      <w:bookmarkStart w:id="48" w:name="_Toc80312235"/>
      <w:r w:rsidRPr="007E253F">
        <w:rPr>
          <w:szCs w:val="24"/>
        </w:rPr>
        <w:lastRenderedPageBreak/>
        <w:t>INTRODUCCIÓN</w:t>
      </w:r>
      <w:bookmarkEnd w:id="13"/>
      <w:bookmarkEnd w:id="14"/>
      <w:bookmarkEnd w:id="15"/>
      <w:bookmarkEnd w:id="16"/>
      <w:bookmarkEnd w:id="38"/>
      <w:bookmarkEnd w:id="39"/>
      <w:bookmarkEnd w:id="40"/>
      <w:bookmarkEnd w:id="41"/>
      <w:bookmarkEnd w:id="42"/>
      <w:bookmarkEnd w:id="43"/>
      <w:bookmarkEnd w:id="44"/>
      <w:bookmarkEnd w:id="45"/>
      <w:bookmarkEnd w:id="46"/>
      <w:bookmarkEnd w:id="47"/>
      <w:bookmarkEnd w:id="48"/>
    </w:p>
    <w:p w14:paraId="1F21AA3C" w14:textId="7AF6F681" w:rsidR="0077235D" w:rsidRPr="007E253F" w:rsidRDefault="0077235D" w:rsidP="000E2B3A">
      <w:pPr>
        <w:spacing w:after="0" w:line="360" w:lineRule="auto"/>
        <w:rPr>
          <w:rFonts w:cs="Times New Roman"/>
          <w:szCs w:val="24"/>
        </w:rPr>
      </w:pPr>
      <w:r w:rsidRPr="007E253F">
        <w:rPr>
          <w:rFonts w:cs="Times New Roman"/>
          <w:szCs w:val="24"/>
        </w:rPr>
        <w:t xml:space="preserve">El maíz desde la antigüedad ha sido uno de los principales cultivos de América Latina, tiene su origen en México donde existen alrededor de 2000 tipos, mientras que en Ecuador hasta la fecha se han descrito 29 </w:t>
      </w:r>
      <w:r w:rsidRPr="007E253F">
        <w:rPr>
          <w:rFonts w:cs="Times New Roman"/>
          <w:color w:val="000000" w:themeColor="text1"/>
          <w:szCs w:val="24"/>
        </w:rPr>
        <w:t>variedades,</w:t>
      </w:r>
      <w:r w:rsidRPr="007E253F">
        <w:rPr>
          <w:rFonts w:cs="Times New Roman"/>
          <w:szCs w:val="24"/>
        </w:rPr>
        <w:t xml:space="preserve"> de las cuales 17 corresponden a maíz de la Sierra mientras que las restantes corresponden a maíces de la zona tropical. El maíz es un cultivo que se adapta ampliamente a varias condiciones ecológicas y ed</w:t>
      </w:r>
      <w:r w:rsidR="00B02E4A" w:rsidRPr="007E253F">
        <w:rPr>
          <w:rFonts w:cs="Times New Roman"/>
          <w:szCs w:val="24"/>
        </w:rPr>
        <w:t>áficas</w:t>
      </w:r>
      <w:r w:rsidR="00942799">
        <w:rPr>
          <w:rFonts w:cs="Times New Roman"/>
          <w:szCs w:val="24"/>
        </w:rPr>
        <w:t>.</w:t>
      </w:r>
      <w:r w:rsidR="00B02E4A" w:rsidRPr="007E253F">
        <w:rPr>
          <w:rFonts w:cs="Times New Roman"/>
          <w:szCs w:val="24"/>
        </w:rPr>
        <w:t xml:space="preserve"> </w:t>
      </w:r>
      <w:r w:rsidRPr="007E253F">
        <w:rPr>
          <w:rFonts w:cs="Times New Roman"/>
          <w:szCs w:val="24"/>
        </w:rPr>
        <w:t xml:space="preserve"> </w:t>
      </w:r>
      <w:sdt>
        <w:sdtPr>
          <w:rPr>
            <w:rFonts w:cs="Times New Roman"/>
            <w:szCs w:val="24"/>
          </w:rPr>
          <w:id w:val="1529216164"/>
          <w:citation/>
        </w:sdtPr>
        <w:sdtEndPr/>
        <w:sdtContent>
          <w:r w:rsidR="00B02E4A" w:rsidRPr="007E253F">
            <w:rPr>
              <w:rFonts w:cs="Times New Roman"/>
              <w:szCs w:val="24"/>
            </w:rPr>
            <w:fldChar w:fldCharType="begin"/>
          </w:r>
          <w:r w:rsidR="00975D91">
            <w:rPr>
              <w:rFonts w:cs="Times New Roman"/>
              <w:szCs w:val="24"/>
            </w:rPr>
            <w:instrText xml:space="preserve">CITATION Cab12 \l 12298 </w:instrText>
          </w:r>
          <w:r w:rsidR="00B02E4A" w:rsidRPr="007E253F">
            <w:rPr>
              <w:rFonts w:cs="Times New Roman"/>
              <w:szCs w:val="24"/>
            </w:rPr>
            <w:fldChar w:fldCharType="separate"/>
          </w:r>
          <w:r w:rsidR="005106B9" w:rsidRPr="005106B9">
            <w:rPr>
              <w:rFonts w:cs="Times New Roman"/>
              <w:noProof/>
              <w:szCs w:val="24"/>
            </w:rPr>
            <w:t>(Yánez, 2013)</w:t>
          </w:r>
          <w:r w:rsidR="00B02E4A" w:rsidRPr="007E253F">
            <w:rPr>
              <w:rFonts w:cs="Times New Roman"/>
              <w:szCs w:val="24"/>
            </w:rPr>
            <w:fldChar w:fldCharType="end"/>
          </w:r>
        </w:sdtContent>
      </w:sdt>
    </w:p>
    <w:p w14:paraId="698C828E" w14:textId="77777777" w:rsidR="0077235D" w:rsidRPr="007E253F" w:rsidRDefault="0077235D" w:rsidP="000E2B3A">
      <w:pPr>
        <w:spacing w:after="0" w:line="360" w:lineRule="auto"/>
        <w:rPr>
          <w:rFonts w:cs="Times New Roman"/>
          <w:szCs w:val="24"/>
        </w:rPr>
      </w:pPr>
    </w:p>
    <w:p w14:paraId="4E797BB8" w14:textId="3A24BCF8" w:rsidR="0077235D" w:rsidRDefault="0077235D" w:rsidP="000E2B3A">
      <w:pPr>
        <w:spacing w:after="0" w:line="360" w:lineRule="auto"/>
        <w:rPr>
          <w:rFonts w:cs="Times New Roman"/>
          <w:szCs w:val="24"/>
        </w:rPr>
      </w:pPr>
      <w:r w:rsidRPr="007E253F">
        <w:rPr>
          <w:rFonts w:cs="Times New Roman"/>
          <w:szCs w:val="24"/>
        </w:rPr>
        <w:t xml:space="preserve">El maíz es una gramínea anual de crecimiento rápido con un ciclo aproximado de ocho meses a la cosecha en choclo y diez meses a la cosecha en seco, esto dependerá de las variedades, zona agroclimática donde se cultive y fertilización química. El maíz en la sierra del Ecuador, es uno de los cultivos más importantes debido a la </w:t>
      </w:r>
      <w:r w:rsidRPr="00942799">
        <w:rPr>
          <w:rFonts w:cs="Times New Roman"/>
          <w:szCs w:val="24"/>
        </w:rPr>
        <w:t>gran cantidad de terreno destinado a su cultivo y al papel que cumple como componente básico de la dieta de la población rural</w:t>
      </w:r>
      <w:r w:rsidR="00942799">
        <w:rPr>
          <w:rFonts w:cs="Times New Roman"/>
          <w:szCs w:val="24"/>
        </w:rPr>
        <w:t xml:space="preserve">. </w:t>
      </w:r>
      <w:r w:rsidRPr="00942799">
        <w:rPr>
          <w:rFonts w:cs="Times New Roman"/>
          <w:szCs w:val="24"/>
        </w:rPr>
        <w:t xml:space="preserve"> </w:t>
      </w:r>
      <w:sdt>
        <w:sdtPr>
          <w:rPr>
            <w:rFonts w:cs="Times New Roman"/>
            <w:szCs w:val="24"/>
          </w:rPr>
          <w:id w:val="27854170"/>
          <w:citation/>
        </w:sdtPr>
        <w:sdtEndPr/>
        <w:sdtContent>
          <w:r w:rsidR="00B02E4A" w:rsidRPr="00942799">
            <w:rPr>
              <w:rFonts w:cs="Times New Roman"/>
              <w:szCs w:val="24"/>
            </w:rPr>
            <w:fldChar w:fldCharType="begin"/>
          </w:r>
          <w:r w:rsidR="005E79B0" w:rsidRPr="00942799">
            <w:rPr>
              <w:rFonts w:cs="Times New Roman"/>
              <w:szCs w:val="24"/>
            </w:rPr>
            <w:instrText xml:space="preserve">CITATION Qui16 \l 12298 </w:instrText>
          </w:r>
          <w:r w:rsidR="00B02E4A" w:rsidRPr="00942799">
            <w:rPr>
              <w:rFonts w:cs="Times New Roman"/>
              <w:szCs w:val="24"/>
            </w:rPr>
            <w:fldChar w:fldCharType="separate"/>
          </w:r>
          <w:r w:rsidR="005106B9" w:rsidRPr="005106B9">
            <w:rPr>
              <w:rFonts w:cs="Times New Roman"/>
              <w:noProof/>
              <w:szCs w:val="24"/>
            </w:rPr>
            <w:t>(Quintero, 2016)</w:t>
          </w:r>
          <w:r w:rsidR="00B02E4A" w:rsidRPr="00942799">
            <w:rPr>
              <w:rFonts w:cs="Times New Roman"/>
              <w:szCs w:val="24"/>
            </w:rPr>
            <w:fldChar w:fldCharType="end"/>
          </w:r>
        </w:sdtContent>
      </w:sdt>
    </w:p>
    <w:p w14:paraId="4ED1C97E" w14:textId="77777777" w:rsidR="00942799" w:rsidRPr="00C15E81" w:rsidRDefault="00942799" w:rsidP="000E2B3A">
      <w:pPr>
        <w:spacing w:after="0" w:line="360" w:lineRule="auto"/>
        <w:rPr>
          <w:rFonts w:cs="Times New Roman"/>
          <w:szCs w:val="24"/>
          <w:highlight w:val="yellow"/>
        </w:rPr>
      </w:pPr>
    </w:p>
    <w:p w14:paraId="0A1B65BA" w14:textId="0F8B95BA" w:rsidR="0077235D" w:rsidRPr="007E253F" w:rsidRDefault="0077235D" w:rsidP="000E2B3A">
      <w:pPr>
        <w:spacing w:after="0" w:line="360" w:lineRule="auto"/>
        <w:rPr>
          <w:rFonts w:cs="Times New Roman"/>
          <w:szCs w:val="24"/>
        </w:rPr>
      </w:pPr>
      <w:r w:rsidRPr="007E253F">
        <w:rPr>
          <w:rFonts w:cs="Times New Roman"/>
          <w:szCs w:val="24"/>
        </w:rPr>
        <w:t xml:space="preserve">Las zonas de producción de maíz </w:t>
      </w:r>
      <w:r w:rsidRPr="001838ED">
        <w:rPr>
          <w:rFonts w:cs="Times New Roman"/>
          <w:szCs w:val="24"/>
        </w:rPr>
        <w:t>suave están</w:t>
      </w:r>
      <w:r w:rsidRPr="007E253F">
        <w:rPr>
          <w:rFonts w:cs="Times New Roman"/>
          <w:szCs w:val="24"/>
        </w:rPr>
        <w:t xml:space="preserve"> ubicadas entre los 2.200 a 3.100 metros de altura</w:t>
      </w:r>
      <w:r w:rsidR="001838ED">
        <w:rPr>
          <w:rFonts w:cs="Times New Roman"/>
          <w:szCs w:val="24"/>
        </w:rPr>
        <w:t xml:space="preserve">, donde </w:t>
      </w:r>
      <w:r w:rsidRPr="007E253F">
        <w:rPr>
          <w:rFonts w:cs="Times New Roman"/>
          <w:szCs w:val="24"/>
        </w:rPr>
        <w:t>los suelos sufren deficiencia de nitrógeno y fósforo principalmente, y están expuestos a la erosión causada por el agua, viento y la inducida por el hombre, debido a las prácticas inadecuadas de manejo de suelos de ladera. Debido a esta problemática el Instituto Nacional de Investigaciones Agropecuarias (INIAP)</w:t>
      </w:r>
      <w:r w:rsidRPr="007E253F">
        <w:rPr>
          <w:rFonts w:cs="Times New Roman"/>
          <w:color w:val="FF0000"/>
          <w:szCs w:val="24"/>
        </w:rPr>
        <w:t xml:space="preserve"> </w:t>
      </w:r>
      <w:r w:rsidRPr="007E253F">
        <w:rPr>
          <w:rFonts w:cs="Times New Roman"/>
          <w:szCs w:val="24"/>
        </w:rPr>
        <w:t>ha llevado a cabo investigaciones tendientes a determinar la necesidad de nutrientes en lotes de producción bajo condiciones específicas y ha validado una nueva metodología denominada Manejo de Nutrientes por sitio Específico, bajo labranza de conservación para el cultivo del maíz, donde el desequilibrio nutrimental es un factor determinante en la pérdida de la fertilidad del suelo, debido a que la acumulación de nutrientes en las cosechas provoca que más nutrientes minerales salgan del suelo, comparados con los que se repone</w:t>
      </w:r>
      <w:r w:rsidR="00B02E4A" w:rsidRPr="007E253F">
        <w:rPr>
          <w:rFonts w:cs="Times New Roman"/>
          <w:szCs w:val="24"/>
        </w:rPr>
        <w:t xml:space="preserve">n a través de la fertilización </w:t>
      </w:r>
      <w:sdt>
        <w:sdtPr>
          <w:rPr>
            <w:rFonts w:cs="Times New Roman"/>
            <w:szCs w:val="24"/>
          </w:rPr>
          <w:id w:val="690500073"/>
          <w:citation/>
        </w:sdtPr>
        <w:sdtEndPr/>
        <w:sdtContent>
          <w:r w:rsidR="00B02E4A" w:rsidRPr="007E253F">
            <w:rPr>
              <w:rFonts w:cs="Times New Roman"/>
              <w:szCs w:val="24"/>
            </w:rPr>
            <w:fldChar w:fldCharType="begin"/>
          </w:r>
          <w:r w:rsidR="00AB5941" w:rsidRPr="007E253F">
            <w:rPr>
              <w:rFonts w:cs="Times New Roman"/>
              <w:szCs w:val="24"/>
            </w:rPr>
            <w:instrText xml:space="preserve">CITATION Ins11 \n  \l 12298 </w:instrText>
          </w:r>
          <w:r w:rsidR="00B02E4A" w:rsidRPr="007E253F">
            <w:rPr>
              <w:rFonts w:cs="Times New Roman"/>
              <w:szCs w:val="24"/>
            </w:rPr>
            <w:fldChar w:fldCharType="separate"/>
          </w:r>
          <w:r w:rsidR="005106B9" w:rsidRPr="005106B9">
            <w:rPr>
              <w:rFonts w:cs="Times New Roman"/>
              <w:noProof/>
              <w:szCs w:val="24"/>
            </w:rPr>
            <w:t>(INIAP, 2011)</w:t>
          </w:r>
          <w:r w:rsidR="00B02E4A" w:rsidRPr="007E253F">
            <w:rPr>
              <w:rFonts w:cs="Times New Roman"/>
              <w:szCs w:val="24"/>
            </w:rPr>
            <w:fldChar w:fldCharType="end"/>
          </w:r>
        </w:sdtContent>
      </w:sdt>
    </w:p>
    <w:p w14:paraId="581A4997" w14:textId="77777777" w:rsidR="0077235D" w:rsidRPr="007E253F" w:rsidRDefault="0077235D" w:rsidP="000E2B3A">
      <w:pPr>
        <w:spacing w:after="0" w:line="360" w:lineRule="auto"/>
        <w:rPr>
          <w:rFonts w:cs="Times New Roman"/>
          <w:szCs w:val="24"/>
        </w:rPr>
      </w:pPr>
    </w:p>
    <w:p w14:paraId="03860877" w14:textId="3034D68A" w:rsidR="0077235D" w:rsidRPr="007E253F" w:rsidRDefault="0077235D" w:rsidP="000E2B3A">
      <w:pPr>
        <w:spacing w:after="0" w:line="360" w:lineRule="auto"/>
        <w:rPr>
          <w:rFonts w:cs="Times New Roman"/>
          <w:szCs w:val="24"/>
        </w:rPr>
      </w:pPr>
      <w:r w:rsidRPr="007E253F">
        <w:rPr>
          <w:rFonts w:cs="Times New Roman"/>
          <w:szCs w:val="24"/>
        </w:rPr>
        <w:t xml:space="preserve">El maíz extrae del suelo los nutrientes que requiere para su crecimiento y producción, sin embargo, cuando no se devuelven al suelo los exportados en la </w:t>
      </w:r>
      <w:r w:rsidRPr="007E253F">
        <w:rPr>
          <w:rFonts w:cs="Times New Roman"/>
          <w:szCs w:val="24"/>
        </w:rPr>
        <w:lastRenderedPageBreak/>
        <w:t xml:space="preserve">cosecha, la fertilidad del suelo se agota rápidamente y los rendimientos se reducen significativamente. Para reponer los nutrientes al suelo se pueden utilizar fuentes minerales y fuentes orgánicas </w:t>
      </w:r>
      <w:sdt>
        <w:sdtPr>
          <w:rPr>
            <w:rFonts w:cs="Times New Roman"/>
            <w:szCs w:val="24"/>
          </w:rPr>
          <w:id w:val="-1327052084"/>
          <w:citation/>
        </w:sdtPr>
        <w:sdtEndPr/>
        <w:sdtContent>
          <w:r w:rsidR="009324B5" w:rsidRPr="007E253F">
            <w:rPr>
              <w:rFonts w:cs="Times New Roman"/>
              <w:szCs w:val="24"/>
            </w:rPr>
            <w:fldChar w:fldCharType="begin"/>
          </w:r>
          <w:r w:rsidR="00AB5941" w:rsidRPr="007E253F">
            <w:rPr>
              <w:rFonts w:cs="Times New Roman"/>
              <w:szCs w:val="24"/>
            </w:rPr>
            <w:instrText xml:space="preserve">CITATION Esp09 \l 12298 </w:instrText>
          </w:r>
          <w:r w:rsidR="009324B5" w:rsidRPr="007E253F">
            <w:rPr>
              <w:rFonts w:cs="Times New Roman"/>
              <w:szCs w:val="24"/>
            </w:rPr>
            <w:fldChar w:fldCharType="separate"/>
          </w:r>
          <w:r w:rsidR="005106B9" w:rsidRPr="005106B9">
            <w:rPr>
              <w:rFonts w:cs="Times New Roman"/>
              <w:noProof/>
              <w:szCs w:val="24"/>
            </w:rPr>
            <w:t>(Espinosa, 2009)</w:t>
          </w:r>
          <w:r w:rsidR="009324B5" w:rsidRPr="007E253F">
            <w:rPr>
              <w:rFonts w:cs="Times New Roman"/>
              <w:szCs w:val="24"/>
            </w:rPr>
            <w:fldChar w:fldCharType="end"/>
          </w:r>
        </w:sdtContent>
      </w:sdt>
    </w:p>
    <w:p w14:paraId="3B3DBC49" w14:textId="77777777" w:rsidR="003A1E83" w:rsidRDefault="003A1E83" w:rsidP="000E2B3A">
      <w:pPr>
        <w:spacing w:after="0" w:line="360" w:lineRule="auto"/>
        <w:rPr>
          <w:rFonts w:cs="Times New Roman"/>
          <w:szCs w:val="24"/>
        </w:rPr>
      </w:pPr>
    </w:p>
    <w:p w14:paraId="2DCD1ED7" w14:textId="0418B72E" w:rsidR="0077235D" w:rsidRDefault="0077235D" w:rsidP="000E2B3A">
      <w:pPr>
        <w:spacing w:after="0" w:line="360" w:lineRule="auto"/>
        <w:rPr>
          <w:rFonts w:cs="Times New Roman"/>
          <w:szCs w:val="24"/>
        </w:rPr>
      </w:pPr>
      <w:r w:rsidRPr="007E253F">
        <w:rPr>
          <w:rFonts w:cs="Times New Roman"/>
          <w:szCs w:val="24"/>
        </w:rPr>
        <w:t xml:space="preserve">La fertilización es una práctica indispensable para la producción, por lo que sus recomendaciones permiten compensar el déficit entre la necesidad total de </w:t>
      </w:r>
      <w:r w:rsidR="001838ED">
        <w:rPr>
          <w:rFonts w:cs="Times New Roman"/>
          <w:szCs w:val="24"/>
        </w:rPr>
        <w:t>minerales</w:t>
      </w:r>
      <w:r w:rsidRPr="007E253F">
        <w:rPr>
          <w:rFonts w:cs="Times New Roman"/>
          <w:szCs w:val="24"/>
        </w:rPr>
        <w:t xml:space="preserve"> del cultivo y el contenido de </w:t>
      </w:r>
      <w:r w:rsidR="001838ED">
        <w:rPr>
          <w:rFonts w:cs="Times New Roman"/>
          <w:szCs w:val="24"/>
        </w:rPr>
        <w:t xml:space="preserve">los mismos </w:t>
      </w:r>
      <w:r w:rsidRPr="007E253F">
        <w:rPr>
          <w:rFonts w:cs="Times New Roman"/>
          <w:szCs w:val="24"/>
        </w:rPr>
        <w:t xml:space="preserve">que existe naturalmente en el suelo; para obtener la mayor cantidad de grano de maíz por unidad de fertilizante utilizado </w:t>
      </w:r>
      <w:sdt>
        <w:sdtPr>
          <w:rPr>
            <w:rFonts w:cs="Times New Roman"/>
            <w:szCs w:val="24"/>
          </w:rPr>
          <w:id w:val="1429852315"/>
          <w:citation/>
        </w:sdtPr>
        <w:sdtEndPr/>
        <w:sdtContent>
          <w:r w:rsidR="009324B5" w:rsidRPr="007E253F">
            <w:rPr>
              <w:rFonts w:cs="Times New Roman"/>
              <w:szCs w:val="24"/>
            </w:rPr>
            <w:fldChar w:fldCharType="begin"/>
          </w:r>
          <w:r w:rsidR="00AB5941" w:rsidRPr="007E253F">
            <w:rPr>
              <w:rFonts w:cs="Times New Roman"/>
              <w:szCs w:val="24"/>
            </w:rPr>
            <w:instrText xml:space="preserve">CITATION INI17 \l 12298 </w:instrText>
          </w:r>
          <w:r w:rsidR="009324B5" w:rsidRPr="007E253F">
            <w:rPr>
              <w:rFonts w:cs="Times New Roman"/>
              <w:szCs w:val="24"/>
            </w:rPr>
            <w:fldChar w:fldCharType="separate"/>
          </w:r>
          <w:r w:rsidR="005106B9" w:rsidRPr="005106B9">
            <w:rPr>
              <w:rFonts w:cs="Times New Roman"/>
              <w:noProof/>
              <w:szCs w:val="24"/>
            </w:rPr>
            <w:t>(INIAP, 2017)</w:t>
          </w:r>
          <w:r w:rsidR="009324B5" w:rsidRPr="007E253F">
            <w:rPr>
              <w:rFonts w:cs="Times New Roman"/>
              <w:szCs w:val="24"/>
            </w:rPr>
            <w:fldChar w:fldCharType="end"/>
          </w:r>
        </w:sdtContent>
      </w:sdt>
    </w:p>
    <w:p w14:paraId="3DD6C082" w14:textId="4A9B5E3E" w:rsidR="003A1E83" w:rsidRDefault="003A1E83" w:rsidP="000E2B3A">
      <w:pPr>
        <w:spacing w:after="0" w:line="360" w:lineRule="auto"/>
        <w:rPr>
          <w:rFonts w:cs="Times New Roman"/>
          <w:szCs w:val="24"/>
        </w:rPr>
      </w:pPr>
    </w:p>
    <w:p w14:paraId="57C715AC" w14:textId="77777777" w:rsidR="006F24F1" w:rsidRPr="006F24F1" w:rsidRDefault="006F24F1" w:rsidP="006F24F1">
      <w:pPr>
        <w:spacing w:before="240" w:after="240" w:line="240" w:lineRule="auto"/>
        <w:rPr>
          <w:rFonts w:eastAsia="Times New Roman" w:cs="Times New Roman"/>
          <w:szCs w:val="24"/>
          <w:lang w:eastAsia="es-EC"/>
        </w:rPr>
      </w:pPr>
      <w:r w:rsidRPr="006F24F1">
        <w:rPr>
          <w:rFonts w:eastAsia="Times New Roman" w:cs="Times New Roman"/>
          <w:color w:val="000000"/>
          <w:szCs w:val="24"/>
          <w:lang w:eastAsia="es-EC"/>
        </w:rPr>
        <w:t>Los objetivos planteados en esta investigación fueron:</w:t>
      </w:r>
    </w:p>
    <w:p w14:paraId="25273A01" w14:textId="77777777" w:rsidR="00AF22F4" w:rsidRPr="00AF22F4" w:rsidRDefault="00AF22F4" w:rsidP="00AF22F4">
      <w:pPr>
        <w:numPr>
          <w:ilvl w:val="0"/>
          <w:numId w:val="53"/>
        </w:numPr>
        <w:spacing w:before="360" w:after="360" w:line="360" w:lineRule="auto"/>
        <w:ind w:left="714" w:hanging="357"/>
        <w:rPr>
          <w:rFonts w:cs="Times New Roman"/>
          <w:szCs w:val="24"/>
        </w:rPr>
      </w:pPr>
      <w:r w:rsidRPr="00AF22F4">
        <w:rPr>
          <w:rFonts w:cs="Times New Roman"/>
          <w:szCs w:val="24"/>
          <w:lang w:val="es-ES"/>
        </w:rPr>
        <w:t>Generar una base de datos con resultados de experimentos realizados en las provincias de Bolívar, Imbabura y Chimborazo con atributos agronómicos y dosis de fertilización para el cultivo de maíz.</w:t>
      </w:r>
    </w:p>
    <w:p w14:paraId="6CE903AA" w14:textId="77777777" w:rsidR="00AF22F4" w:rsidRPr="00AF22F4" w:rsidRDefault="00AF22F4" w:rsidP="00AF22F4">
      <w:pPr>
        <w:numPr>
          <w:ilvl w:val="0"/>
          <w:numId w:val="53"/>
        </w:numPr>
        <w:spacing w:before="360" w:after="360" w:line="360" w:lineRule="auto"/>
        <w:ind w:left="714" w:hanging="357"/>
        <w:rPr>
          <w:rFonts w:cs="Times New Roman"/>
          <w:szCs w:val="24"/>
        </w:rPr>
      </w:pPr>
      <w:r w:rsidRPr="00AF22F4">
        <w:rPr>
          <w:rFonts w:cs="Times New Roman"/>
          <w:szCs w:val="24"/>
          <w:lang w:val="es-ES"/>
        </w:rPr>
        <w:t>Analizar la respuesta de rendimiento del maíz a la aplicación de macronutrientes en las provincias de Bolívar, Imbabura y Chimborazo</w:t>
      </w:r>
    </w:p>
    <w:p w14:paraId="688BDDAE" w14:textId="77777777" w:rsidR="00AF22F4" w:rsidRPr="007E253F" w:rsidRDefault="00AF22F4" w:rsidP="000E2B3A">
      <w:pPr>
        <w:spacing w:after="0" w:line="360" w:lineRule="auto"/>
        <w:rPr>
          <w:rFonts w:cs="Times New Roman"/>
          <w:szCs w:val="24"/>
        </w:rPr>
      </w:pPr>
    </w:p>
    <w:p w14:paraId="3124F1CD" w14:textId="77777777" w:rsidR="0077235D" w:rsidRPr="007E253F" w:rsidRDefault="0077235D" w:rsidP="000E2B3A">
      <w:pPr>
        <w:spacing w:after="0" w:line="360" w:lineRule="auto"/>
        <w:rPr>
          <w:rFonts w:cs="Times New Roman"/>
          <w:szCs w:val="24"/>
        </w:rPr>
      </w:pPr>
    </w:p>
    <w:p w14:paraId="044B1E9B" w14:textId="15FDDBE4" w:rsidR="00BE4378" w:rsidRDefault="00BE4378">
      <w:pPr>
        <w:jc w:val="left"/>
        <w:rPr>
          <w:rFonts w:cs="Times New Roman"/>
          <w:color w:val="000000" w:themeColor="text1"/>
          <w:szCs w:val="24"/>
        </w:rPr>
      </w:pPr>
      <w:r>
        <w:rPr>
          <w:rFonts w:cs="Times New Roman"/>
          <w:color w:val="000000" w:themeColor="text1"/>
          <w:szCs w:val="24"/>
        </w:rPr>
        <w:br w:type="page"/>
      </w:r>
    </w:p>
    <w:p w14:paraId="476BE60D" w14:textId="7ED63714" w:rsidR="0077235D" w:rsidRPr="007E253F" w:rsidRDefault="0077235D" w:rsidP="00BE4378">
      <w:pPr>
        <w:pStyle w:val="Ttulo1"/>
        <w:spacing w:before="360" w:after="360"/>
        <w:ind w:left="641" w:hanging="357"/>
        <w:rPr>
          <w:szCs w:val="24"/>
        </w:rPr>
      </w:pPr>
      <w:bookmarkStart w:id="49" w:name="_Toc72741036"/>
      <w:bookmarkStart w:id="50" w:name="_Toc72741834"/>
      <w:bookmarkStart w:id="51" w:name="_Toc72742632"/>
      <w:bookmarkStart w:id="52" w:name="_Toc72881384"/>
      <w:bookmarkStart w:id="53" w:name="_Toc72882466"/>
      <w:bookmarkStart w:id="54" w:name="_Toc75608811"/>
      <w:bookmarkStart w:id="55" w:name="_Toc75611737"/>
      <w:bookmarkStart w:id="56" w:name="_Toc75612583"/>
      <w:bookmarkStart w:id="57" w:name="_Toc75679738"/>
      <w:bookmarkStart w:id="58" w:name="_Toc75702346"/>
      <w:bookmarkStart w:id="59" w:name="_Toc80312236"/>
      <w:r w:rsidRPr="007E253F">
        <w:rPr>
          <w:szCs w:val="24"/>
        </w:rPr>
        <w:lastRenderedPageBreak/>
        <w:t>PROBLEMA</w:t>
      </w:r>
      <w:bookmarkEnd w:id="49"/>
      <w:bookmarkEnd w:id="50"/>
      <w:bookmarkEnd w:id="51"/>
      <w:bookmarkEnd w:id="52"/>
      <w:bookmarkEnd w:id="53"/>
      <w:bookmarkEnd w:id="54"/>
      <w:bookmarkEnd w:id="55"/>
      <w:bookmarkEnd w:id="56"/>
      <w:bookmarkEnd w:id="57"/>
      <w:bookmarkEnd w:id="58"/>
      <w:bookmarkEnd w:id="59"/>
    </w:p>
    <w:p w14:paraId="7AE25A5E" w14:textId="4ABBF0F1" w:rsidR="0077235D" w:rsidRPr="001F514F" w:rsidRDefault="0077235D" w:rsidP="000E2B3A">
      <w:pPr>
        <w:spacing w:after="0" w:line="360" w:lineRule="auto"/>
        <w:rPr>
          <w:rFonts w:cs="Times New Roman"/>
          <w:szCs w:val="24"/>
        </w:rPr>
      </w:pPr>
      <w:r w:rsidRPr="007E253F">
        <w:rPr>
          <w:rFonts w:cs="Times New Roman"/>
          <w:szCs w:val="24"/>
        </w:rPr>
        <w:t>En la Sierra del Ecuador el cultivo de maíz es uno de los más importantes debido a la superficie destinada para producción; y al papel que cumple como componente básico de la dieta de la población. Sin embargo, en los últimos años, dicho producto ha tenido rendimientos promedio de 1,5 t ha</w:t>
      </w:r>
      <w:r w:rsidRPr="007E253F">
        <w:rPr>
          <w:rFonts w:cs="Times New Roman"/>
          <w:szCs w:val="24"/>
          <w:vertAlign w:val="superscript"/>
        </w:rPr>
        <w:t>-1</w:t>
      </w:r>
      <w:r w:rsidRPr="007E253F">
        <w:rPr>
          <w:rFonts w:cs="Times New Roman"/>
          <w:szCs w:val="24"/>
        </w:rPr>
        <w:t>, el cual es significativamente bajo en relación a otros países americanos como EEUU, Argentina y Brasil que presentan rendimientos promedios de 10,7; 6,6 y 5,2 t ha</w:t>
      </w:r>
      <w:r w:rsidRPr="007E253F">
        <w:rPr>
          <w:rFonts w:cs="Times New Roman"/>
          <w:szCs w:val="24"/>
          <w:vertAlign w:val="superscript"/>
        </w:rPr>
        <w:t>-1</w:t>
      </w:r>
      <w:r w:rsidRPr="007E253F">
        <w:rPr>
          <w:rFonts w:cs="Times New Roman"/>
          <w:szCs w:val="24"/>
        </w:rPr>
        <w:t xml:space="preserve">, respectivamente. </w:t>
      </w:r>
      <w:r w:rsidR="001F514F" w:rsidRPr="005106B9">
        <w:rPr>
          <w:rFonts w:cs="Times New Roman"/>
          <w:noProof/>
          <w:szCs w:val="24"/>
        </w:rPr>
        <w:t>(</w:t>
      </w:r>
      <w:r w:rsidR="001F514F" w:rsidRPr="001F514F">
        <w:rPr>
          <w:rFonts w:cs="Times New Roman"/>
          <w:szCs w:val="24"/>
          <w:shd w:val="clear" w:color="auto" w:fill="FFFFFF"/>
        </w:rPr>
        <w:t>Organización de las Naciones Unidas para la Agricultura y la Alimentación,</w:t>
      </w:r>
      <w:r w:rsidR="001F514F" w:rsidRPr="001F514F">
        <w:rPr>
          <w:rFonts w:cs="Times New Roman"/>
          <w:noProof/>
          <w:szCs w:val="24"/>
        </w:rPr>
        <w:t xml:space="preserve"> 2015)</w:t>
      </w:r>
    </w:p>
    <w:p w14:paraId="2808E83E" w14:textId="77777777" w:rsidR="001838ED" w:rsidRPr="001F514F" w:rsidRDefault="001838ED" w:rsidP="000E2B3A">
      <w:pPr>
        <w:spacing w:after="0" w:line="360" w:lineRule="auto"/>
        <w:rPr>
          <w:rFonts w:cs="Times New Roman"/>
          <w:szCs w:val="24"/>
        </w:rPr>
      </w:pPr>
    </w:p>
    <w:p w14:paraId="58B1B0E6" w14:textId="29E096E0" w:rsidR="0077235D" w:rsidRPr="007E253F" w:rsidRDefault="0077235D" w:rsidP="000E2B3A">
      <w:pPr>
        <w:spacing w:after="0" w:line="360" w:lineRule="auto"/>
        <w:rPr>
          <w:rFonts w:cs="Times New Roman"/>
          <w:szCs w:val="24"/>
        </w:rPr>
      </w:pPr>
      <w:r w:rsidRPr="007E253F">
        <w:rPr>
          <w:rFonts w:cs="Times New Roman"/>
          <w:szCs w:val="24"/>
        </w:rPr>
        <w:t>Los suelos donde se cultiva el maíz no tienen la capacidad para proporcionar los nutrientes necesarios para el crecimiento eficiente de las plantas o rendimiento adecuado, y por ello se debe recurrir al empleo de fertilizantes. El maíz tiene gran capacidad de absorción de nutrientes y requiere de alta fertilización, especialmente de nitrógeno, además de otros como el fósforo, potasio, azufre, magnesio para obtener buena producción</w:t>
      </w:r>
    </w:p>
    <w:p w14:paraId="5276E37A" w14:textId="77777777" w:rsidR="001838ED" w:rsidRDefault="001838ED" w:rsidP="000E2B3A">
      <w:pPr>
        <w:spacing w:after="0" w:line="360" w:lineRule="auto"/>
        <w:rPr>
          <w:rFonts w:cs="Times New Roman"/>
          <w:szCs w:val="24"/>
        </w:rPr>
      </w:pPr>
    </w:p>
    <w:p w14:paraId="33DC3EFF" w14:textId="6DEB4F53" w:rsidR="0077235D" w:rsidRPr="007E253F" w:rsidRDefault="0077235D" w:rsidP="000E2B3A">
      <w:pPr>
        <w:spacing w:after="0" w:line="360" w:lineRule="auto"/>
        <w:rPr>
          <w:rFonts w:cs="Times New Roman"/>
          <w:szCs w:val="24"/>
        </w:rPr>
      </w:pPr>
      <w:r w:rsidRPr="007E253F">
        <w:rPr>
          <w:rFonts w:cs="Times New Roman"/>
          <w:szCs w:val="24"/>
        </w:rPr>
        <w:t>El desequilibrio nutrimental es un factor determinante en la pérdida de la fertilidad del suelo, debido a que la extracción de nutrientes en las cosechas provoca que más nutrientes minerales salgan del suelo, comparados con los que se reponen a través de la fertilización. La salida de nutrientes con el cultivo de maíz bajo un manejo tradicional es de 74.5 kg nitrógeno (N) ha</w:t>
      </w:r>
      <w:r w:rsidRPr="007E253F">
        <w:rPr>
          <w:rFonts w:cs="Times New Roman"/>
          <w:szCs w:val="24"/>
          <w:vertAlign w:val="superscript"/>
        </w:rPr>
        <w:t>-1</w:t>
      </w:r>
      <w:r w:rsidRPr="007E253F">
        <w:rPr>
          <w:rFonts w:cs="Times New Roman"/>
          <w:szCs w:val="24"/>
        </w:rPr>
        <w:t>, 15.8 kg fósforo (P) ha</w:t>
      </w:r>
      <w:r w:rsidRPr="007E253F">
        <w:rPr>
          <w:rFonts w:cs="Times New Roman"/>
          <w:szCs w:val="24"/>
          <w:vertAlign w:val="superscript"/>
        </w:rPr>
        <w:t>-1</w:t>
      </w:r>
      <w:r w:rsidRPr="007E253F">
        <w:rPr>
          <w:rFonts w:cs="Times New Roman"/>
          <w:szCs w:val="24"/>
        </w:rPr>
        <w:t xml:space="preserve">, 67.4 kg potasio (K)/ha en mazorca y residuos, con un rendimiento en grano de 2.4 t ha. Mientras que, con un manejo de fertilización completa, las salidas de nutrientes alcanzan 132.5 kg (N)/ha, 24.6 kg (P)/ha, 149 kg (K)/ha en mazorca y residuos, con un rendimiento en grano de 5.5 t ha </w:t>
      </w:r>
      <w:sdt>
        <w:sdtPr>
          <w:rPr>
            <w:rFonts w:cs="Times New Roman"/>
            <w:szCs w:val="24"/>
          </w:rPr>
          <w:id w:val="1882896473"/>
          <w:citation/>
        </w:sdtPr>
        <w:sdtEndPr/>
        <w:sdtContent>
          <w:r w:rsidR="00873BE4" w:rsidRPr="007E253F">
            <w:rPr>
              <w:rFonts w:cs="Times New Roman"/>
              <w:szCs w:val="24"/>
            </w:rPr>
            <w:fldChar w:fldCharType="begin"/>
          </w:r>
          <w:r w:rsidR="00873BE4" w:rsidRPr="007E253F">
            <w:rPr>
              <w:rFonts w:cs="Times New Roman"/>
              <w:szCs w:val="24"/>
            </w:rPr>
            <w:instrText xml:space="preserve"> CITATION Alv11 \l 12298 </w:instrText>
          </w:r>
          <w:r w:rsidR="00873BE4" w:rsidRPr="007E253F">
            <w:rPr>
              <w:rFonts w:cs="Times New Roman"/>
              <w:szCs w:val="24"/>
            </w:rPr>
            <w:fldChar w:fldCharType="separate"/>
          </w:r>
          <w:r w:rsidR="005106B9" w:rsidRPr="005106B9">
            <w:rPr>
              <w:rFonts w:cs="Times New Roman"/>
              <w:noProof/>
              <w:szCs w:val="24"/>
            </w:rPr>
            <w:t>(Alvarado, 2011)</w:t>
          </w:r>
          <w:r w:rsidR="00873BE4" w:rsidRPr="007E253F">
            <w:rPr>
              <w:rFonts w:cs="Times New Roman"/>
              <w:szCs w:val="24"/>
            </w:rPr>
            <w:fldChar w:fldCharType="end"/>
          </w:r>
        </w:sdtContent>
      </w:sdt>
    </w:p>
    <w:p w14:paraId="79A4E5CD" w14:textId="77777777" w:rsidR="001838ED" w:rsidRDefault="001838ED" w:rsidP="000E2B3A">
      <w:pPr>
        <w:spacing w:after="0" w:line="360" w:lineRule="auto"/>
        <w:rPr>
          <w:rFonts w:cs="Times New Roman"/>
          <w:szCs w:val="24"/>
        </w:rPr>
      </w:pPr>
    </w:p>
    <w:p w14:paraId="23699581" w14:textId="0B98043A" w:rsidR="0077235D" w:rsidRDefault="0077235D" w:rsidP="000E2B3A">
      <w:pPr>
        <w:spacing w:after="0" w:line="360" w:lineRule="auto"/>
        <w:rPr>
          <w:rFonts w:cs="Times New Roman"/>
          <w:szCs w:val="24"/>
        </w:rPr>
      </w:pPr>
      <w:r w:rsidRPr="007E253F">
        <w:rPr>
          <w:rFonts w:cs="Times New Roman"/>
          <w:szCs w:val="24"/>
        </w:rPr>
        <w:t xml:space="preserve">La Estación Experimental Santa Catalina del INIAP dispone de una base de datos que compila 15 ensayos en tres provincias de la sierra (Imbabura, Chimborazo y Bolívar) donde el cultivo de maíz es un rubro fundamental. Estos estudios han sido reportados de manera individual y no se ha realizado un análisis consolidado de los </w:t>
      </w:r>
      <w:r w:rsidRPr="007E253F">
        <w:rPr>
          <w:rFonts w:cs="Times New Roman"/>
          <w:szCs w:val="24"/>
        </w:rPr>
        <w:lastRenderedPageBreak/>
        <w:t xml:space="preserve">resultados obtenidos, que permita revisar la recomendación de fertilización del cultivo y brindar una mejor asesoría a los agricultores. </w:t>
      </w:r>
    </w:p>
    <w:p w14:paraId="6EA134F4" w14:textId="0A2A5A13" w:rsidR="00B05008" w:rsidRPr="007E253F" w:rsidRDefault="00B05008" w:rsidP="00B05008">
      <w:pPr>
        <w:spacing w:after="0" w:line="360" w:lineRule="auto"/>
        <w:rPr>
          <w:rFonts w:cs="Times New Roman"/>
          <w:szCs w:val="24"/>
        </w:rPr>
      </w:pPr>
      <w:r w:rsidRPr="007E253F">
        <w:rPr>
          <w:rFonts w:cs="Times New Roman"/>
          <w:szCs w:val="24"/>
        </w:rPr>
        <w:t>Estudios realizados en ensayos de omisión de N, P, Mg, S bajo la metodología de MNSE (Manejo de Nutrientes por Sitio Específico</w:t>
      </w:r>
      <w:r w:rsidRPr="007E253F">
        <w:rPr>
          <w:rFonts w:cs="Times New Roman"/>
          <w:szCs w:val="24"/>
          <w:shd w:val="clear" w:color="auto" w:fill="FFFFFF"/>
        </w:rPr>
        <w:t>)</w:t>
      </w:r>
      <w:r w:rsidRPr="007E253F">
        <w:rPr>
          <w:rFonts w:cs="Times New Roman"/>
          <w:szCs w:val="24"/>
        </w:rPr>
        <w:t xml:space="preserve"> en maíz suave en las provincias de Bolívar, Chimborazo e Imbabura, mostraron como nutriente limitante principal al N seguido por el P. Por lo tanto, la recomendación de fertilización de estos elementos está orientada a reponer la exportación en el grano </w:t>
      </w:r>
      <w:sdt>
        <w:sdtPr>
          <w:rPr>
            <w:rFonts w:cs="Times New Roman"/>
            <w:szCs w:val="24"/>
          </w:rPr>
          <w:id w:val="-282961131"/>
          <w:citation/>
        </w:sdtPr>
        <w:sdtEndPr/>
        <w:sdtContent>
          <w:r w:rsidRPr="007E253F">
            <w:rPr>
              <w:rFonts w:cs="Times New Roman"/>
              <w:szCs w:val="24"/>
            </w:rPr>
            <w:fldChar w:fldCharType="begin"/>
          </w:r>
          <w:r w:rsidRPr="007E253F">
            <w:rPr>
              <w:rFonts w:cs="Times New Roman"/>
              <w:szCs w:val="24"/>
            </w:rPr>
            <w:instrText xml:space="preserve">CITATION Alv11 \t  \l 12298 </w:instrText>
          </w:r>
          <w:r w:rsidRPr="007E253F">
            <w:rPr>
              <w:rFonts w:cs="Times New Roman"/>
              <w:szCs w:val="24"/>
            </w:rPr>
            <w:fldChar w:fldCharType="separate"/>
          </w:r>
          <w:r w:rsidR="005106B9" w:rsidRPr="005106B9">
            <w:rPr>
              <w:rFonts w:cs="Times New Roman"/>
              <w:noProof/>
              <w:szCs w:val="24"/>
            </w:rPr>
            <w:t>(Alvarado, 2011)</w:t>
          </w:r>
          <w:r w:rsidRPr="007E253F">
            <w:rPr>
              <w:rFonts w:cs="Times New Roman"/>
              <w:szCs w:val="24"/>
            </w:rPr>
            <w:fldChar w:fldCharType="end"/>
          </w:r>
        </w:sdtContent>
      </w:sdt>
    </w:p>
    <w:p w14:paraId="397966AF" w14:textId="77777777" w:rsidR="00B05008" w:rsidRPr="007E253F" w:rsidRDefault="00B05008" w:rsidP="00B05008">
      <w:pPr>
        <w:spacing w:after="0" w:line="360" w:lineRule="auto"/>
        <w:rPr>
          <w:rFonts w:cs="Times New Roman"/>
          <w:color w:val="FF0000"/>
          <w:szCs w:val="24"/>
        </w:rPr>
      </w:pPr>
    </w:p>
    <w:p w14:paraId="610133CF" w14:textId="5D65078D" w:rsidR="003D2B31" w:rsidRPr="008534FF" w:rsidRDefault="00B05008" w:rsidP="000E2B3A">
      <w:pPr>
        <w:spacing w:after="0" w:line="360" w:lineRule="auto"/>
        <w:rPr>
          <w:rFonts w:cs="Times New Roman"/>
          <w:szCs w:val="24"/>
        </w:rPr>
      </w:pPr>
      <w:r w:rsidRPr="007E253F">
        <w:rPr>
          <w:rFonts w:cs="Times New Roman"/>
          <w:color w:val="000000" w:themeColor="text1"/>
          <w:szCs w:val="24"/>
        </w:rPr>
        <w:t xml:space="preserve">Con estos antecedentes, </w:t>
      </w:r>
      <w:r w:rsidR="00330E8C">
        <w:rPr>
          <w:rFonts w:cs="Times New Roman"/>
          <w:color w:val="000000" w:themeColor="text1"/>
          <w:szCs w:val="24"/>
        </w:rPr>
        <w:t xml:space="preserve">con </w:t>
      </w:r>
      <w:r w:rsidRPr="007E253F">
        <w:rPr>
          <w:rFonts w:cs="Times New Roman"/>
          <w:color w:val="000000" w:themeColor="text1"/>
          <w:szCs w:val="24"/>
        </w:rPr>
        <w:t>el presente trabajo</w:t>
      </w:r>
      <w:r w:rsidR="00330E8C">
        <w:rPr>
          <w:rFonts w:cs="Times New Roman"/>
          <w:color w:val="000000" w:themeColor="text1"/>
          <w:szCs w:val="24"/>
        </w:rPr>
        <w:t xml:space="preserve"> se evaluó</w:t>
      </w:r>
      <w:r w:rsidRPr="007E253F">
        <w:rPr>
          <w:rFonts w:cs="Times New Roman"/>
          <w:szCs w:val="24"/>
        </w:rPr>
        <w:t xml:space="preserve"> el efecto de la fertilización de macronutrientes en el rendimiento del maíz suave en tres provincias de la Sierra del Ecuador</w:t>
      </w:r>
      <w:r>
        <w:rPr>
          <w:rFonts w:cs="Times New Roman"/>
          <w:szCs w:val="24"/>
        </w:rPr>
        <w:t xml:space="preserve"> y gener</w:t>
      </w:r>
      <w:r w:rsidR="00330E8C">
        <w:rPr>
          <w:rFonts w:cs="Times New Roman"/>
          <w:szCs w:val="24"/>
        </w:rPr>
        <w:t>ó</w:t>
      </w:r>
      <w:r>
        <w:rPr>
          <w:rFonts w:cs="Times New Roman"/>
          <w:szCs w:val="24"/>
        </w:rPr>
        <w:t xml:space="preserve"> una base de datos con los resultados de los experimentos, a través de la sistematización </w:t>
      </w:r>
      <w:r w:rsidRPr="007E253F">
        <w:rPr>
          <w:rFonts w:cs="Times New Roman"/>
          <w:color w:val="000000" w:themeColor="text1"/>
          <w:szCs w:val="24"/>
        </w:rPr>
        <w:t xml:space="preserve">de los ensayos de MNSE de nueve años de investigación del INIAP, lo cual </w:t>
      </w:r>
      <w:r w:rsidRPr="008534FF">
        <w:rPr>
          <w:rFonts w:cs="Times New Roman"/>
          <w:color w:val="000000" w:themeColor="text1"/>
          <w:szCs w:val="24"/>
        </w:rPr>
        <w:t>permiti</w:t>
      </w:r>
      <w:r w:rsidR="008534FF" w:rsidRPr="008534FF">
        <w:rPr>
          <w:rFonts w:cs="Times New Roman"/>
          <w:color w:val="000000" w:themeColor="text1"/>
          <w:szCs w:val="24"/>
        </w:rPr>
        <w:t>ó</w:t>
      </w:r>
      <w:r w:rsidRPr="007E253F">
        <w:rPr>
          <w:rFonts w:cs="Times New Roman"/>
          <w:color w:val="000000" w:themeColor="text1"/>
          <w:szCs w:val="24"/>
        </w:rPr>
        <w:t xml:space="preserve"> obtener recomendaciones de manejo de macro nutrientes y analizar si existen o no diferencias estadísticas entre los resultados de cada provincia. </w:t>
      </w:r>
    </w:p>
    <w:p w14:paraId="135B830A" w14:textId="20E8E99F" w:rsidR="00B05008" w:rsidRDefault="003D2B31" w:rsidP="000E2B3A">
      <w:pPr>
        <w:spacing w:after="0" w:line="360" w:lineRule="auto"/>
        <w:rPr>
          <w:rFonts w:cs="Times New Roman"/>
          <w:color w:val="000000" w:themeColor="text1"/>
          <w:szCs w:val="24"/>
        </w:rPr>
      </w:pPr>
      <w:r>
        <w:rPr>
          <w:rFonts w:cs="Times New Roman"/>
          <w:color w:val="000000" w:themeColor="text1"/>
          <w:szCs w:val="24"/>
        </w:rPr>
        <w:br w:type="page"/>
      </w:r>
    </w:p>
    <w:p w14:paraId="551D3517" w14:textId="607AB49D" w:rsidR="0077235D" w:rsidRPr="007E253F" w:rsidRDefault="0077235D" w:rsidP="00BE4378">
      <w:pPr>
        <w:pStyle w:val="Ttulo1"/>
        <w:spacing w:before="360" w:after="360"/>
        <w:ind w:left="754" w:hanging="357"/>
        <w:rPr>
          <w:szCs w:val="24"/>
        </w:rPr>
      </w:pPr>
      <w:bookmarkStart w:id="60" w:name="_Toc72741041"/>
      <w:bookmarkStart w:id="61" w:name="_Toc72741839"/>
      <w:bookmarkStart w:id="62" w:name="_Toc72742637"/>
      <w:bookmarkStart w:id="63" w:name="_Toc72881389"/>
      <w:bookmarkStart w:id="64" w:name="_Toc72882471"/>
      <w:bookmarkStart w:id="65" w:name="_Toc75608816"/>
      <w:bookmarkStart w:id="66" w:name="_Toc75611742"/>
      <w:bookmarkStart w:id="67" w:name="_Toc75612588"/>
      <w:bookmarkStart w:id="68" w:name="_Toc75679743"/>
      <w:bookmarkStart w:id="69" w:name="_Toc75702351"/>
      <w:bookmarkStart w:id="70" w:name="_Toc80312237"/>
      <w:r w:rsidRPr="007E253F">
        <w:rPr>
          <w:szCs w:val="24"/>
        </w:rPr>
        <w:lastRenderedPageBreak/>
        <w:t>MARCO TEÓRICO</w:t>
      </w:r>
      <w:bookmarkEnd w:id="60"/>
      <w:bookmarkEnd w:id="61"/>
      <w:bookmarkEnd w:id="62"/>
      <w:bookmarkEnd w:id="63"/>
      <w:bookmarkEnd w:id="64"/>
      <w:bookmarkEnd w:id="65"/>
      <w:bookmarkEnd w:id="66"/>
      <w:bookmarkEnd w:id="67"/>
      <w:bookmarkEnd w:id="68"/>
      <w:bookmarkEnd w:id="69"/>
      <w:bookmarkEnd w:id="70"/>
    </w:p>
    <w:p w14:paraId="5C8AA2B3" w14:textId="36DA26E0" w:rsidR="0077235D" w:rsidRPr="007E253F" w:rsidRDefault="0077235D" w:rsidP="00BE4378">
      <w:pPr>
        <w:pStyle w:val="Ttulo2"/>
        <w:spacing w:before="360" w:after="360"/>
        <w:ind w:left="720"/>
      </w:pPr>
      <w:bookmarkStart w:id="71" w:name="_Toc72741042"/>
      <w:bookmarkStart w:id="72" w:name="_Toc72741840"/>
      <w:bookmarkStart w:id="73" w:name="_Toc72742638"/>
      <w:bookmarkStart w:id="74" w:name="_Toc72881390"/>
      <w:bookmarkStart w:id="75" w:name="_Toc72882472"/>
      <w:bookmarkStart w:id="76" w:name="_Toc75608817"/>
      <w:bookmarkStart w:id="77" w:name="_Toc75611743"/>
      <w:bookmarkStart w:id="78" w:name="_Toc75612589"/>
      <w:bookmarkStart w:id="79" w:name="_Toc75679744"/>
      <w:bookmarkStart w:id="80" w:name="_Toc75702352"/>
      <w:bookmarkStart w:id="81" w:name="_Toc80312238"/>
      <w:r w:rsidRPr="007E253F">
        <w:t>M</w:t>
      </w:r>
      <w:bookmarkEnd w:id="71"/>
      <w:bookmarkEnd w:id="72"/>
      <w:bookmarkEnd w:id="73"/>
      <w:bookmarkEnd w:id="74"/>
      <w:bookmarkEnd w:id="75"/>
      <w:bookmarkEnd w:id="76"/>
      <w:bookmarkEnd w:id="77"/>
      <w:bookmarkEnd w:id="78"/>
      <w:bookmarkEnd w:id="79"/>
      <w:bookmarkEnd w:id="80"/>
      <w:r w:rsidR="008A3AD8">
        <w:t>aíz</w:t>
      </w:r>
      <w:bookmarkEnd w:id="81"/>
    </w:p>
    <w:p w14:paraId="4D9083B8" w14:textId="73329610" w:rsidR="0077235D" w:rsidRPr="007E253F" w:rsidRDefault="0077235D" w:rsidP="00BE4378">
      <w:pPr>
        <w:pStyle w:val="Ttulo3"/>
        <w:spacing w:before="360" w:after="360"/>
      </w:pPr>
      <w:bookmarkStart w:id="82" w:name="_Toc72741043"/>
      <w:bookmarkStart w:id="83" w:name="_Toc72741841"/>
      <w:bookmarkStart w:id="84" w:name="_Toc72742639"/>
      <w:bookmarkStart w:id="85" w:name="_Toc72881391"/>
      <w:bookmarkStart w:id="86" w:name="_Toc72882473"/>
      <w:bookmarkStart w:id="87" w:name="_Toc75608818"/>
      <w:bookmarkStart w:id="88" w:name="_Toc75611744"/>
      <w:bookmarkStart w:id="89" w:name="_Toc75612590"/>
      <w:bookmarkStart w:id="90" w:name="_Toc75679745"/>
      <w:bookmarkStart w:id="91" w:name="_Toc75702353"/>
      <w:bookmarkStart w:id="92" w:name="_Toc80312239"/>
      <w:r w:rsidRPr="007E253F">
        <w:t>Origen</w:t>
      </w:r>
      <w:bookmarkEnd w:id="82"/>
      <w:bookmarkEnd w:id="83"/>
      <w:bookmarkEnd w:id="84"/>
      <w:bookmarkEnd w:id="85"/>
      <w:bookmarkEnd w:id="86"/>
      <w:bookmarkEnd w:id="87"/>
      <w:bookmarkEnd w:id="88"/>
      <w:bookmarkEnd w:id="89"/>
      <w:bookmarkEnd w:id="90"/>
      <w:bookmarkEnd w:id="91"/>
      <w:bookmarkEnd w:id="92"/>
      <w:r w:rsidRPr="007E253F">
        <w:t xml:space="preserve"> </w:t>
      </w:r>
    </w:p>
    <w:p w14:paraId="4DF4F7C5" w14:textId="6BB11B57" w:rsidR="0077235D" w:rsidRPr="007E253F" w:rsidRDefault="0077235D" w:rsidP="000E2B3A">
      <w:pPr>
        <w:spacing w:after="0" w:line="360" w:lineRule="auto"/>
        <w:rPr>
          <w:rFonts w:cs="Times New Roman"/>
          <w:noProof/>
          <w:szCs w:val="24"/>
        </w:rPr>
      </w:pPr>
      <w:r w:rsidRPr="007E253F">
        <w:rPr>
          <w:rFonts w:cs="Times New Roman"/>
          <w:szCs w:val="24"/>
        </w:rPr>
        <w:t xml:space="preserve">El maíz se originó en una parte restringida de México y los tipos más desarrollados emigraron posteriormente hacia otros sitios de América. El maíz es un cultivo de origen americano, sin embargo, no existen al respecto evidencias impresas o escritas de esta información, hasta la época de Cristóbal Colón quien lo conoció en su visita a la isla de Cuba. El maíz surgió aproximadamente entre los años 8000 y 6000 ac. en Mesoamérica (México y Guatemala), probablemente a lo largo del acantilado occidental de México Central o del Sur, a 500 km de la ciudad de México </w:t>
      </w:r>
      <w:sdt>
        <w:sdtPr>
          <w:rPr>
            <w:rFonts w:cs="Times New Roman"/>
            <w:szCs w:val="24"/>
          </w:rPr>
          <w:id w:val="1920050089"/>
          <w:citation/>
        </w:sdtPr>
        <w:sdtEndPr/>
        <w:sdtContent>
          <w:r w:rsidR="003914E1" w:rsidRPr="007E253F">
            <w:rPr>
              <w:rFonts w:cs="Times New Roman"/>
              <w:szCs w:val="24"/>
            </w:rPr>
            <w:fldChar w:fldCharType="begin"/>
          </w:r>
          <w:r w:rsidR="003914E1" w:rsidRPr="007E253F">
            <w:rPr>
              <w:rFonts w:cs="Times New Roman"/>
              <w:szCs w:val="24"/>
            </w:rPr>
            <w:instrText xml:space="preserve">CITATION Aco09 \l 12298 </w:instrText>
          </w:r>
          <w:r w:rsidR="003914E1" w:rsidRPr="007E253F">
            <w:rPr>
              <w:rFonts w:cs="Times New Roman"/>
              <w:szCs w:val="24"/>
            </w:rPr>
            <w:fldChar w:fldCharType="separate"/>
          </w:r>
          <w:r w:rsidR="005106B9" w:rsidRPr="005106B9">
            <w:rPr>
              <w:rFonts w:cs="Times New Roman"/>
              <w:noProof/>
              <w:szCs w:val="24"/>
            </w:rPr>
            <w:t>(Acosta, 2009)</w:t>
          </w:r>
          <w:r w:rsidR="003914E1" w:rsidRPr="007E253F">
            <w:rPr>
              <w:rFonts w:cs="Times New Roman"/>
              <w:szCs w:val="24"/>
            </w:rPr>
            <w:fldChar w:fldCharType="end"/>
          </w:r>
        </w:sdtContent>
      </w:sdt>
    </w:p>
    <w:p w14:paraId="1DF26672" w14:textId="7AD50367" w:rsidR="0077235D" w:rsidRPr="007E253F" w:rsidRDefault="0077235D" w:rsidP="00BE4378">
      <w:pPr>
        <w:pStyle w:val="Ttulo3"/>
        <w:spacing w:before="360" w:after="360"/>
      </w:pPr>
      <w:bookmarkStart w:id="93" w:name="_Toc72741044"/>
      <w:bookmarkStart w:id="94" w:name="_Toc72741842"/>
      <w:bookmarkStart w:id="95" w:name="_Toc72742640"/>
      <w:bookmarkStart w:id="96" w:name="_Toc72881392"/>
      <w:bookmarkStart w:id="97" w:name="_Toc72882474"/>
      <w:bookmarkStart w:id="98" w:name="_Toc75608819"/>
      <w:bookmarkStart w:id="99" w:name="_Toc75611745"/>
      <w:bookmarkStart w:id="100" w:name="_Toc75612591"/>
      <w:bookmarkStart w:id="101" w:name="_Toc75679746"/>
      <w:bookmarkStart w:id="102" w:name="_Toc75702354"/>
      <w:bookmarkStart w:id="103" w:name="_Toc80312240"/>
      <w:r w:rsidRPr="007E253F">
        <w:t>Clasificación Taxonómica</w:t>
      </w:r>
      <w:bookmarkEnd w:id="93"/>
      <w:bookmarkEnd w:id="94"/>
      <w:bookmarkEnd w:id="95"/>
      <w:bookmarkEnd w:id="96"/>
      <w:bookmarkEnd w:id="97"/>
      <w:bookmarkEnd w:id="98"/>
      <w:bookmarkEnd w:id="99"/>
      <w:bookmarkEnd w:id="100"/>
      <w:bookmarkEnd w:id="101"/>
      <w:bookmarkEnd w:id="102"/>
      <w:bookmarkEnd w:id="103"/>
    </w:p>
    <w:p w14:paraId="7750DE74" w14:textId="77777777" w:rsidR="0077235D" w:rsidRPr="007E253F" w:rsidRDefault="0077235D" w:rsidP="002B1E6E">
      <w:pPr>
        <w:spacing w:after="360" w:line="360" w:lineRule="auto"/>
        <w:rPr>
          <w:rFonts w:cs="Times New Roman"/>
          <w:szCs w:val="24"/>
        </w:rPr>
      </w:pPr>
      <w:r w:rsidRPr="007E253F">
        <w:rPr>
          <w:rFonts w:cs="Times New Roman"/>
          <w:szCs w:val="24"/>
        </w:rPr>
        <w:t xml:space="preserve">El maíz taxonómicamente pertenece a: </w:t>
      </w:r>
    </w:p>
    <w:p w14:paraId="4B0239E2" w14:textId="4339A0B0" w:rsidR="00BE4378" w:rsidRPr="00BE4378" w:rsidRDefault="00BE4378" w:rsidP="00FA69C7">
      <w:pPr>
        <w:pStyle w:val="Descripcin"/>
        <w:keepNext/>
        <w:ind w:left="708" w:firstLine="708"/>
        <w:jc w:val="left"/>
        <w:rPr>
          <w:rFonts w:eastAsiaTheme="majorEastAsia" w:cs="Times New Roman"/>
          <w:bCs/>
          <w:i w:val="0"/>
          <w:iCs w:val="0"/>
          <w:color w:val="auto"/>
          <w:sz w:val="24"/>
          <w:szCs w:val="28"/>
          <w:lang w:val="es-ES" w:eastAsia="en-US"/>
        </w:rPr>
      </w:pPr>
      <w:bookmarkStart w:id="104" w:name="_Toc79313993"/>
      <w:r w:rsidRPr="002B1E6E">
        <w:rPr>
          <w:rFonts w:eastAsiaTheme="majorEastAsia" w:cs="Times New Roman"/>
          <w:b/>
          <w:bCs/>
          <w:i w:val="0"/>
          <w:iCs w:val="0"/>
          <w:color w:val="auto"/>
          <w:sz w:val="24"/>
          <w:szCs w:val="28"/>
          <w:lang w:val="es-ES" w:eastAsia="en-US"/>
        </w:rPr>
        <w:t xml:space="preserve">Cuadro </w:t>
      </w:r>
      <w:r w:rsidR="00C26AF2">
        <w:rPr>
          <w:rFonts w:eastAsiaTheme="majorEastAsia" w:cs="Times New Roman"/>
          <w:b/>
          <w:bCs/>
          <w:i w:val="0"/>
          <w:iCs w:val="0"/>
          <w:color w:val="auto"/>
          <w:sz w:val="24"/>
          <w:szCs w:val="28"/>
          <w:lang w:val="es-ES" w:eastAsia="en-US"/>
        </w:rPr>
        <w:fldChar w:fldCharType="begin"/>
      </w:r>
      <w:r w:rsidR="00C26AF2">
        <w:rPr>
          <w:rFonts w:eastAsiaTheme="majorEastAsia" w:cs="Times New Roman"/>
          <w:b/>
          <w:bCs/>
          <w:i w:val="0"/>
          <w:iCs w:val="0"/>
          <w:color w:val="auto"/>
          <w:sz w:val="24"/>
          <w:szCs w:val="28"/>
          <w:lang w:val="es-ES" w:eastAsia="en-US"/>
        </w:rPr>
        <w:instrText xml:space="preserve"> SEQ Cuadro \* ARABIC </w:instrText>
      </w:r>
      <w:r w:rsidR="00C26AF2">
        <w:rPr>
          <w:rFonts w:eastAsiaTheme="majorEastAsia" w:cs="Times New Roman"/>
          <w:b/>
          <w:bCs/>
          <w:i w:val="0"/>
          <w:iCs w:val="0"/>
          <w:color w:val="auto"/>
          <w:sz w:val="24"/>
          <w:szCs w:val="28"/>
          <w:lang w:val="es-ES" w:eastAsia="en-US"/>
        </w:rPr>
        <w:fldChar w:fldCharType="separate"/>
      </w:r>
      <w:r w:rsidR="000D1F55">
        <w:rPr>
          <w:rFonts w:eastAsiaTheme="majorEastAsia" w:cs="Times New Roman"/>
          <w:b/>
          <w:bCs/>
          <w:i w:val="0"/>
          <w:iCs w:val="0"/>
          <w:noProof/>
          <w:color w:val="auto"/>
          <w:sz w:val="24"/>
          <w:szCs w:val="28"/>
          <w:lang w:val="es-ES" w:eastAsia="en-US"/>
        </w:rPr>
        <w:t>1</w:t>
      </w:r>
      <w:r w:rsidR="00C26AF2">
        <w:rPr>
          <w:rFonts w:eastAsiaTheme="majorEastAsia" w:cs="Times New Roman"/>
          <w:b/>
          <w:bCs/>
          <w:i w:val="0"/>
          <w:iCs w:val="0"/>
          <w:color w:val="auto"/>
          <w:sz w:val="24"/>
          <w:szCs w:val="28"/>
          <w:lang w:val="es-ES" w:eastAsia="en-US"/>
        </w:rPr>
        <w:fldChar w:fldCharType="end"/>
      </w:r>
      <w:r w:rsidRPr="002B1E6E">
        <w:rPr>
          <w:rFonts w:eastAsiaTheme="majorEastAsia" w:cs="Times New Roman"/>
          <w:b/>
          <w:bCs/>
          <w:i w:val="0"/>
          <w:iCs w:val="0"/>
          <w:color w:val="auto"/>
          <w:sz w:val="24"/>
          <w:szCs w:val="28"/>
          <w:lang w:val="es-ES" w:eastAsia="en-US"/>
        </w:rPr>
        <w:t>.</w:t>
      </w:r>
      <w:r w:rsidRPr="00BE4378">
        <w:rPr>
          <w:rFonts w:eastAsiaTheme="majorEastAsia" w:cs="Times New Roman"/>
          <w:bCs/>
          <w:i w:val="0"/>
          <w:iCs w:val="0"/>
          <w:color w:val="auto"/>
          <w:sz w:val="24"/>
          <w:szCs w:val="28"/>
          <w:lang w:val="es-ES" w:eastAsia="en-US"/>
        </w:rPr>
        <w:t xml:space="preserve"> Taxonomía del maíz</w:t>
      </w:r>
      <w:bookmarkEnd w:id="104"/>
    </w:p>
    <w:tbl>
      <w:tblPr>
        <w:tblStyle w:val="Tablaconcuadrcula"/>
        <w:tblW w:w="5949" w:type="dxa"/>
        <w:jc w:val="center"/>
        <w:tblLook w:val="04A0" w:firstRow="1" w:lastRow="0" w:firstColumn="1" w:lastColumn="0" w:noHBand="0" w:noVBand="1"/>
      </w:tblPr>
      <w:tblGrid>
        <w:gridCol w:w="2405"/>
        <w:gridCol w:w="3544"/>
      </w:tblGrid>
      <w:tr w:rsidR="0077235D" w:rsidRPr="007E253F" w14:paraId="4A07BCF1" w14:textId="77777777" w:rsidTr="003D2B31">
        <w:trPr>
          <w:trHeight w:val="392"/>
          <w:jc w:val="center"/>
        </w:trPr>
        <w:tc>
          <w:tcPr>
            <w:tcW w:w="2405" w:type="dxa"/>
          </w:tcPr>
          <w:p w14:paraId="7CD760EB" w14:textId="77777777" w:rsidR="0077235D" w:rsidRPr="007E253F" w:rsidRDefault="0077235D" w:rsidP="003D2B31">
            <w:pPr>
              <w:rPr>
                <w:rFonts w:cs="Times New Roman"/>
                <w:b/>
                <w:bCs/>
                <w:szCs w:val="24"/>
              </w:rPr>
            </w:pPr>
            <w:r w:rsidRPr="007E253F">
              <w:rPr>
                <w:rFonts w:cs="Times New Roman"/>
                <w:b/>
                <w:bCs/>
                <w:szCs w:val="24"/>
              </w:rPr>
              <w:t>Reino:</w:t>
            </w:r>
          </w:p>
        </w:tc>
        <w:tc>
          <w:tcPr>
            <w:tcW w:w="3544" w:type="dxa"/>
          </w:tcPr>
          <w:p w14:paraId="6DAE127A" w14:textId="77777777" w:rsidR="0077235D" w:rsidRPr="007E253F" w:rsidRDefault="0077235D" w:rsidP="003D2B31">
            <w:pPr>
              <w:rPr>
                <w:rFonts w:cs="Times New Roman"/>
                <w:szCs w:val="24"/>
              </w:rPr>
            </w:pPr>
            <w:r w:rsidRPr="007E253F">
              <w:rPr>
                <w:rFonts w:cs="Times New Roman"/>
                <w:szCs w:val="24"/>
              </w:rPr>
              <w:t xml:space="preserve"> Vegetal </w:t>
            </w:r>
          </w:p>
        </w:tc>
      </w:tr>
      <w:tr w:rsidR="0077235D" w:rsidRPr="007E253F" w14:paraId="69AB37B6" w14:textId="77777777" w:rsidTr="003D2B31">
        <w:trPr>
          <w:trHeight w:val="411"/>
          <w:jc w:val="center"/>
        </w:trPr>
        <w:tc>
          <w:tcPr>
            <w:tcW w:w="2405" w:type="dxa"/>
          </w:tcPr>
          <w:p w14:paraId="25E855AD" w14:textId="77777777" w:rsidR="0077235D" w:rsidRPr="007E253F" w:rsidRDefault="0077235D" w:rsidP="003D2B31">
            <w:pPr>
              <w:rPr>
                <w:rFonts w:cs="Times New Roman"/>
                <w:b/>
                <w:bCs/>
                <w:szCs w:val="24"/>
              </w:rPr>
            </w:pPr>
            <w:r w:rsidRPr="007E253F">
              <w:rPr>
                <w:rFonts w:cs="Times New Roman"/>
                <w:b/>
                <w:bCs/>
                <w:szCs w:val="24"/>
              </w:rPr>
              <w:t>Subreino:</w:t>
            </w:r>
          </w:p>
        </w:tc>
        <w:tc>
          <w:tcPr>
            <w:tcW w:w="3544" w:type="dxa"/>
          </w:tcPr>
          <w:p w14:paraId="5D2B8571" w14:textId="77777777" w:rsidR="0077235D" w:rsidRPr="007E253F" w:rsidRDefault="0077235D" w:rsidP="003D2B31">
            <w:pPr>
              <w:rPr>
                <w:rFonts w:cs="Times New Roman"/>
                <w:szCs w:val="24"/>
              </w:rPr>
            </w:pPr>
            <w:r w:rsidRPr="007E253F">
              <w:rPr>
                <w:rFonts w:cs="Times New Roman"/>
                <w:szCs w:val="24"/>
              </w:rPr>
              <w:t xml:space="preserve"> Embriobionta </w:t>
            </w:r>
          </w:p>
        </w:tc>
      </w:tr>
      <w:tr w:rsidR="0077235D" w:rsidRPr="007E253F" w14:paraId="3A4F8DC1" w14:textId="77777777" w:rsidTr="003D2B31">
        <w:trPr>
          <w:trHeight w:val="417"/>
          <w:jc w:val="center"/>
        </w:trPr>
        <w:tc>
          <w:tcPr>
            <w:tcW w:w="2405" w:type="dxa"/>
          </w:tcPr>
          <w:p w14:paraId="68851E07" w14:textId="77777777" w:rsidR="0077235D" w:rsidRPr="007E253F" w:rsidRDefault="0077235D" w:rsidP="003D2B31">
            <w:pPr>
              <w:rPr>
                <w:rFonts w:cs="Times New Roman"/>
                <w:b/>
                <w:bCs/>
                <w:szCs w:val="24"/>
              </w:rPr>
            </w:pPr>
            <w:r w:rsidRPr="007E253F">
              <w:rPr>
                <w:rFonts w:cs="Times New Roman"/>
                <w:b/>
                <w:bCs/>
                <w:szCs w:val="24"/>
              </w:rPr>
              <w:t>División:</w:t>
            </w:r>
          </w:p>
        </w:tc>
        <w:tc>
          <w:tcPr>
            <w:tcW w:w="3544" w:type="dxa"/>
          </w:tcPr>
          <w:p w14:paraId="55DDD55F" w14:textId="77777777" w:rsidR="0077235D" w:rsidRPr="007E253F" w:rsidRDefault="0077235D" w:rsidP="003D2B31">
            <w:pPr>
              <w:rPr>
                <w:rFonts w:cs="Times New Roman"/>
                <w:szCs w:val="24"/>
              </w:rPr>
            </w:pPr>
            <w:r w:rsidRPr="007E253F">
              <w:rPr>
                <w:rFonts w:cs="Times New Roman"/>
                <w:szCs w:val="24"/>
              </w:rPr>
              <w:t xml:space="preserve"> Magnoliophyta (Angiospermae) </w:t>
            </w:r>
          </w:p>
        </w:tc>
      </w:tr>
      <w:tr w:rsidR="0077235D" w:rsidRPr="007E253F" w14:paraId="00488CFD" w14:textId="77777777" w:rsidTr="003D2B31">
        <w:trPr>
          <w:trHeight w:val="424"/>
          <w:jc w:val="center"/>
        </w:trPr>
        <w:tc>
          <w:tcPr>
            <w:tcW w:w="2405" w:type="dxa"/>
          </w:tcPr>
          <w:p w14:paraId="18FE02B4" w14:textId="77777777" w:rsidR="0077235D" w:rsidRPr="007E253F" w:rsidRDefault="0077235D" w:rsidP="003D2B31">
            <w:pPr>
              <w:rPr>
                <w:rFonts w:cs="Times New Roman"/>
                <w:b/>
                <w:bCs/>
                <w:szCs w:val="24"/>
              </w:rPr>
            </w:pPr>
            <w:r w:rsidRPr="007E253F">
              <w:rPr>
                <w:rFonts w:cs="Times New Roman"/>
                <w:b/>
                <w:bCs/>
                <w:szCs w:val="24"/>
              </w:rPr>
              <w:t>Clase:</w:t>
            </w:r>
          </w:p>
        </w:tc>
        <w:tc>
          <w:tcPr>
            <w:tcW w:w="3544" w:type="dxa"/>
          </w:tcPr>
          <w:p w14:paraId="63BA61D8" w14:textId="77777777" w:rsidR="0077235D" w:rsidRPr="007E253F" w:rsidRDefault="0077235D" w:rsidP="003D2B31">
            <w:pPr>
              <w:rPr>
                <w:rFonts w:cs="Times New Roman"/>
                <w:szCs w:val="24"/>
              </w:rPr>
            </w:pPr>
            <w:r w:rsidRPr="007E253F">
              <w:rPr>
                <w:rFonts w:cs="Times New Roman"/>
                <w:szCs w:val="24"/>
              </w:rPr>
              <w:t xml:space="preserve"> Liliopssida (Monocothyledoneae) </w:t>
            </w:r>
          </w:p>
        </w:tc>
      </w:tr>
      <w:tr w:rsidR="0077235D" w:rsidRPr="007E253F" w14:paraId="698D4CAD" w14:textId="77777777" w:rsidTr="003D2B31">
        <w:trPr>
          <w:trHeight w:val="416"/>
          <w:jc w:val="center"/>
        </w:trPr>
        <w:tc>
          <w:tcPr>
            <w:tcW w:w="2405" w:type="dxa"/>
          </w:tcPr>
          <w:p w14:paraId="7A558080" w14:textId="77777777" w:rsidR="0077235D" w:rsidRPr="007E253F" w:rsidRDefault="0077235D" w:rsidP="003D2B31">
            <w:pPr>
              <w:rPr>
                <w:rFonts w:cs="Times New Roman"/>
                <w:b/>
                <w:bCs/>
                <w:szCs w:val="24"/>
              </w:rPr>
            </w:pPr>
            <w:r w:rsidRPr="007E253F">
              <w:rPr>
                <w:rFonts w:cs="Times New Roman"/>
                <w:b/>
                <w:bCs/>
                <w:szCs w:val="24"/>
              </w:rPr>
              <w:t>Orden:</w:t>
            </w:r>
          </w:p>
        </w:tc>
        <w:tc>
          <w:tcPr>
            <w:tcW w:w="3544" w:type="dxa"/>
          </w:tcPr>
          <w:p w14:paraId="3D2FB05A" w14:textId="77777777" w:rsidR="0077235D" w:rsidRPr="007E253F" w:rsidRDefault="0077235D" w:rsidP="003D2B31">
            <w:pPr>
              <w:rPr>
                <w:rFonts w:cs="Times New Roman"/>
                <w:szCs w:val="24"/>
              </w:rPr>
            </w:pPr>
            <w:r w:rsidRPr="007E253F">
              <w:rPr>
                <w:rFonts w:cs="Times New Roman"/>
                <w:szCs w:val="24"/>
              </w:rPr>
              <w:t xml:space="preserve"> Cyperales </w:t>
            </w:r>
          </w:p>
        </w:tc>
      </w:tr>
      <w:tr w:rsidR="0077235D" w:rsidRPr="007E253F" w14:paraId="626754FA" w14:textId="77777777" w:rsidTr="003D2B31">
        <w:trPr>
          <w:trHeight w:val="407"/>
          <w:jc w:val="center"/>
        </w:trPr>
        <w:tc>
          <w:tcPr>
            <w:tcW w:w="2405" w:type="dxa"/>
          </w:tcPr>
          <w:p w14:paraId="6CC37CD6" w14:textId="77777777" w:rsidR="0077235D" w:rsidRPr="007E253F" w:rsidRDefault="0077235D" w:rsidP="003D2B31">
            <w:pPr>
              <w:rPr>
                <w:rFonts w:cs="Times New Roman"/>
                <w:b/>
                <w:bCs/>
                <w:szCs w:val="24"/>
              </w:rPr>
            </w:pPr>
            <w:r w:rsidRPr="007E253F">
              <w:rPr>
                <w:rFonts w:cs="Times New Roman"/>
                <w:b/>
                <w:bCs/>
                <w:szCs w:val="24"/>
              </w:rPr>
              <w:t>Familia:</w:t>
            </w:r>
          </w:p>
        </w:tc>
        <w:tc>
          <w:tcPr>
            <w:tcW w:w="3544" w:type="dxa"/>
          </w:tcPr>
          <w:p w14:paraId="2298FE7A" w14:textId="77777777" w:rsidR="0077235D" w:rsidRPr="007E253F" w:rsidRDefault="0077235D" w:rsidP="003D2B31">
            <w:pPr>
              <w:rPr>
                <w:rFonts w:cs="Times New Roman"/>
                <w:szCs w:val="24"/>
              </w:rPr>
            </w:pPr>
            <w:r w:rsidRPr="007E253F">
              <w:rPr>
                <w:rFonts w:cs="Times New Roman"/>
                <w:szCs w:val="24"/>
              </w:rPr>
              <w:t xml:space="preserve"> Poaceae </w:t>
            </w:r>
          </w:p>
        </w:tc>
      </w:tr>
      <w:tr w:rsidR="0077235D" w:rsidRPr="007E253F" w14:paraId="050D187F" w14:textId="77777777" w:rsidTr="003D2B31">
        <w:trPr>
          <w:trHeight w:val="427"/>
          <w:jc w:val="center"/>
        </w:trPr>
        <w:tc>
          <w:tcPr>
            <w:tcW w:w="2405" w:type="dxa"/>
          </w:tcPr>
          <w:p w14:paraId="3133DFAD" w14:textId="77777777" w:rsidR="0077235D" w:rsidRPr="007E253F" w:rsidRDefault="0077235D" w:rsidP="003D2B31">
            <w:pPr>
              <w:rPr>
                <w:rFonts w:cs="Times New Roman"/>
                <w:b/>
                <w:bCs/>
                <w:szCs w:val="24"/>
              </w:rPr>
            </w:pPr>
            <w:r w:rsidRPr="007E253F">
              <w:rPr>
                <w:rFonts w:cs="Times New Roman"/>
                <w:b/>
                <w:bCs/>
                <w:szCs w:val="24"/>
              </w:rPr>
              <w:t>Género:</w:t>
            </w:r>
          </w:p>
        </w:tc>
        <w:tc>
          <w:tcPr>
            <w:tcW w:w="3544" w:type="dxa"/>
          </w:tcPr>
          <w:p w14:paraId="2E18B60F" w14:textId="77777777" w:rsidR="0077235D" w:rsidRPr="007E253F" w:rsidRDefault="0077235D" w:rsidP="003D2B31">
            <w:pPr>
              <w:rPr>
                <w:rFonts w:cs="Times New Roman"/>
                <w:i/>
                <w:iCs/>
                <w:szCs w:val="24"/>
              </w:rPr>
            </w:pPr>
            <w:r w:rsidRPr="007E253F">
              <w:rPr>
                <w:rFonts w:cs="Times New Roman"/>
                <w:szCs w:val="24"/>
              </w:rPr>
              <w:t xml:space="preserve"> </w:t>
            </w:r>
            <w:r w:rsidRPr="007E253F">
              <w:rPr>
                <w:rFonts w:cs="Times New Roman"/>
                <w:i/>
                <w:iCs/>
                <w:szCs w:val="24"/>
              </w:rPr>
              <w:t xml:space="preserve">Zea </w:t>
            </w:r>
          </w:p>
        </w:tc>
      </w:tr>
      <w:tr w:rsidR="0077235D" w:rsidRPr="007E253F" w14:paraId="011A5CB6" w14:textId="77777777" w:rsidTr="003D2B31">
        <w:trPr>
          <w:trHeight w:val="405"/>
          <w:jc w:val="center"/>
        </w:trPr>
        <w:tc>
          <w:tcPr>
            <w:tcW w:w="2405" w:type="dxa"/>
          </w:tcPr>
          <w:p w14:paraId="627178B5" w14:textId="77777777" w:rsidR="0077235D" w:rsidRPr="007E253F" w:rsidRDefault="0077235D" w:rsidP="003D2B31">
            <w:pPr>
              <w:rPr>
                <w:rFonts w:cs="Times New Roman"/>
                <w:b/>
                <w:bCs/>
                <w:szCs w:val="24"/>
              </w:rPr>
            </w:pPr>
            <w:r w:rsidRPr="007E253F">
              <w:rPr>
                <w:rFonts w:cs="Times New Roman"/>
                <w:b/>
                <w:bCs/>
                <w:szCs w:val="24"/>
              </w:rPr>
              <w:t>Especie:</w:t>
            </w:r>
          </w:p>
        </w:tc>
        <w:tc>
          <w:tcPr>
            <w:tcW w:w="3544" w:type="dxa"/>
          </w:tcPr>
          <w:p w14:paraId="363096EA" w14:textId="77777777" w:rsidR="0077235D" w:rsidRPr="007E253F" w:rsidRDefault="0077235D" w:rsidP="003D2B31">
            <w:pPr>
              <w:rPr>
                <w:rFonts w:cs="Times New Roman"/>
                <w:i/>
                <w:iCs/>
                <w:szCs w:val="24"/>
              </w:rPr>
            </w:pPr>
            <w:r w:rsidRPr="007E253F">
              <w:rPr>
                <w:rFonts w:cs="Times New Roman"/>
                <w:szCs w:val="24"/>
              </w:rPr>
              <w:t xml:space="preserve"> </w:t>
            </w:r>
            <w:r w:rsidRPr="007E253F">
              <w:rPr>
                <w:rFonts w:cs="Times New Roman"/>
                <w:i/>
                <w:iCs/>
                <w:szCs w:val="24"/>
              </w:rPr>
              <w:t xml:space="preserve">mays </w:t>
            </w:r>
          </w:p>
        </w:tc>
      </w:tr>
      <w:tr w:rsidR="0077235D" w:rsidRPr="007E253F" w14:paraId="7E2B1A9A" w14:textId="77777777" w:rsidTr="003D2B31">
        <w:trPr>
          <w:trHeight w:val="283"/>
          <w:jc w:val="center"/>
        </w:trPr>
        <w:tc>
          <w:tcPr>
            <w:tcW w:w="2405" w:type="dxa"/>
          </w:tcPr>
          <w:p w14:paraId="6B637374" w14:textId="77777777" w:rsidR="0077235D" w:rsidRPr="007E253F" w:rsidRDefault="0077235D" w:rsidP="003D2B31">
            <w:pPr>
              <w:rPr>
                <w:rFonts w:cs="Times New Roman"/>
                <w:b/>
                <w:bCs/>
                <w:szCs w:val="24"/>
              </w:rPr>
            </w:pPr>
            <w:r w:rsidRPr="007E253F">
              <w:rPr>
                <w:rFonts w:cs="Times New Roman"/>
                <w:b/>
                <w:bCs/>
                <w:szCs w:val="24"/>
              </w:rPr>
              <w:t>Nombre Científico:</w:t>
            </w:r>
          </w:p>
        </w:tc>
        <w:tc>
          <w:tcPr>
            <w:tcW w:w="3544" w:type="dxa"/>
          </w:tcPr>
          <w:p w14:paraId="615111F7" w14:textId="77777777" w:rsidR="0077235D" w:rsidRPr="007E253F" w:rsidRDefault="0077235D" w:rsidP="003D2B31">
            <w:pPr>
              <w:rPr>
                <w:rFonts w:cs="Times New Roman"/>
                <w:i/>
                <w:iCs/>
                <w:szCs w:val="24"/>
              </w:rPr>
            </w:pPr>
            <w:r w:rsidRPr="007E253F">
              <w:rPr>
                <w:rFonts w:cs="Times New Roman"/>
                <w:szCs w:val="24"/>
              </w:rPr>
              <w:t xml:space="preserve"> </w:t>
            </w:r>
            <w:r w:rsidRPr="007E253F">
              <w:rPr>
                <w:rFonts w:cs="Times New Roman"/>
                <w:i/>
                <w:iCs/>
                <w:szCs w:val="24"/>
              </w:rPr>
              <w:t xml:space="preserve">Zea mays. L </w:t>
            </w:r>
          </w:p>
        </w:tc>
      </w:tr>
    </w:tbl>
    <w:p w14:paraId="56A87909" w14:textId="53A39B2D" w:rsidR="0077235D" w:rsidRDefault="003D2B31" w:rsidP="003D2B31">
      <w:pPr>
        <w:spacing w:after="360" w:line="360" w:lineRule="auto"/>
        <w:rPr>
          <w:rFonts w:cs="Times New Roman"/>
          <w:sz w:val="20"/>
          <w:szCs w:val="20"/>
        </w:rPr>
      </w:pPr>
      <w:r>
        <w:rPr>
          <w:rFonts w:cs="Times New Roman"/>
          <w:b/>
          <w:sz w:val="16"/>
          <w:szCs w:val="16"/>
        </w:rPr>
        <w:t xml:space="preserve">                        </w:t>
      </w:r>
      <w:r w:rsidR="0077235D" w:rsidRPr="003D2B31">
        <w:rPr>
          <w:rFonts w:cs="Times New Roman"/>
          <w:b/>
          <w:sz w:val="20"/>
          <w:szCs w:val="20"/>
        </w:rPr>
        <w:t>Fuente:</w:t>
      </w:r>
      <w:r w:rsidR="0077235D" w:rsidRPr="003D2B31">
        <w:rPr>
          <w:rFonts w:cs="Times New Roman"/>
          <w:sz w:val="20"/>
          <w:szCs w:val="20"/>
        </w:rPr>
        <w:t xml:space="preserve"> Medina, C, (2015) “Taxonomía del Maíz”</w:t>
      </w:r>
    </w:p>
    <w:p w14:paraId="4684FC51" w14:textId="77777777" w:rsidR="003D2B31" w:rsidRPr="002B1E6E" w:rsidRDefault="003D2B31" w:rsidP="003D2B31">
      <w:pPr>
        <w:spacing w:after="360" w:line="360" w:lineRule="auto"/>
        <w:rPr>
          <w:rFonts w:cs="Times New Roman"/>
          <w:sz w:val="16"/>
          <w:szCs w:val="16"/>
        </w:rPr>
      </w:pPr>
    </w:p>
    <w:p w14:paraId="486CB6DC" w14:textId="72543515" w:rsidR="0077235D" w:rsidRPr="007E253F" w:rsidRDefault="0077235D" w:rsidP="002B1E6E">
      <w:pPr>
        <w:pStyle w:val="Ttulo3"/>
        <w:spacing w:after="360"/>
      </w:pPr>
      <w:bookmarkStart w:id="105" w:name="_Toc72741046"/>
      <w:bookmarkStart w:id="106" w:name="_Toc72741844"/>
      <w:bookmarkStart w:id="107" w:name="_Toc72742642"/>
      <w:bookmarkStart w:id="108" w:name="_Toc72881394"/>
      <w:bookmarkStart w:id="109" w:name="_Toc72882476"/>
      <w:bookmarkStart w:id="110" w:name="_Toc75608821"/>
      <w:bookmarkStart w:id="111" w:name="_Toc75611747"/>
      <w:bookmarkStart w:id="112" w:name="_Toc75612593"/>
      <w:bookmarkStart w:id="113" w:name="_Toc75679748"/>
      <w:bookmarkStart w:id="114" w:name="_Toc75702356"/>
      <w:bookmarkStart w:id="115" w:name="_Toc80312241"/>
      <w:r w:rsidRPr="007E253F">
        <w:lastRenderedPageBreak/>
        <w:t>Descripción botánica</w:t>
      </w:r>
      <w:bookmarkEnd w:id="105"/>
      <w:bookmarkEnd w:id="106"/>
      <w:bookmarkEnd w:id="107"/>
      <w:bookmarkEnd w:id="108"/>
      <w:bookmarkEnd w:id="109"/>
      <w:bookmarkEnd w:id="110"/>
      <w:bookmarkEnd w:id="111"/>
      <w:bookmarkEnd w:id="112"/>
      <w:bookmarkEnd w:id="113"/>
      <w:bookmarkEnd w:id="114"/>
      <w:bookmarkEnd w:id="115"/>
      <w:r w:rsidRPr="007E253F">
        <w:t xml:space="preserve"> </w:t>
      </w:r>
      <w:bookmarkStart w:id="116" w:name="_Toc35185798"/>
      <w:bookmarkStart w:id="117" w:name="_Toc35186291"/>
    </w:p>
    <w:p w14:paraId="6E5E5252" w14:textId="5534BEFC" w:rsidR="0077235D" w:rsidRPr="003D2B31" w:rsidRDefault="0077235D" w:rsidP="003D2B31">
      <w:pPr>
        <w:pStyle w:val="Prrafodelista"/>
        <w:numPr>
          <w:ilvl w:val="3"/>
          <w:numId w:val="3"/>
        </w:numPr>
        <w:rPr>
          <w:b/>
          <w:bCs/>
        </w:rPr>
      </w:pPr>
      <w:bookmarkStart w:id="118" w:name="_Toc72741047"/>
      <w:bookmarkStart w:id="119" w:name="_Toc72741845"/>
      <w:bookmarkStart w:id="120" w:name="_Toc72742643"/>
      <w:bookmarkStart w:id="121" w:name="_Toc72881395"/>
      <w:bookmarkStart w:id="122" w:name="_Toc72882477"/>
      <w:bookmarkStart w:id="123" w:name="_Toc75608822"/>
      <w:bookmarkStart w:id="124" w:name="_Toc75611748"/>
      <w:bookmarkStart w:id="125" w:name="_Toc75612594"/>
      <w:bookmarkStart w:id="126" w:name="_Toc75679749"/>
      <w:bookmarkStart w:id="127" w:name="_Toc75702357"/>
      <w:r w:rsidRPr="003D2B31">
        <w:rPr>
          <w:b/>
          <w:bCs/>
        </w:rPr>
        <w:t>Planta</w:t>
      </w:r>
      <w:bookmarkEnd w:id="116"/>
      <w:bookmarkEnd w:id="117"/>
      <w:bookmarkEnd w:id="118"/>
      <w:bookmarkEnd w:id="119"/>
      <w:bookmarkEnd w:id="120"/>
      <w:bookmarkEnd w:id="121"/>
      <w:bookmarkEnd w:id="122"/>
      <w:bookmarkEnd w:id="123"/>
      <w:bookmarkEnd w:id="124"/>
      <w:bookmarkEnd w:id="125"/>
      <w:bookmarkEnd w:id="126"/>
      <w:bookmarkEnd w:id="127"/>
      <w:r w:rsidRPr="003D2B31">
        <w:rPr>
          <w:b/>
          <w:bCs/>
        </w:rPr>
        <w:t xml:space="preserve"> </w:t>
      </w:r>
    </w:p>
    <w:p w14:paraId="3388F366" w14:textId="63DF2D2A" w:rsidR="0077235D" w:rsidRPr="007E253F" w:rsidRDefault="0077235D" w:rsidP="000E2B3A">
      <w:pPr>
        <w:spacing w:after="0" w:line="360" w:lineRule="auto"/>
        <w:rPr>
          <w:rFonts w:cs="Times New Roman"/>
          <w:szCs w:val="24"/>
        </w:rPr>
      </w:pPr>
      <w:r w:rsidRPr="007E253F">
        <w:rPr>
          <w:rFonts w:cs="Times New Roman"/>
          <w:szCs w:val="24"/>
        </w:rPr>
        <w:t xml:space="preserve">Es una planta de tallo erguido, macizo y hueco. La altura es muy variable desde 60 hasta 2,4 m., En la provincia Bolívar la variedad Guagal llega a medir hasta 5 m de altura. A diferencia de los demás cereales, es una especie monoica, lo que significa que sus inflorescencias, masculina y femenina, se ubican separadas dentro de una misma planta; esto determina además que su polinización sea fundamentalmente cruzada </w:t>
      </w:r>
      <w:sdt>
        <w:sdtPr>
          <w:rPr>
            <w:rFonts w:cs="Times New Roman"/>
            <w:szCs w:val="24"/>
          </w:rPr>
          <w:id w:val="-1801450031"/>
          <w:citation/>
        </w:sdtPr>
        <w:sdtEndPr/>
        <w:sdtContent>
          <w:r w:rsidR="00873BE4" w:rsidRPr="007E253F">
            <w:rPr>
              <w:rFonts w:cs="Times New Roman"/>
              <w:szCs w:val="24"/>
            </w:rPr>
            <w:fldChar w:fldCharType="begin"/>
          </w:r>
          <w:r w:rsidR="001C5119" w:rsidRPr="007E253F">
            <w:rPr>
              <w:rFonts w:cs="Times New Roman"/>
              <w:szCs w:val="24"/>
            </w:rPr>
            <w:instrText xml:space="preserve">CITATION Bri04 \l 12298 </w:instrText>
          </w:r>
          <w:r w:rsidR="00873BE4" w:rsidRPr="007E253F">
            <w:rPr>
              <w:rFonts w:cs="Times New Roman"/>
              <w:szCs w:val="24"/>
            </w:rPr>
            <w:fldChar w:fldCharType="separate"/>
          </w:r>
          <w:r w:rsidR="005106B9" w:rsidRPr="005106B9">
            <w:rPr>
              <w:rFonts w:cs="Times New Roman"/>
              <w:noProof/>
              <w:szCs w:val="24"/>
            </w:rPr>
            <w:t>(Pardavé, 2004)</w:t>
          </w:r>
          <w:r w:rsidR="00873BE4" w:rsidRPr="007E253F">
            <w:rPr>
              <w:rFonts w:cs="Times New Roman"/>
              <w:szCs w:val="24"/>
            </w:rPr>
            <w:fldChar w:fldCharType="end"/>
          </w:r>
        </w:sdtContent>
      </w:sdt>
    </w:p>
    <w:p w14:paraId="7F13D6DD" w14:textId="5860603B" w:rsidR="0077235D" w:rsidRPr="003D2B31" w:rsidRDefault="0077235D" w:rsidP="003D2B31">
      <w:pPr>
        <w:pStyle w:val="Prrafodelista"/>
        <w:numPr>
          <w:ilvl w:val="3"/>
          <w:numId w:val="3"/>
        </w:numPr>
        <w:spacing w:before="360" w:after="360"/>
        <w:ind w:left="1077" w:hanging="1077"/>
        <w:rPr>
          <w:b/>
          <w:bCs/>
        </w:rPr>
      </w:pPr>
      <w:bookmarkStart w:id="128" w:name="_Toc35185799"/>
      <w:bookmarkStart w:id="129" w:name="_Toc35186292"/>
      <w:bookmarkStart w:id="130" w:name="_Toc72741048"/>
      <w:bookmarkStart w:id="131" w:name="_Toc72741846"/>
      <w:bookmarkStart w:id="132" w:name="_Toc72742644"/>
      <w:bookmarkStart w:id="133" w:name="_Toc72881396"/>
      <w:bookmarkStart w:id="134" w:name="_Toc72882478"/>
      <w:bookmarkStart w:id="135" w:name="_Toc75608823"/>
      <w:bookmarkStart w:id="136" w:name="_Toc75611749"/>
      <w:bookmarkStart w:id="137" w:name="_Toc75612595"/>
      <w:bookmarkStart w:id="138" w:name="_Toc75679750"/>
      <w:bookmarkStart w:id="139" w:name="_Toc75702358"/>
      <w:r w:rsidRPr="003D2B31">
        <w:rPr>
          <w:b/>
          <w:bCs/>
        </w:rPr>
        <w:t>Raíz</w:t>
      </w:r>
      <w:bookmarkEnd w:id="128"/>
      <w:bookmarkEnd w:id="129"/>
      <w:bookmarkEnd w:id="130"/>
      <w:bookmarkEnd w:id="131"/>
      <w:bookmarkEnd w:id="132"/>
      <w:bookmarkEnd w:id="133"/>
      <w:bookmarkEnd w:id="134"/>
      <w:bookmarkEnd w:id="135"/>
      <w:bookmarkEnd w:id="136"/>
      <w:bookmarkEnd w:id="137"/>
      <w:bookmarkEnd w:id="138"/>
      <w:bookmarkEnd w:id="139"/>
      <w:r w:rsidRPr="003D2B31">
        <w:rPr>
          <w:b/>
          <w:bCs/>
        </w:rPr>
        <w:t xml:space="preserve"> </w:t>
      </w:r>
    </w:p>
    <w:p w14:paraId="3726C75C" w14:textId="696EBFE6" w:rsidR="0077235D" w:rsidRPr="007E253F" w:rsidRDefault="0077235D" w:rsidP="000E2B3A">
      <w:pPr>
        <w:spacing w:after="0" w:line="360" w:lineRule="auto"/>
        <w:rPr>
          <w:rFonts w:cs="Times New Roman"/>
          <w:szCs w:val="24"/>
        </w:rPr>
      </w:pPr>
      <w:r w:rsidRPr="007E253F">
        <w:rPr>
          <w:rFonts w:cs="Times New Roman"/>
          <w:szCs w:val="24"/>
        </w:rPr>
        <w:t xml:space="preserve">Las raíces son fasciculadas y su misión es el anclaje de la planta. En algunos casos sobresalen raíces de los nudos a nivel del suelo, ocurre en aquellas raíces secundarias o adventicias. Las 4 o 5 raíces se desarrollan inicialmente a partir de la semilla (raíces primarias) solo son funcionales durante los primeros estadios de desarrollo. Estas raíces se van degenerando y son sustituidas por otras secundarias o adventicias, que se producen a partir de los 8 o 10 nudos de la base del tallo, situados por debajo del suelo, formando un sistema radicular a modo de cabellera que se extiende a una profundidad variable </w:t>
      </w:r>
      <w:sdt>
        <w:sdtPr>
          <w:rPr>
            <w:rFonts w:cs="Times New Roman"/>
            <w:szCs w:val="24"/>
          </w:rPr>
          <w:id w:val="27688691"/>
          <w:citation/>
        </w:sdtPr>
        <w:sdtEndPr/>
        <w:sdtContent>
          <w:r w:rsidR="001C5119" w:rsidRPr="007E253F">
            <w:rPr>
              <w:rFonts w:cs="Times New Roman"/>
              <w:szCs w:val="24"/>
            </w:rPr>
            <w:fldChar w:fldCharType="begin"/>
          </w:r>
          <w:r w:rsidR="001C5119" w:rsidRPr="007E253F">
            <w:rPr>
              <w:rFonts w:cs="Times New Roman"/>
              <w:szCs w:val="24"/>
            </w:rPr>
            <w:instrText xml:space="preserve">CITATION Ver00 \l 12298 </w:instrText>
          </w:r>
          <w:r w:rsidR="001C5119" w:rsidRPr="007E253F">
            <w:rPr>
              <w:rFonts w:cs="Times New Roman"/>
              <w:szCs w:val="24"/>
            </w:rPr>
            <w:fldChar w:fldCharType="separate"/>
          </w:r>
          <w:r w:rsidR="005106B9" w:rsidRPr="005106B9">
            <w:rPr>
              <w:rFonts w:cs="Times New Roman"/>
              <w:noProof/>
              <w:szCs w:val="24"/>
            </w:rPr>
            <w:t>(Verissimo, 2000)</w:t>
          </w:r>
          <w:r w:rsidR="001C5119" w:rsidRPr="007E253F">
            <w:rPr>
              <w:rFonts w:cs="Times New Roman"/>
              <w:szCs w:val="24"/>
            </w:rPr>
            <w:fldChar w:fldCharType="end"/>
          </w:r>
        </w:sdtContent>
      </w:sdt>
    </w:p>
    <w:p w14:paraId="4CD52EB9" w14:textId="01A6B245" w:rsidR="0077235D" w:rsidRPr="003D2B31" w:rsidRDefault="0077235D" w:rsidP="003D2B31">
      <w:pPr>
        <w:pStyle w:val="Prrafodelista"/>
        <w:numPr>
          <w:ilvl w:val="3"/>
          <w:numId w:val="3"/>
        </w:numPr>
        <w:spacing w:before="360" w:after="360"/>
        <w:ind w:left="1077" w:hanging="1077"/>
        <w:rPr>
          <w:b/>
          <w:bCs/>
        </w:rPr>
      </w:pPr>
      <w:bookmarkStart w:id="140" w:name="_Toc35185800"/>
      <w:bookmarkStart w:id="141" w:name="_Toc35186293"/>
      <w:bookmarkStart w:id="142" w:name="_Toc72741049"/>
      <w:bookmarkStart w:id="143" w:name="_Toc72741847"/>
      <w:bookmarkStart w:id="144" w:name="_Toc72742645"/>
      <w:bookmarkStart w:id="145" w:name="_Toc72881397"/>
      <w:bookmarkStart w:id="146" w:name="_Toc72882479"/>
      <w:bookmarkStart w:id="147" w:name="_Toc75608824"/>
      <w:bookmarkStart w:id="148" w:name="_Toc75611750"/>
      <w:bookmarkStart w:id="149" w:name="_Toc75612596"/>
      <w:bookmarkStart w:id="150" w:name="_Toc75679751"/>
      <w:bookmarkStart w:id="151" w:name="_Toc75702359"/>
      <w:r w:rsidRPr="003D2B31">
        <w:rPr>
          <w:b/>
          <w:bCs/>
        </w:rPr>
        <w:t>Tallo</w:t>
      </w:r>
      <w:bookmarkEnd w:id="140"/>
      <w:bookmarkEnd w:id="141"/>
      <w:bookmarkEnd w:id="142"/>
      <w:bookmarkEnd w:id="143"/>
      <w:bookmarkEnd w:id="144"/>
      <w:bookmarkEnd w:id="145"/>
      <w:bookmarkEnd w:id="146"/>
      <w:bookmarkEnd w:id="147"/>
      <w:bookmarkEnd w:id="148"/>
      <w:bookmarkEnd w:id="149"/>
      <w:bookmarkEnd w:id="150"/>
      <w:bookmarkEnd w:id="151"/>
      <w:r w:rsidRPr="003D2B31">
        <w:rPr>
          <w:b/>
          <w:bCs/>
        </w:rPr>
        <w:t xml:space="preserve"> </w:t>
      </w:r>
    </w:p>
    <w:p w14:paraId="296E42C1" w14:textId="2F98B7B2" w:rsidR="0077235D" w:rsidRPr="007E253F" w:rsidRDefault="0077235D" w:rsidP="000E2B3A">
      <w:pPr>
        <w:spacing w:after="0" w:line="360" w:lineRule="auto"/>
        <w:rPr>
          <w:rFonts w:cs="Times New Roman"/>
          <w:szCs w:val="24"/>
        </w:rPr>
      </w:pPr>
      <w:r w:rsidRPr="007E253F">
        <w:rPr>
          <w:rFonts w:cs="Times New Roman"/>
          <w:szCs w:val="24"/>
        </w:rPr>
        <w:t>Están formados por una sucesión de nudos y entrenudos, los primeros son zonas abultadas de los cuales se producen la elongación de los entrenudos y se diferencian las hojas. Cada nudo es el punto de intersección d</w:t>
      </w:r>
      <w:r w:rsidR="00346A15" w:rsidRPr="007E253F">
        <w:rPr>
          <w:rFonts w:cs="Times New Roman"/>
          <w:szCs w:val="24"/>
        </w:rPr>
        <w:t xml:space="preserve">e una hoja </w:t>
      </w:r>
      <w:sdt>
        <w:sdtPr>
          <w:rPr>
            <w:rFonts w:cs="Times New Roman"/>
            <w:szCs w:val="24"/>
          </w:rPr>
          <w:id w:val="-675413047"/>
          <w:citation/>
        </w:sdtPr>
        <w:sdtEndPr/>
        <w:sdtContent>
          <w:r w:rsidR="00346A15" w:rsidRPr="007E253F">
            <w:rPr>
              <w:rFonts w:cs="Times New Roman"/>
              <w:szCs w:val="24"/>
            </w:rPr>
            <w:fldChar w:fldCharType="begin"/>
          </w:r>
          <w:r w:rsidR="00346A15" w:rsidRPr="007E253F">
            <w:rPr>
              <w:rFonts w:cs="Times New Roman"/>
              <w:szCs w:val="24"/>
            </w:rPr>
            <w:instrText xml:space="preserve"> CITATION Ver00 \l 12298 </w:instrText>
          </w:r>
          <w:r w:rsidR="00346A15" w:rsidRPr="007E253F">
            <w:rPr>
              <w:rFonts w:cs="Times New Roman"/>
              <w:szCs w:val="24"/>
            </w:rPr>
            <w:fldChar w:fldCharType="separate"/>
          </w:r>
          <w:r w:rsidR="005106B9" w:rsidRPr="005106B9">
            <w:rPr>
              <w:rFonts w:cs="Times New Roman"/>
              <w:noProof/>
              <w:szCs w:val="24"/>
            </w:rPr>
            <w:t>(Verissimo, 2000)</w:t>
          </w:r>
          <w:r w:rsidR="00346A15" w:rsidRPr="007E253F">
            <w:rPr>
              <w:rFonts w:cs="Times New Roman"/>
              <w:szCs w:val="24"/>
            </w:rPr>
            <w:fldChar w:fldCharType="end"/>
          </w:r>
        </w:sdtContent>
      </w:sdt>
      <w:r w:rsidRPr="007E253F">
        <w:rPr>
          <w:rFonts w:cs="Times New Roman"/>
          <w:szCs w:val="24"/>
        </w:rPr>
        <w:t xml:space="preserve"> </w:t>
      </w:r>
    </w:p>
    <w:p w14:paraId="0603ADE6" w14:textId="21133430" w:rsidR="0077235D" w:rsidRDefault="0077235D" w:rsidP="000E2B3A">
      <w:pPr>
        <w:spacing w:after="0" w:line="360" w:lineRule="auto"/>
        <w:rPr>
          <w:rFonts w:cs="Times New Roman"/>
          <w:szCs w:val="24"/>
        </w:rPr>
      </w:pPr>
      <w:r w:rsidRPr="007E253F">
        <w:rPr>
          <w:rFonts w:cs="Times New Roman"/>
          <w:szCs w:val="24"/>
        </w:rPr>
        <w:t xml:space="preserve">A partir de la sexta hoja se inicia un rápido crecimiento del tallo en altura, el que se manifiesta especialmente a través de la elongación de los entrenudos inferiores. Al estado de ocho hojas es posible apreciar a simple vista, en el extremo apical del tallo, los primeros de la panoja. Puede crecer hasta 4 m. e incluso en algunas variedades. Son muy robustos, y dependiendo de la precocidad del cultivar pueden alcanzar entre 12 y 24 nudos aéreos </w:t>
      </w:r>
      <w:sdt>
        <w:sdtPr>
          <w:rPr>
            <w:rFonts w:cs="Times New Roman"/>
            <w:szCs w:val="24"/>
          </w:rPr>
          <w:id w:val="-1700470819"/>
          <w:citation/>
        </w:sdtPr>
        <w:sdtEndPr/>
        <w:sdtContent>
          <w:r w:rsidR="00346A15" w:rsidRPr="007E253F">
            <w:rPr>
              <w:rFonts w:cs="Times New Roman"/>
              <w:szCs w:val="24"/>
            </w:rPr>
            <w:fldChar w:fldCharType="begin"/>
          </w:r>
          <w:r w:rsidR="00346A15" w:rsidRPr="007E253F">
            <w:rPr>
              <w:rFonts w:cs="Times New Roman"/>
              <w:szCs w:val="24"/>
            </w:rPr>
            <w:instrText xml:space="preserve">CITATION Ald00 \l 12298 </w:instrText>
          </w:r>
          <w:r w:rsidR="00346A15" w:rsidRPr="007E253F">
            <w:rPr>
              <w:rFonts w:cs="Times New Roman"/>
              <w:szCs w:val="24"/>
            </w:rPr>
            <w:fldChar w:fldCharType="separate"/>
          </w:r>
          <w:r w:rsidR="005106B9" w:rsidRPr="005106B9">
            <w:rPr>
              <w:rFonts w:cs="Times New Roman"/>
              <w:noProof/>
              <w:szCs w:val="24"/>
            </w:rPr>
            <w:t>(Aldrich, 2000)</w:t>
          </w:r>
          <w:r w:rsidR="00346A15" w:rsidRPr="007E253F">
            <w:rPr>
              <w:rFonts w:cs="Times New Roman"/>
              <w:szCs w:val="24"/>
            </w:rPr>
            <w:fldChar w:fldCharType="end"/>
          </w:r>
        </w:sdtContent>
      </w:sdt>
    </w:p>
    <w:p w14:paraId="603EB5A5" w14:textId="77777777" w:rsidR="003D2B31" w:rsidRPr="007E253F" w:rsidRDefault="003D2B31" w:rsidP="000E2B3A">
      <w:pPr>
        <w:spacing w:after="0" w:line="360" w:lineRule="auto"/>
        <w:rPr>
          <w:rFonts w:cs="Times New Roman"/>
          <w:szCs w:val="24"/>
        </w:rPr>
      </w:pPr>
    </w:p>
    <w:p w14:paraId="7E3FB7CC" w14:textId="4A0D7200" w:rsidR="0077235D" w:rsidRPr="003D2B31" w:rsidRDefault="0077235D" w:rsidP="003D2B31">
      <w:pPr>
        <w:pStyle w:val="Prrafodelista"/>
        <w:numPr>
          <w:ilvl w:val="3"/>
          <w:numId w:val="3"/>
        </w:numPr>
        <w:spacing w:before="360" w:after="360"/>
        <w:ind w:left="1077" w:hanging="1077"/>
        <w:rPr>
          <w:b/>
          <w:bCs/>
        </w:rPr>
      </w:pPr>
      <w:bookmarkStart w:id="152" w:name="_Toc35185801"/>
      <w:bookmarkStart w:id="153" w:name="_Toc35186294"/>
      <w:bookmarkStart w:id="154" w:name="_Toc72741050"/>
      <w:bookmarkStart w:id="155" w:name="_Toc72741848"/>
      <w:bookmarkStart w:id="156" w:name="_Toc72742646"/>
      <w:bookmarkStart w:id="157" w:name="_Toc72881398"/>
      <w:bookmarkStart w:id="158" w:name="_Toc72882480"/>
      <w:bookmarkStart w:id="159" w:name="_Toc75608825"/>
      <w:bookmarkStart w:id="160" w:name="_Toc75611751"/>
      <w:bookmarkStart w:id="161" w:name="_Toc75612597"/>
      <w:bookmarkStart w:id="162" w:name="_Toc75679752"/>
      <w:bookmarkStart w:id="163" w:name="_Toc75702360"/>
      <w:r w:rsidRPr="003D2B31">
        <w:rPr>
          <w:b/>
          <w:bCs/>
        </w:rPr>
        <w:lastRenderedPageBreak/>
        <w:t>Hojas</w:t>
      </w:r>
      <w:bookmarkEnd w:id="152"/>
      <w:bookmarkEnd w:id="153"/>
      <w:bookmarkEnd w:id="154"/>
      <w:bookmarkEnd w:id="155"/>
      <w:bookmarkEnd w:id="156"/>
      <w:bookmarkEnd w:id="157"/>
      <w:bookmarkEnd w:id="158"/>
      <w:bookmarkEnd w:id="159"/>
      <w:bookmarkEnd w:id="160"/>
      <w:bookmarkEnd w:id="161"/>
      <w:bookmarkEnd w:id="162"/>
      <w:bookmarkEnd w:id="163"/>
      <w:r w:rsidRPr="003D2B31">
        <w:rPr>
          <w:b/>
          <w:bCs/>
        </w:rPr>
        <w:t xml:space="preserve"> </w:t>
      </w:r>
    </w:p>
    <w:p w14:paraId="6D7B1A7F" w14:textId="2CE22633" w:rsidR="0077235D" w:rsidRPr="007E253F" w:rsidRDefault="0077235D" w:rsidP="000E2B3A">
      <w:pPr>
        <w:spacing w:after="0" w:line="360" w:lineRule="auto"/>
        <w:rPr>
          <w:rFonts w:cs="Times New Roman"/>
          <w:szCs w:val="24"/>
        </w:rPr>
      </w:pPr>
      <w:r w:rsidRPr="007E253F">
        <w:rPr>
          <w:rFonts w:cs="Times New Roman"/>
          <w:szCs w:val="24"/>
        </w:rPr>
        <w:t xml:space="preserve">Son largas, de gran tamaño, lanceoladas, alternas, paralelinervias. Se encuentran abrazadas al tallo y por el haz presenta vellosidades. Los extremos de las hojas son muy afilados y cortantes. La vaina de la hoja forma un cilindro alrededor del entrenudo, pero con los extremos separados. Su color usual es verde, se puede encontrar hojas rayadas de blanco y verde y púrpura, por deficiencia de nutrientes. El número de hojas por planta varía entre 8 a 25 </w:t>
      </w:r>
      <w:sdt>
        <w:sdtPr>
          <w:rPr>
            <w:rFonts w:cs="Times New Roman"/>
            <w:szCs w:val="24"/>
          </w:rPr>
          <w:id w:val="58904617"/>
          <w:citation/>
        </w:sdtPr>
        <w:sdtEndPr/>
        <w:sdtContent>
          <w:r w:rsidR="0075461A" w:rsidRPr="007E253F">
            <w:rPr>
              <w:rFonts w:cs="Times New Roman"/>
              <w:szCs w:val="24"/>
            </w:rPr>
            <w:fldChar w:fldCharType="begin"/>
          </w:r>
          <w:r w:rsidR="0075461A" w:rsidRPr="007E253F">
            <w:rPr>
              <w:rFonts w:cs="Times New Roman"/>
              <w:szCs w:val="24"/>
            </w:rPr>
            <w:instrText xml:space="preserve">CITATION Par98 \l 12298 </w:instrText>
          </w:r>
          <w:r w:rsidR="0075461A" w:rsidRPr="007E253F">
            <w:rPr>
              <w:rFonts w:cs="Times New Roman"/>
              <w:szCs w:val="24"/>
            </w:rPr>
            <w:fldChar w:fldCharType="separate"/>
          </w:r>
          <w:r w:rsidR="005106B9" w:rsidRPr="005106B9">
            <w:rPr>
              <w:rFonts w:cs="Times New Roman"/>
              <w:noProof/>
              <w:szCs w:val="24"/>
            </w:rPr>
            <w:t>(Parsons, 1998)</w:t>
          </w:r>
          <w:r w:rsidR="0075461A" w:rsidRPr="007E253F">
            <w:rPr>
              <w:rFonts w:cs="Times New Roman"/>
              <w:szCs w:val="24"/>
            </w:rPr>
            <w:fldChar w:fldCharType="end"/>
          </w:r>
        </w:sdtContent>
      </w:sdt>
    </w:p>
    <w:p w14:paraId="7361BD63" w14:textId="5332F4F5" w:rsidR="0077235D" w:rsidRPr="003D2B31" w:rsidRDefault="0077235D" w:rsidP="003D2B31">
      <w:pPr>
        <w:pStyle w:val="Prrafodelista"/>
        <w:numPr>
          <w:ilvl w:val="3"/>
          <w:numId w:val="3"/>
        </w:numPr>
        <w:spacing w:before="360" w:after="360"/>
        <w:ind w:left="1077" w:hanging="1077"/>
        <w:rPr>
          <w:b/>
          <w:bCs/>
        </w:rPr>
      </w:pPr>
      <w:bookmarkStart w:id="164" w:name="_Toc35185802"/>
      <w:bookmarkStart w:id="165" w:name="_Toc35186295"/>
      <w:bookmarkStart w:id="166" w:name="_Toc72741051"/>
      <w:bookmarkStart w:id="167" w:name="_Toc72741849"/>
      <w:bookmarkStart w:id="168" w:name="_Toc72742647"/>
      <w:bookmarkStart w:id="169" w:name="_Toc72881399"/>
      <w:bookmarkStart w:id="170" w:name="_Toc72882481"/>
      <w:bookmarkStart w:id="171" w:name="_Toc75608826"/>
      <w:bookmarkStart w:id="172" w:name="_Toc75611752"/>
      <w:bookmarkStart w:id="173" w:name="_Toc75612598"/>
      <w:bookmarkStart w:id="174" w:name="_Toc75679753"/>
      <w:bookmarkStart w:id="175" w:name="_Toc75702361"/>
      <w:r w:rsidRPr="003D2B31">
        <w:rPr>
          <w:b/>
          <w:bCs/>
        </w:rPr>
        <w:t>Inflorescencia</w:t>
      </w:r>
      <w:bookmarkEnd w:id="164"/>
      <w:bookmarkEnd w:id="165"/>
      <w:bookmarkEnd w:id="166"/>
      <w:bookmarkEnd w:id="167"/>
      <w:bookmarkEnd w:id="168"/>
      <w:bookmarkEnd w:id="169"/>
      <w:bookmarkEnd w:id="170"/>
      <w:bookmarkEnd w:id="171"/>
      <w:bookmarkEnd w:id="172"/>
      <w:bookmarkEnd w:id="173"/>
      <w:bookmarkEnd w:id="174"/>
      <w:bookmarkEnd w:id="175"/>
      <w:r w:rsidRPr="003D2B31">
        <w:rPr>
          <w:b/>
          <w:bCs/>
        </w:rPr>
        <w:t xml:space="preserve">  </w:t>
      </w:r>
    </w:p>
    <w:p w14:paraId="07AB6B9D" w14:textId="69C599DF" w:rsidR="0077235D" w:rsidRPr="007E253F" w:rsidRDefault="0077235D" w:rsidP="000E2B3A">
      <w:pPr>
        <w:spacing w:after="0" w:line="360" w:lineRule="auto"/>
        <w:rPr>
          <w:rFonts w:cs="Times New Roman"/>
          <w:szCs w:val="24"/>
        </w:rPr>
      </w:pPr>
      <w:bookmarkStart w:id="176" w:name="_Toc35185803"/>
      <w:bookmarkStart w:id="177" w:name="_Toc35186296"/>
      <w:r w:rsidRPr="007E253F">
        <w:rPr>
          <w:rFonts w:cs="Times New Roman"/>
          <w:szCs w:val="24"/>
        </w:rPr>
        <w:t xml:space="preserve">Es una espiga o panícula ubicada como terminaciones del tallo (ápice) conformada por 25-30 espiguillas. Posee numerosas flores masculinas y femeninas separadas unas de otras, pero en el mismo pie, la segunda está situada en una ramificación lateral cilíndrica cubierta de falsas hojas brácteas o espatas, está conformada por un tallo central o raquis que sostiene un penacho ubicado en el ápice de la mazorca, de donde sobresale el estilo de cada flor cual si fuese una barba de color amarillo pálido y rojizo cuando ya es fecundado. La inflorescencia femenina se formará la mazorca en dónde cada ovario de las flores dará origen a un grano de maíz, su ubicación, número, grosor y filas depende de la variedad y vigor en su crecimiento. </w:t>
      </w:r>
      <w:sdt>
        <w:sdtPr>
          <w:rPr>
            <w:rFonts w:cs="Times New Roman"/>
            <w:szCs w:val="24"/>
          </w:rPr>
          <w:id w:val="133069236"/>
          <w:citation/>
        </w:sdtPr>
        <w:sdtEndPr/>
        <w:sdtContent>
          <w:r w:rsidR="00D67640" w:rsidRPr="007E253F">
            <w:rPr>
              <w:rFonts w:cs="Times New Roman"/>
              <w:szCs w:val="24"/>
            </w:rPr>
            <w:fldChar w:fldCharType="begin"/>
          </w:r>
          <w:r w:rsidR="00D67640" w:rsidRPr="007E253F">
            <w:rPr>
              <w:rFonts w:cs="Times New Roman"/>
              <w:szCs w:val="24"/>
            </w:rPr>
            <w:instrText xml:space="preserve"> CITATION Ort08 \l 12298 </w:instrText>
          </w:r>
          <w:r w:rsidR="00D67640" w:rsidRPr="007E253F">
            <w:rPr>
              <w:rFonts w:cs="Times New Roman"/>
              <w:szCs w:val="24"/>
            </w:rPr>
            <w:fldChar w:fldCharType="separate"/>
          </w:r>
          <w:r w:rsidR="005106B9" w:rsidRPr="005106B9">
            <w:rPr>
              <w:rFonts w:cs="Times New Roman"/>
              <w:noProof/>
              <w:szCs w:val="24"/>
            </w:rPr>
            <w:t>(Ortas, 2008)</w:t>
          </w:r>
          <w:r w:rsidR="00D67640" w:rsidRPr="007E253F">
            <w:rPr>
              <w:rFonts w:cs="Times New Roman"/>
              <w:szCs w:val="24"/>
            </w:rPr>
            <w:fldChar w:fldCharType="end"/>
          </w:r>
        </w:sdtContent>
      </w:sdt>
    </w:p>
    <w:p w14:paraId="42AEEEEA" w14:textId="2894119E" w:rsidR="0077235D" w:rsidRPr="00B33A13" w:rsidRDefault="0077235D" w:rsidP="00B33A13">
      <w:pPr>
        <w:pStyle w:val="Prrafodelista"/>
        <w:numPr>
          <w:ilvl w:val="3"/>
          <w:numId w:val="3"/>
        </w:numPr>
        <w:spacing w:before="360" w:after="360"/>
        <w:ind w:left="1077" w:hanging="1077"/>
        <w:rPr>
          <w:b/>
          <w:bCs/>
        </w:rPr>
      </w:pPr>
      <w:bookmarkStart w:id="178" w:name="_Toc72741052"/>
      <w:bookmarkStart w:id="179" w:name="_Toc72741850"/>
      <w:bookmarkStart w:id="180" w:name="_Toc72742648"/>
      <w:bookmarkStart w:id="181" w:name="_Toc72881400"/>
      <w:bookmarkStart w:id="182" w:name="_Toc72882482"/>
      <w:bookmarkStart w:id="183" w:name="_Toc75608827"/>
      <w:bookmarkStart w:id="184" w:name="_Toc75611753"/>
      <w:bookmarkStart w:id="185" w:name="_Toc75612599"/>
      <w:bookmarkStart w:id="186" w:name="_Toc75679754"/>
      <w:bookmarkStart w:id="187" w:name="_Toc75702362"/>
      <w:r w:rsidRPr="00B33A13">
        <w:rPr>
          <w:b/>
          <w:bCs/>
        </w:rPr>
        <w:t>Fruto</w:t>
      </w:r>
      <w:bookmarkEnd w:id="176"/>
      <w:bookmarkEnd w:id="177"/>
      <w:bookmarkEnd w:id="178"/>
      <w:bookmarkEnd w:id="179"/>
      <w:bookmarkEnd w:id="180"/>
      <w:bookmarkEnd w:id="181"/>
      <w:bookmarkEnd w:id="182"/>
      <w:bookmarkEnd w:id="183"/>
      <w:bookmarkEnd w:id="184"/>
      <w:bookmarkEnd w:id="185"/>
      <w:bookmarkEnd w:id="186"/>
      <w:bookmarkEnd w:id="187"/>
      <w:r w:rsidRPr="00B33A13">
        <w:rPr>
          <w:b/>
          <w:bCs/>
        </w:rPr>
        <w:t xml:space="preserve"> </w:t>
      </w:r>
    </w:p>
    <w:p w14:paraId="4C105E4D" w14:textId="31C4C72E" w:rsidR="0077235D" w:rsidRPr="007E253F" w:rsidRDefault="0077235D" w:rsidP="000E2B3A">
      <w:pPr>
        <w:spacing w:after="0" w:line="360" w:lineRule="auto"/>
        <w:rPr>
          <w:rFonts w:cs="Times New Roman"/>
          <w:szCs w:val="24"/>
        </w:rPr>
      </w:pPr>
      <w:r w:rsidRPr="007E253F">
        <w:rPr>
          <w:rFonts w:cs="Times New Roman"/>
          <w:szCs w:val="24"/>
        </w:rPr>
        <w:t xml:space="preserve">La mazorca o fruto, está formada por una parte central llamada zuro, donde se adhieren los granos de maíz en número de varios centenares por cada mazorca. El zuro, o corazón, representa del 15 al 30% del peso de la espiga. La fecundación de las flores femeninas puede suceder mediante el polen de las panojas de la misma planta o de otras plantas, el fruto y la semilla forma un sólo cuerpo que tiene la forma de una cariópside brillante, de color amarillo, rojo, morado, blanco y que se los denomina como granos y dentro del fruto que es el ovario maduro se encuentran las semillas (óvulos fecundados y maduros), la semilla está compuesta de la cubierta o pericarpio, el endospermo amiláceo y el embrión o germen y pesa 0.3 gramos. </w:t>
      </w:r>
      <w:sdt>
        <w:sdtPr>
          <w:rPr>
            <w:rFonts w:cs="Times New Roman"/>
            <w:szCs w:val="24"/>
          </w:rPr>
          <w:id w:val="1595047286"/>
          <w:citation/>
        </w:sdtPr>
        <w:sdtEndPr/>
        <w:sdtContent>
          <w:r w:rsidR="00D67640" w:rsidRPr="007E253F">
            <w:rPr>
              <w:rFonts w:cs="Times New Roman"/>
              <w:szCs w:val="24"/>
            </w:rPr>
            <w:fldChar w:fldCharType="begin"/>
          </w:r>
          <w:r w:rsidR="00D67640" w:rsidRPr="007E253F">
            <w:rPr>
              <w:rFonts w:cs="Times New Roman"/>
              <w:szCs w:val="24"/>
            </w:rPr>
            <w:instrText xml:space="preserve">CITATION Gar12 \l 12298 </w:instrText>
          </w:r>
          <w:r w:rsidR="00D67640" w:rsidRPr="007E253F">
            <w:rPr>
              <w:rFonts w:cs="Times New Roman"/>
              <w:szCs w:val="24"/>
            </w:rPr>
            <w:fldChar w:fldCharType="separate"/>
          </w:r>
          <w:r w:rsidR="005106B9" w:rsidRPr="005106B9">
            <w:rPr>
              <w:rFonts w:cs="Times New Roman"/>
              <w:noProof/>
              <w:szCs w:val="24"/>
            </w:rPr>
            <w:t>(Garcés, 2012)</w:t>
          </w:r>
          <w:r w:rsidR="00D67640" w:rsidRPr="007E253F">
            <w:rPr>
              <w:rFonts w:cs="Times New Roman"/>
              <w:szCs w:val="24"/>
            </w:rPr>
            <w:fldChar w:fldCharType="end"/>
          </w:r>
        </w:sdtContent>
      </w:sdt>
    </w:p>
    <w:p w14:paraId="7FBDBBF7" w14:textId="63C6896E" w:rsidR="0077235D" w:rsidRPr="007E253F" w:rsidRDefault="0077235D" w:rsidP="00DB7BFF">
      <w:pPr>
        <w:pStyle w:val="Ttulo3"/>
        <w:spacing w:before="360" w:after="360"/>
      </w:pPr>
      <w:bookmarkStart w:id="188" w:name="_Toc72741053"/>
      <w:bookmarkStart w:id="189" w:name="_Toc72741851"/>
      <w:bookmarkStart w:id="190" w:name="_Toc72742649"/>
      <w:bookmarkStart w:id="191" w:name="_Toc72881401"/>
      <w:bookmarkStart w:id="192" w:name="_Toc72882483"/>
      <w:bookmarkStart w:id="193" w:name="_Toc75608828"/>
      <w:bookmarkStart w:id="194" w:name="_Toc75611754"/>
      <w:bookmarkStart w:id="195" w:name="_Toc75612600"/>
      <w:bookmarkStart w:id="196" w:name="_Toc75679755"/>
      <w:bookmarkStart w:id="197" w:name="_Toc75702363"/>
      <w:bookmarkStart w:id="198" w:name="_Toc80312242"/>
      <w:r w:rsidRPr="007E253F">
        <w:lastRenderedPageBreak/>
        <w:t>Ciclo vegetativo</w:t>
      </w:r>
      <w:bookmarkEnd w:id="188"/>
      <w:bookmarkEnd w:id="189"/>
      <w:bookmarkEnd w:id="190"/>
      <w:bookmarkEnd w:id="191"/>
      <w:bookmarkEnd w:id="192"/>
      <w:bookmarkEnd w:id="193"/>
      <w:bookmarkEnd w:id="194"/>
      <w:bookmarkEnd w:id="195"/>
      <w:bookmarkEnd w:id="196"/>
      <w:bookmarkEnd w:id="197"/>
      <w:bookmarkEnd w:id="198"/>
      <w:r w:rsidRPr="007E253F">
        <w:t xml:space="preserve"> </w:t>
      </w:r>
    </w:p>
    <w:p w14:paraId="2CE100F2" w14:textId="4D9D8297" w:rsidR="0077235D" w:rsidRDefault="0077235D" w:rsidP="000E2B3A">
      <w:pPr>
        <w:spacing w:after="0" w:line="360" w:lineRule="auto"/>
        <w:rPr>
          <w:rFonts w:cs="Times New Roman"/>
          <w:szCs w:val="24"/>
        </w:rPr>
      </w:pPr>
      <w:r w:rsidRPr="007E253F">
        <w:rPr>
          <w:rFonts w:cs="Times New Roman"/>
          <w:szCs w:val="24"/>
        </w:rPr>
        <w:t xml:space="preserve">Empieza con la germinación, de unos 6 a 8 días de duración, y comprenden desde la siembra hasta la aparición del coleóptilo. Una vez el maíz germinado, empiezan el periodo de crecimiento en el cual aparece una nueva hoja cada tres días, si las condiciones de clima son normales a los 20 días de la germinación, la planta deberá tener 5 a 6 hojas, alcanzándose su plenitud foliar dentro de cuatro a cinco </w:t>
      </w:r>
      <w:r w:rsidR="00B33A13" w:rsidRPr="007E253F">
        <w:rPr>
          <w:rFonts w:cs="Times New Roman"/>
          <w:szCs w:val="24"/>
        </w:rPr>
        <w:t>semanas.</w:t>
      </w:r>
      <w:r w:rsidRPr="007E253F">
        <w:rPr>
          <w:rFonts w:cs="Times New Roman"/>
          <w:szCs w:val="24"/>
        </w:rPr>
        <w:t xml:space="preserve"> (Verissimo, 2000)</w:t>
      </w:r>
    </w:p>
    <w:p w14:paraId="4EEE1476" w14:textId="1224F045" w:rsidR="0077235D" w:rsidRPr="007E253F" w:rsidRDefault="0077235D" w:rsidP="00DB7BFF">
      <w:pPr>
        <w:pStyle w:val="Ttulo3"/>
        <w:spacing w:before="360" w:after="360"/>
      </w:pPr>
      <w:bookmarkStart w:id="199" w:name="_Toc72741054"/>
      <w:bookmarkStart w:id="200" w:name="_Toc72741852"/>
      <w:bookmarkStart w:id="201" w:name="_Toc72742650"/>
      <w:bookmarkStart w:id="202" w:name="_Toc72881402"/>
      <w:bookmarkStart w:id="203" w:name="_Toc72882484"/>
      <w:bookmarkStart w:id="204" w:name="_Toc75608829"/>
      <w:bookmarkStart w:id="205" w:name="_Toc75611755"/>
      <w:bookmarkStart w:id="206" w:name="_Toc75612601"/>
      <w:bookmarkStart w:id="207" w:name="_Toc75679756"/>
      <w:bookmarkStart w:id="208" w:name="_Toc75702364"/>
      <w:bookmarkStart w:id="209" w:name="_Toc80312243"/>
      <w:r w:rsidRPr="007E253F">
        <w:t>Variedades nativas y mejoradas</w:t>
      </w:r>
      <w:bookmarkEnd w:id="199"/>
      <w:bookmarkEnd w:id="200"/>
      <w:bookmarkEnd w:id="201"/>
      <w:bookmarkEnd w:id="202"/>
      <w:bookmarkEnd w:id="203"/>
      <w:bookmarkEnd w:id="204"/>
      <w:bookmarkEnd w:id="205"/>
      <w:bookmarkEnd w:id="206"/>
      <w:bookmarkEnd w:id="207"/>
      <w:bookmarkEnd w:id="208"/>
      <w:bookmarkEnd w:id="209"/>
      <w:r w:rsidRPr="007E253F">
        <w:t xml:space="preserve"> </w:t>
      </w:r>
    </w:p>
    <w:p w14:paraId="1E93D6D3" w14:textId="0C0CE2A3" w:rsidR="0077235D" w:rsidRDefault="0077235D" w:rsidP="000E2B3A">
      <w:pPr>
        <w:spacing w:after="0" w:line="360" w:lineRule="auto"/>
        <w:rPr>
          <w:rFonts w:cs="Times New Roman"/>
          <w:szCs w:val="24"/>
        </w:rPr>
      </w:pPr>
      <w:r w:rsidRPr="007E253F">
        <w:rPr>
          <w:rFonts w:cs="Times New Roman"/>
          <w:szCs w:val="24"/>
        </w:rPr>
        <w:t xml:space="preserve">Entre las principales variedades nativas de maíz que se cultivan en la sierra del Ecuador se tienen: cuzco ecuatoriano, canguil ecuatoriano, racimo de uva, chillos, huandango, morochon, patillo, chulpi y kcello, y entre las variedades mejoradas están: INIAP-122 “Chaucho”, INIAP-124 “Mishca”, INIAP-102 “blanco blandito”, INIAP-111 “Guagal”, INIAP-153 “Zhima”, INIAP-180, INIAP-182, </w:t>
      </w:r>
      <w:r w:rsidR="00D67640" w:rsidRPr="007E253F">
        <w:rPr>
          <w:rFonts w:cs="Times New Roman"/>
          <w:szCs w:val="24"/>
        </w:rPr>
        <w:t>INIAP-176 e INIAP-103</w:t>
      </w:r>
      <w:r w:rsidRPr="007E253F">
        <w:rPr>
          <w:rFonts w:cs="Times New Roman"/>
          <w:szCs w:val="24"/>
        </w:rPr>
        <w:t>.</w:t>
      </w:r>
      <w:sdt>
        <w:sdtPr>
          <w:rPr>
            <w:rFonts w:cs="Times New Roman"/>
            <w:szCs w:val="24"/>
          </w:rPr>
          <w:id w:val="1103923831"/>
          <w:citation/>
        </w:sdtPr>
        <w:sdtEndPr/>
        <w:sdtContent>
          <w:r w:rsidR="00D67640" w:rsidRPr="007E253F">
            <w:rPr>
              <w:rFonts w:cs="Times New Roman"/>
              <w:szCs w:val="24"/>
            </w:rPr>
            <w:fldChar w:fldCharType="begin"/>
          </w:r>
          <w:r w:rsidR="00D67640" w:rsidRPr="007E253F">
            <w:rPr>
              <w:rFonts w:cs="Times New Roman"/>
              <w:szCs w:val="24"/>
            </w:rPr>
            <w:instrText xml:space="preserve">CITATION Ins11 \n  \l 12298 </w:instrText>
          </w:r>
          <w:r w:rsidR="00D67640" w:rsidRPr="007E253F">
            <w:rPr>
              <w:rFonts w:cs="Times New Roman"/>
              <w:szCs w:val="24"/>
            </w:rPr>
            <w:fldChar w:fldCharType="separate"/>
          </w:r>
          <w:r w:rsidR="005106B9">
            <w:rPr>
              <w:rFonts w:cs="Times New Roman"/>
              <w:noProof/>
              <w:szCs w:val="24"/>
            </w:rPr>
            <w:t xml:space="preserve"> </w:t>
          </w:r>
          <w:r w:rsidR="005106B9" w:rsidRPr="005106B9">
            <w:rPr>
              <w:rFonts w:cs="Times New Roman"/>
              <w:noProof/>
              <w:szCs w:val="24"/>
            </w:rPr>
            <w:t>(INIAP, 2011)</w:t>
          </w:r>
          <w:r w:rsidR="00D67640" w:rsidRPr="007E253F">
            <w:rPr>
              <w:rFonts w:cs="Times New Roman"/>
              <w:szCs w:val="24"/>
            </w:rPr>
            <w:fldChar w:fldCharType="end"/>
          </w:r>
        </w:sdtContent>
      </w:sdt>
    </w:p>
    <w:p w14:paraId="612EBF3A" w14:textId="38A12332" w:rsidR="0077235D" w:rsidRPr="00B33A13" w:rsidRDefault="0077235D" w:rsidP="00B33A13">
      <w:pPr>
        <w:pStyle w:val="Prrafodelista"/>
        <w:numPr>
          <w:ilvl w:val="3"/>
          <w:numId w:val="3"/>
        </w:numPr>
        <w:spacing w:before="360" w:after="360"/>
        <w:ind w:left="1077" w:hanging="1077"/>
        <w:rPr>
          <w:b/>
          <w:bCs/>
        </w:rPr>
      </w:pPr>
      <w:bookmarkStart w:id="210" w:name="_Toc35185806"/>
      <w:bookmarkStart w:id="211" w:name="_Toc35186299"/>
      <w:bookmarkStart w:id="212" w:name="_Toc72741055"/>
      <w:bookmarkStart w:id="213" w:name="_Toc72741853"/>
      <w:bookmarkStart w:id="214" w:name="_Toc72742651"/>
      <w:bookmarkStart w:id="215" w:name="_Toc72881403"/>
      <w:bookmarkStart w:id="216" w:name="_Toc72882485"/>
      <w:bookmarkStart w:id="217" w:name="_Toc75608830"/>
      <w:bookmarkStart w:id="218" w:name="_Toc75611756"/>
      <w:bookmarkStart w:id="219" w:name="_Toc75612602"/>
      <w:bookmarkStart w:id="220" w:name="_Toc75679757"/>
      <w:bookmarkStart w:id="221" w:name="_Toc75702365"/>
      <w:r w:rsidRPr="00B33A13">
        <w:rPr>
          <w:b/>
          <w:bCs/>
        </w:rPr>
        <w:t>INIAP-102 Blanco Blandito Mejorado</w:t>
      </w:r>
      <w:bookmarkEnd w:id="210"/>
      <w:bookmarkEnd w:id="211"/>
      <w:bookmarkEnd w:id="212"/>
      <w:bookmarkEnd w:id="213"/>
      <w:bookmarkEnd w:id="214"/>
      <w:bookmarkEnd w:id="215"/>
      <w:bookmarkEnd w:id="216"/>
      <w:bookmarkEnd w:id="217"/>
      <w:bookmarkEnd w:id="218"/>
      <w:bookmarkEnd w:id="219"/>
      <w:bookmarkEnd w:id="220"/>
      <w:bookmarkEnd w:id="221"/>
    </w:p>
    <w:p w14:paraId="6756B1B7" w14:textId="21F9F1E9" w:rsidR="00DB7BFF" w:rsidRPr="00DB7BFF" w:rsidRDefault="00DB7BFF" w:rsidP="00DB7BFF">
      <w:pPr>
        <w:pStyle w:val="Descripcin"/>
        <w:keepNext/>
        <w:rPr>
          <w:rFonts w:eastAsiaTheme="majorEastAsia" w:cs="Times New Roman"/>
          <w:bCs/>
          <w:i w:val="0"/>
          <w:iCs w:val="0"/>
          <w:color w:val="auto"/>
          <w:sz w:val="24"/>
          <w:szCs w:val="28"/>
          <w:lang w:val="es-ES" w:eastAsia="en-US"/>
        </w:rPr>
      </w:pPr>
      <w:bookmarkStart w:id="222" w:name="_Toc79313994"/>
      <w:r w:rsidRPr="00DB7BFF">
        <w:rPr>
          <w:rFonts w:eastAsiaTheme="majorEastAsia" w:cs="Times New Roman"/>
          <w:b/>
          <w:bCs/>
          <w:i w:val="0"/>
          <w:iCs w:val="0"/>
          <w:color w:val="auto"/>
          <w:sz w:val="24"/>
          <w:szCs w:val="28"/>
          <w:lang w:val="es-ES" w:eastAsia="en-US"/>
        </w:rPr>
        <w:t xml:space="preserve">Cuadro </w:t>
      </w:r>
      <w:r w:rsidR="00C26AF2">
        <w:rPr>
          <w:rFonts w:eastAsiaTheme="majorEastAsia" w:cs="Times New Roman"/>
          <w:b/>
          <w:bCs/>
          <w:i w:val="0"/>
          <w:iCs w:val="0"/>
          <w:color w:val="auto"/>
          <w:sz w:val="24"/>
          <w:szCs w:val="28"/>
          <w:lang w:val="es-ES" w:eastAsia="en-US"/>
        </w:rPr>
        <w:fldChar w:fldCharType="begin"/>
      </w:r>
      <w:r w:rsidR="00C26AF2">
        <w:rPr>
          <w:rFonts w:eastAsiaTheme="majorEastAsia" w:cs="Times New Roman"/>
          <w:b/>
          <w:bCs/>
          <w:i w:val="0"/>
          <w:iCs w:val="0"/>
          <w:color w:val="auto"/>
          <w:sz w:val="24"/>
          <w:szCs w:val="28"/>
          <w:lang w:val="es-ES" w:eastAsia="en-US"/>
        </w:rPr>
        <w:instrText xml:space="preserve"> SEQ Cuadro \* ARABIC </w:instrText>
      </w:r>
      <w:r w:rsidR="00C26AF2">
        <w:rPr>
          <w:rFonts w:eastAsiaTheme="majorEastAsia" w:cs="Times New Roman"/>
          <w:b/>
          <w:bCs/>
          <w:i w:val="0"/>
          <w:iCs w:val="0"/>
          <w:color w:val="auto"/>
          <w:sz w:val="24"/>
          <w:szCs w:val="28"/>
          <w:lang w:val="es-ES" w:eastAsia="en-US"/>
        </w:rPr>
        <w:fldChar w:fldCharType="separate"/>
      </w:r>
      <w:r w:rsidR="000D1F55">
        <w:rPr>
          <w:rFonts w:eastAsiaTheme="majorEastAsia" w:cs="Times New Roman"/>
          <w:b/>
          <w:bCs/>
          <w:i w:val="0"/>
          <w:iCs w:val="0"/>
          <w:noProof/>
          <w:color w:val="auto"/>
          <w:sz w:val="24"/>
          <w:szCs w:val="28"/>
          <w:lang w:val="es-ES" w:eastAsia="en-US"/>
        </w:rPr>
        <w:t>2</w:t>
      </w:r>
      <w:r w:rsidR="00C26AF2">
        <w:rPr>
          <w:rFonts w:eastAsiaTheme="majorEastAsia" w:cs="Times New Roman"/>
          <w:b/>
          <w:bCs/>
          <w:i w:val="0"/>
          <w:iCs w:val="0"/>
          <w:color w:val="auto"/>
          <w:sz w:val="24"/>
          <w:szCs w:val="28"/>
          <w:lang w:val="es-ES" w:eastAsia="en-US"/>
        </w:rPr>
        <w:fldChar w:fldCharType="end"/>
      </w:r>
      <w:r w:rsidRPr="00DB7BFF">
        <w:rPr>
          <w:rFonts w:eastAsiaTheme="majorEastAsia" w:cs="Times New Roman"/>
          <w:b/>
          <w:bCs/>
          <w:i w:val="0"/>
          <w:iCs w:val="0"/>
          <w:color w:val="auto"/>
          <w:sz w:val="24"/>
          <w:szCs w:val="28"/>
          <w:lang w:val="es-ES" w:eastAsia="en-US"/>
        </w:rPr>
        <w:t>.</w:t>
      </w:r>
      <w:r w:rsidRPr="00DB7BFF">
        <w:rPr>
          <w:rFonts w:eastAsiaTheme="majorEastAsia" w:cs="Times New Roman"/>
          <w:bCs/>
          <w:i w:val="0"/>
          <w:iCs w:val="0"/>
          <w:color w:val="auto"/>
          <w:sz w:val="24"/>
          <w:szCs w:val="28"/>
          <w:lang w:val="es-ES" w:eastAsia="en-US"/>
        </w:rPr>
        <w:t xml:space="preserve"> Características de la variedad INIAP-102 Blanco Blandito Mejorado</w:t>
      </w:r>
      <w:bookmarkEnd w:id="222"/>
    </w:p>
    <w:tbl>
      <w:tblPr>
        <w:tblStyle w:val="Tablaconcuadrcula"/>
        <w:tblW w:w="0" w:type="auto"/>
        <w:jc w:val="center"/>
        <w:tblLook w:val="04A0" w:firstRow="1" w:lastRow="0" w:firstColumn="1" w:lastColumn="0" w:noHBand="0" w:noVBand="1"/>
      </w:tblPr>
      <w:tblGrid>
        <w:gridCol w:w="2847"/>
        <w:gridCol w:w="5080"/>
      </w:tblGrid>
      <w:tr w:rsidR="0077235D" w:rsidRPr="007E253F" w14:paraId="7C78ACF0" w14:textId="77777777" w:rsidTr="003B3C1B">
        <w:trPr>
          <w:trHeight w:val="375"/>
          <w:jc w:val="center"/>
        </w:trPr>
        <w:tc>
          <w:tcPr>
            <w:tcW w:w="2911" w:type="dxa"/>
          </w:tcPr>
          <w:p w14:paraId="596AEE82" w14:textId="77777777" w:rsidR="0077235D" w:rsidRPr="007E253F" w:rsidRDefault="0077235D" w:rsidP="003B3C1B">
            <w:pPr>
              <w:rPr>
                <w:rFonts w:cs="Times New Roman"/>
                <w:bCs/>
                <w:szCs w:val="24"/>
              </w:rPr>
            </w:pPr>
            <w:r w:rsidRPr="007E253F">
              <w:rPr>
                <w:rFonts w:cs="Times New Roman"/>
                <w:bCs/>
                <w:szCs w:val="24"/>
              </w:rPr>
              <w:t>Tipo</w:t>
            </w:r>
          </w:p>
        </w:tc>
        <w:tc>
          <w:tcPr>
            <w:tcW w:w="5242" w:type="dxa"/>
          </w:tcPr>
          <w:p w14:paraId="764CD447" w14:textId="77777777" w:rsidR="0077235D" w:rsidRPr="007E253F" w:rsidRDefault="0077235D" w:rsidP="003B3C1B">
            <w:pPr>
              <w:rPr>
                <w:rFonts w:cs="Times New Roman"/>
                <w:szCs w:val="24"/>
              </w:rPr>
            </w:pPr>
            <w:r w:rsidRPr="007E253F">
              <w:rPr>
                <w:rFonts w:cs="Times New Roman"/>
                <w:szCs w:val="24"/>
              </w:rPr>
              <w:t xml:space="preserve"> Suave, tardío </w:t>
            </w:r>
          </w:p>
        </w:tc>
      </w:tr>
      <w:tr w:rsidR="0077235D" w:rsidRPr="007E253F" w14:paraId="3AEAB2BA" w14:textId="77777777" w:rsidTr="003B3C1B">
        <w:trPr>
          <w:trHeight w:val="375"/>
          <w:jc w:val="center"/>
        </w:trPr>
        <w:tc>
          <w:tcPr>
            <w:tcW w:w="2911" w:type="dxa"/>
          </w:tcPr>
          <w:p w14:paraId="3C8F6AD9" w14:textId="77777777" w:rsidR="0077235D" w:rsidRPr="007E253F" w:rsidRDefault="0077235D" w:rsidP="003B3C1B">
            <w:pPr>
              <w:rPr>
                <w:rFonts w:cs="Times New Roman"/>
                <w:bCs/>
                <w:szCs w:val="24"/>
              </w:rPr>
            </w:pPr>
            <w:r w:rsidRPr="007E253F">
              <w:rPr>
                <w:rFonts w:cs="Times New Roman"/>
                <w:bCs/>
                <w:szCs w:val="24"/>
              </w:rPr>
              <w:t>Grano</w:t>
            </w:r>
          </w:p>
        </w:tc>
        <w:tc>
          <w:tcPr>
            <w:tcW w:w="5242" w:type="dxa"/>
          </w:tcPr>
          <w:p w14:paraId="6502E3D1" w14:textId="77777777" w:rsidR="0077235D" w:rsidRPr="007E253F" w:rsidRDefault="0077235D" w:rsidP="003B3C1B">
            <w:pPr>
              <w:rPr>
                <w:rFonts w:cs="Times New Roman"/>
                <w:szCs w:val="24"/>
              </w:rPr>
            </w:pPr>
            <w:r w:rsidRPr="007E253F">
              <w:rPr>
                <w:rFonts w:cs="Times New Roman"/>
                <w:szCs w:val="24"/>
              </w:rPr>
              <w:t xml:space="preserve"> Blanco harinoso </w:t>
            </w:r>
          </w:p>
        </w:tc>
      </w:tr>
      <w:tr w:rsidR="0077235D" w:rsidRPr="007E253F" w14:paraId="61F6449E" w14:textId="77777777" w:rsidTr="003B3C1B">
        <w:trPr>
          <w:trHeight w:val="389"/>
          <w:jc w:val="center"/>
        </w:trPr>
        <w:tc>
          <w:tcPr>
            <w:tcW w:w="2911" w:type="dxa"/>
          </w:tcPr>
          <w:p w14:paraId="58D74F54" w14:textId="77777777" w:rsidR="0077235D" w:rsidRPr="007E253F" w:rsidRDefault="0077235D" w:rsidP="003B3C1B">
            <w:pPr>
              <w:rPr>
                <w:rFonts w:cs="Times New Roman"/>
                <w:bCs/>
                <w:szCs w:val="24"/>
              </w:rPr>
            </w:pPr>
            <w:r w:rsidRPr="007E253F">
              <w:rPr>
                <w:rFonts w:cs="Times New Roman"/>
                <w:bCs/>
                <w:szCs w:val="24"/>
              </w:rPr>
              <w:t>Días a la Cosecha en seco</w:t>
            </w:r>
          </w:p>
        </w:tc>
        <w:tc>
          <w:tcPr>
            <w:tcW w:w="5242" w:type="dxa"/>
          </w:tcPr>
          <w:p w14:paraId="570B277A" w14:textId="77777777" w:rsidR="0077235D" w:rsidRPr="007E253F" w:rsidRDefault="0077235D" w:rsidP="003B3C1B">
            <w:pPr>
              <w:rPr>
                <w:rFonts w:cs="Times New Roman"/>
                <w:szCs w:val="24"/>
              </w:rPr>
            </w:pPr>
            <w:r w:rsidRPr="007E253F">
              <w:rPr>
                <w:rFonts w:cs="Times New Roman"/>
                <w:szCs w:val="24"/>
              </w:rPr>
              <w:t xml:space="preserve"> 270 </w:t>
            </w:r>
          </w:p>
        </w:tc>
      </w:tr>
      <w:tr w:rsidR="0077235D" w:rsidRPr="007E253F" w14:paraId="39140E49" w14:textId="77777777" w:rsidTr="003B3C1B">
        <w:trPr>
          <w:trHeight w:val="375"/>
          <w:jc w:val="center"/>
        </w:trPr>
        <w:tc>
          <w:tcPr>
            <w:tcW w:w="2911" w:type="dxa"/>
          </w:tcPr>
          <w:p w14:paraId="3FB33E4F" w14:textId="77777777" w:rsidR="0077235D" w:rsidRPr="007E253F" w:rsidRDefault="0077235D" w:rsidP="003B3C1B">
            <w:pPr>
              <w:rPr>
                <w:rFonts w:cs="Times New Roman"/>
                <w:bCs/>
                <w:szCs w:val="24"/>
              </w:rPr>
            </w:pPr>
            <w:r w:rsidRPr="007E253F">
              <w:rPr>
                <w:rFonts w:cs="Times New Roman"/>
                <w:bCs/>
                <w:szCs w:val="24"/>
              </w:rPr>
              <w:t>Cosecha en choclo</w:t>
            </w:r>
          </w:p>
        </w:tc>
        <w:tc>
          <w:tcPr>
            <w:tcW w:w="5242" w:type="dxa"/>
          </w:tcPr>
          <w:p w14:paraId="5A6A3F87" w14:textId="77777777" w:rsidR="0077235D" w:rsidRPr="007E253F" w:rsidRDefault="0077235D" w:rsidP="003B3C1B">
            <w:pPr>
              <w:rPr>
                <w:rFonts w:cs="Times New Roman"/>
                <w:szCs w:val="24"/>
              </w:rPr>
            </w:pPr>
            <w:r w:rsidRPr="007E253F">
              <w:rPr>
                <w:rFonts w:cs="Times New Roman"/>
                <w:szCs w:val="24"/>
              </w:rPr>
              <w:t xml:space="preserve"> 175 días </w:t>
            </w:r>
          </w:p>
        </w:tc>
      </w:tr>
      <w:tr w:rsidR="0077235D" w:rsidRPr="007E253F" w14:paraId="4EA14FA4" w14:textId="77777777" w:rsidTr="003B3C1B">
        <w:trPr>
          <w:trHeight w:val="375"/>
          <w:jc w:val="center"/>
        </w:trPr>
        <w:tc>
          <w:tcPr>
            <w:tcW w:w="2911" w:type="dxa"/>
          </w:tcPr>
          <w:p w14:paraId="5174E41B" w14:textId="77777777" w:rsidR="0077235D" w:rsidRPr="007E253F" w:rsidRDefault="0077235D" w:rsidP="003B3C1B">
            <w:pPr>
              <w:rPr>
                <w:rFonts w:cs="Times New Roman"/>
                <w:bCs/>
                <w:szCs w:val="24"/>
              </w:rPr>
            </w:pPr>
            <w:r w:rsidRPr="007E253F">
              <w:rPr>
                <w:rFonts w:cs="Times New Roman"/>
                <w:bCs/>
                <w:szCs w:val="24"/>
              </w:rPr>
              <w:t>Altura de planta</w:t>
            </w:r>
          </w:p>
        </w:tc>
        <w:tc>
          <w:tcPr>
            <w:tcW w:w="5242" w:type="dxa"/>
          </w:tcPr>
          <w:p w14:paraId="0C5FB4A2" w14:textId="77777777" w:rsidR="0077235D" w:rsidRPr="007E253F" w:rsidRDefault="0077235D" w:rsidP="003B3C1B">
            <w:pPr>
              <w:rPr>
                <w:rFonts w:cs="Times New Roman"/>
                <w:szCs w:val="24"/>
              </w:rPr>
            </w:pPr>
            <w:r w:rsidRPr="007E253F">
              <w:rPr>
                <w:rFonts w:cs="Times New Roman"/>
                <w:szCs w:val="24"/>
              </w:rPr>
              <w:t xml:space="preserve"> 238 cm </w:t>
            </w:r>
          </w:p>
        </w:tc>
      </w:tr>
      <w:tr w:rsidR="0077235D" w:rsidRPr="007E253F" w14:paraId="19D44B80" w14:textId="77777777" w:rsidTr="003B3C1B">
        <w:trPr>
          <w:trHeight w:val="389"/>
          <w:jc w:val="center"/>
        </w:trPr>
        <w:tc>
          <w:tcPr>
            <w:tcW w:w="2911" w:type="dxa"/>
          </w:tcPr>
          <w:p w14:paraId="1D79278A" w14:textId="77777777" w:rsidR="0077235D" w:rsidRPr="007E253F" w:rsidRDefault="0077235D" w:rsidP="003B3C1B">
            <w:pPr>
              <w:rPr>
                <w:rFonts w:cs="Times New Roman"/>
                <w:bCs/>
                <w:szCs w:val="24"/>
              </w:rPr>
            </w:pPr>
            <w:r w:rsidRPr="007E253F">
              <w:rPr>
                <w:rFonts w:cs="Times New Roman"/>
                <w:bCs/>
                <w:szCs w:val="24"/>
              </w:rPr>
              <w:t>Altura a la mazorca</w:t>
            </w:r>
          </w:p>
        </w:tc>
        <w:tc>
          <w:tcPr>
            <w:tcW w:w="5242" w:type="dxa"/>
          </w:tcPr>
          <w:p w14:paraId="4BEE8E42" w14:textId="77777777" w:rsidR="0077235D" w:rsidRPr="007E253F" w:rsidRDefault="0077235D" w:rsidP="003B3C1B">
            <w:pPr>
              <w:rPr>
                <w:rFonts w:cs="Times New Roman"/>
                <w:szCs w:val="24"/>
              </w:rPr>
            </w:pPr>
            <w:r w:rsidRPr="007E253F">
              <w:rPr>
                <w:rFonts w:cs="Times New Roman"/>
                <w:szCs w:val="24"/>
              </w:rPr>
              <w:t xml:space="preserve"> 130 cm </w:t>
            </w:r>
          </w:p>
        </w:tc>
      </w:tr>
      <w:tr w:rsidR="0077235D" w:rsidRPr="007E253F" w14:paraId="2BFA602E" w14:textId="77777777" w:rsidTr="003B3C1B">
        <w:trPr>
          <w:trHeight w:val="375"/>
          <w:jc w:val="center"/>
        </w:trPr>
        <w:tc>
          <w:tcPr>
            <w:tcW w:w="2911" w:type="dxa"/>
          </w:tcPr>
          <w:p w14:paraId="006138F5" w14:textId="77777777" w:rsidR="0077235D" w:rsidRPr="007E253F" w:rsidRDefault="0077235D" w:rsidP="003B3C1B">
            <w:pPr>
              <w:rPr>
                <w:rFonts w:cs="Times New Roman"/>
                <w:bCs/>
                <w:szCs w:val="24"/>
              </w:rPr>
            </w:pPr>
            <w:r w:rsidRPr="007E253F">
              <w:rPr>
                <w:rFonts w:cs="Times New Roman"/>
                <w:bCs/>
                <w:szCs w:val="24"/>
              </w:rPr>
              <w:t>Rendimiento</w:t>
            </w:r>
          </w:p>
        </w:tc>
        <w:tc>
          <w:tcPr>
            <w:tcW w:w="5242" w:type="dxa"/>
          </w:tcPr>
          <w:p w14:paraId="2CD2BF1C" w14:textId="77777777" w:rsidR="0077235D" w:rsidRPr="007E253F" w:rsidRDefault="0077235D" w:rsidP="003B3C1B">
            <w:pPr>
              <w:rPr>
                <w:rFonts w:cs="Times New Roman"/>
                <w:szCs w:val="24"/>
              </w:rPr>
            </w:pPr>
            <w:r w:rsidRPr="007E253F">
              <w:rPr>
                <w:rFonts w:cs="Times New Roman"/>
                <w:szCs w:val="24"/>
              </w:rPr>
              <w:t xml:space="preserve"> 4 282 kg/ha (95 qq/ha) en seco </w:t>
            </w:r>
          </w:p>
        </w:tc>
      </w:tr>
      <w:tr w:rsidR="0077235D" w:rsidRPr="007E253F" w14:paraId="240E2185" w14:textId="77777777" w:rsidTr="003B3C1B">
        <w:trPr>
          <w:trHeight w:val="375"/>
          <w:jc w:val="center"/>
        </w:trPr>
        <w:tc>
          <w:tcPr>
            <w:tcW w:w="2911" w:type="dxa"/>
          </w:tcPr>
          <w:p w14:paraId="3F487FC1" w14:textId="77777777" w:rsidR="0077235D" w:rsidRPr="007E253F" w:rsidRDefault="0077235D" w:rsidP="003B3C1B">
            <w:pPr>
              <w:rPr>
                <w:rFonts w:cs="Times New Roman"/>
                <w:bCs/>
                <w:szCs w:val="24"/>
              </w:rPr>
            </w:pPr>
            <w:r w:rsidRPr="007E253F">
              <w:rPr>
                <w:rFonts w:cs="Times New Roman"/>
                <w:bCs/>
                <w:szCs w:val="24"/>
              </w:rPr>
              <w:t>Asociación con Fréjol</w:t>
            </w:r>
          </w:p>
        </w:tc>
        <w:tc>
          <w:tcPr>
            <w:tcW w:w="5242" w:type="dxa"/>
          </w:tcPr>
          <w:p w14:paraId="5B59EE0C" w14:textId="77777777" w:rsidR="0077235D" w:rsidRPr="007E253F" w:rsidRDefault="0077235D" w:rsidP="003B3C1B">
            <w:pPr>
              <w:rPr>
                <w:rFonts w:cs="Times New Roman"/>
                <w:szCs w:val="24"/>
              </w:rPr>
            </w:pPr>
            <w:r w:rsidRPr="007E253F">
              <w:rPr>
                <w:rFonts w:cs="Times New Roman"/>
                <w:szCs w:val="24"/>
              </w:rPr>
              <w:t xml:space="preserve"> Si soporta </w:t>
            </w:r>
          </w:p>
        </w:tc>
      </w:tr>
      <w:tr w:rsidR="0077235D" w:rsidRPr="007E253F" w14:paraId="1CAEDEFF" w14:textId="77777777" w:rsidTr="003B3C1B">
        <w:trPr>
          <w:trHeight w:val="375"/>
          <w:jc w:val="center"/>
        </w:trPr>
        <w:tc>
          <w:tcPr>
            <w:tcW w:w="2911" w:type="dxa"/>
          </w:tcPr>
          <w:p w14:paraId="4D28B904" w14:textId="77777777" w:rsidR="0077235D" w:rsidRPr="007E253F" w:rsidRDefault="0077235D" w:rsidP="003B3C1B">
            <w:pPr>
              <w:rPr>
                <w:rFonts w:cs="Times New Roman"/>
                <w:bCs/>
                <w:szCs w:val="24"/>
              </w:rPr>
            </w:pPr>
            <w:r w:rsidRPr="007E253F">
              <w:rPr>
                <w:rFonts w:cs="Times New Roman"/>
                <w:bCs/>
                <w:szCs w:val="24"/>
              </w:rPr>
              <w:t>Altitud</w:t>
            </w:r>
          </w:p>
        </w:tc>
        <w:tc>
          <w:tcPr>
            <w:tcW w:w="5242" w:type="dxa"/>
          </w:tcPr>
          <w:p w14:paraId="2E4EB628" w14:textId="77777777" w:rsidR="0077235D" w:rsidRPr="007E253F" w:rsidRDefault="0077235D" w:rsidP="003B3C1B">
            <w:pPr>
              <w:rPr>
                <w:rFonts w:cs="Times New Roman"/>
                <w:szCs w:val="24"/>
              </w:rPr>
            </w:pPr>
            <w:r w:rsidRPr="007E253F">
              <w:rPr>
                <w:rFonts w:cs="Times New Roman"/>
                <w:szCs w:val="24"/>
              </w:rPr>
              <w:t xml:space="preserve"> De 2 200 a 2 800 msnm </w:t>
            </w:r>
          </w:p>
        </w:tc>
      </w:tr>
      <w:tr w:rsidR="0077235D" w:rsidRPr="007E253F" w14:paraId="155D8445" w14:textId="77777777" w:rsidTr="003B3C1B">
        <w:trPr>
          <w:trHeight w:val="389"/>
          <w:jc w:val="center"/>
        </w:trPr>
        <w:tc>
          <w:tcPr>
            <w:tcW w:w="2911" w:type="dxa"/>
          </w:tcPr>
          <w:p w14:paraId="7BAD9488" w14:textId="77777777" w:rsidR="0077235D" w:rsidRPr="007E253F" w:rsidRDefault="0077235D" w:rsidP="003B3C1B">
            <w:pPr>
              <w:rPr>
                <w:rFonts w:cs="Times New Roman"/>
                <w:bCs/>
                <w:szCs w:val="24"/>
              </w:rPr>
            </w:pPr>
            <w:r w:rsidRPr="007E253F">
              <w:rPr>
                <w:rFonts w:cs="Times New Roman"/>
                <w:bCs/>
                <w:szCs w:val="24"/>
              </w:rPr>
              <w:t>Usos</w:t>
            </w:r>
          </w:p>
        </w:tc>
        <w:tc>
          <w:tcPr>
            <w:tcW w:w="5242" w:type="dxa"/>
          </w:tcPr>
          <w:p w14:paraId="4D281294" w14:textId="77777777" w:rsidR="0077235D" w:rsidRPr="007E253F" w:rsidRDefault="0077235D" w:rsidP="003B3C1B">
            <w:pPr>
              <w:rPr>
                <w:rFonts w:cs="Times New Roman"/>
                <w:szCs w:val="24"/>
              </w:rPr>
            </w:pPr>
            <w:r w:rsidRPr="007E253F">
              <w:rPr>
                <w:rFonts w:cs="Times New Roman"/>
                <w:szCs w:val="24"/>
              </w:rPr>
              <w:t xml:space="preserve"> Alimentación humana, en choclo y en grano seco </w:t>
            </w:r>
          </w:p>
        </w:tc>
      </w:tr>
      <w:tr w:rsidR="0077235D" w:rsidRPr="007E253F" w14:paraId="56736789" w14:textId="77777777" w:rsidTr="003B3C1B">
        <w:trPr>
          <w:trHeight w:val="389"/>
          <w:jc w:val="center"/>
        </w:trPr>
        <w:tc>
          <w:tcPr>
            <w:tcW w:w="2911" w:type="dxa"/>
          </w:tcPr>
          <w:p w14:paraId="3FA81000" w14:textId="77777777" w:rsidR="0077235D" w:rsidRPr="007E253F" w:rsidRDefault="0077235D" w:rsidP="003B3C1B">
            <w:pPr>
              <w:rPr>
                <w:rFonts w:cs="Times New Roman"/>
                <w:bCs/>
                <w:szCs w:val="24"/>
              </w:rPr>
            </w:pPr>
            <w:r w:rsidRPr="007E253F">
              <w:rPr>
                <w:rFonts w:cs="Times New Roman"/>
                <w:bCs/>
                <w:szCs w:val="24"/>
              </w:rPr>
              <w:t>Zonas</w:t>
            </w:r>
          </w:p>
        </w:tc>
        <w:tc>
          <w:tcPr>
            <w:tcW w:w="5242" w:type="dxa"/>
          </w:tcPr>
          <w:p w14:paraId="2D7AAE09" w14:textId="77777777" w:rsidR="0077235D" w:rsidRPr="007E253F" w:rsidRDefault="0077235D" w:rsidP="003B3C1B">
            <w:pPr>
              <w:rPr>
                <w:rFonts w:cs="Times New Roman"/>
                <w:szCs w:val="24"/>
              </w:rPr>
            </w:pPr>
            <w:r w:rsidRPr="007E253F">
              <w:rPr>
                <w:rFonts w:cs="Times New Roman"/>
                <w:szCs w:val="24"/>
              </w:rPr>
              <w:t xml:space="preserve"> Se cultiva en la provincia de Chimborazo.</w:t>
            </w:r>
          </w:p>
        </w:tc>
      </w:tr>
    </w:tbl>
    <w:p w14:paraId="2457CB90" w14:textId="74FBF27A" w:rsidR="0077235D" w:rsidRDefault="00DB7BFF" w:rsidP="000E2B3A">
      <w:pPr>
        <w:tabs>
          <w:tab w:val="left" w:pos="1305"/>
        </w:tabs>
        <w:spacing w:after="0" w:line="360" w:lineRule="auto"/>
        <w:rPr>
          <w:rFonts w:cs="Times New Roman"/>
          <w:sz w:val="16"/>
          <w:szCs w:val="16"/>
        </w:rPr>
      </w:pPr>
      <w:r w:rsidRPr="00B33A13">
        <w:rPr>
          <w:rFonts w:cs="Times New Roman"/>
          <w:sz w:val="20"/>
          <w:szCs w:val="20"/>
        </w:rPr>
        <w:t xml:space="preserve">    </w:t>
      </w:r>
      <w:r w:rsidR="00D67640" w:rsidRPr="00B33A13">
        <w:rPr>
          <w:rFonts w:cs="Times New Roman"/>
          <w:b/>
          <w:sz w:val="20"/>
          <w:szCs w:val="20"/>
        </w:rPr>
        <w:t>Fuente:</w:t>
      </w:r>
      <w:r w:rsidR="00D67640" w:rsidRPr="00B33A13">
        <w:rPr>
          <w:rFonts w:cs="Times New Roman"/>
          <w:sz w:val="20"/>
          <w:szCs w:val="20"/>
        </w:rPr>
        <w:t xml:space="preserve"> </w:t>
      </w:r>
      <w:sdt>
        <w:sdtPr>
          <w:rPr>
            <w:rFonts w:cs="Times New Roman"/>
            <w:sz w:val="20"/>
            <w:szCs w:val="20"/>
          </w:rPr>
          <w:id w:val="825169396"/>
          <w:citation/>
        </w:sdtPr>
        <w:sdtEndPr/>
        <w:sdtContent>
          <w:r w:rsidR="00D67640" w:rsidRPr="00B33A13">
            <w:rPr>
              <w:rFonts w:cs="Times New Roman"/>
              <w:sz w:val="20"/>
              <w:szCs w:val="20"/>
            </w:rPr>
            <w:fldChar w:fldCharType="begin"/>
          </w:r>
          <w:r w:rsidR="00D67640" w:rsidRPr="00B33A13">
            <w:rPr>
              <w:rFonts w:cs="Times New Roman"/>
              <w:sz w:val="20"/>
              <w:szCs w:val="20"/>
            </w:rPr>
            <w:instrText xml:space="preserve"> CITATION INI17 \l 12298 </w:instrText>
          </w:r>
          <w:r w:rsidR="00D67640" w:rsidRPr="00B33A13">
            <w:rPr>
              <w:rFonts w:cs="Times New Roman"/>
              <w:sz w:val="20"/>
              <w:szCs w:val="20"/>
            </w:rPr>
            <w:fldChar w:fldCharType="separate"/>
          </w:r>
          <w:r w:rsidR="005106B9" w:rsidRPr="005106B9">
            <w:rPr>
              <w:rFonts w:cs="Times New Roman"/>
              <w:noProof/>
              <w:sz w:val="20"/>
              <w:szCs w:val="20"/>
            </w:rPr>
            <w:t>(INIAP, 2017)</w:t>
          </w:r>
          <w:r w:rsidR="00D67640" w:rsidRPr="00B33A13">
            <w:rPr>
              <w:rFonts w:cs="Times New Roman"/>
              <w:sz w:val="20"/>
              <w:szCs w:val="20"/>
            </w:rPr>
            <w:fldChar w:fldCharType="end"/>
          </w:r>
        </w:sdtContent>
      </w:sdt>
      <w:r w:rsidR="0077235D" w:rsidRPr="00DB7BFF">
        <w:rPr>
          <w:rFonts w:cs="Times New Roman"/>
          <w:sz w:val="16"/>
          <w:szCs w:val="16"/>
        </w:rPr>
        <w:tab/>
      </w:r>
    </w:p>
    <w:p w14:paraId="454140FD" w14:textId="77777777" w:rsidR="00D14059" w:rsidRPr="00DB7BFF" w:rsidRDefault="00D14059" w:rsidP="000E2B3A">
      <w:pPr>
        <w:tabs>
          <w:tab w:val="left" w:pos="1305"/>
        </w:tabs>
        <w:spacing w:after="0" w:line="360" w:lineRule="auto"/>
        <w:rPr>
          <w:rFonts w:cs="Times New Roman"/>
          <w:sz w:val="16"/>
          <w:szCs w:val="16"/>
        </w:rPr>
      </w:pPr>
    </w:p>
    <w:p w14:paraId="5D5D94E3" w14:textId="41E2581B" w:rsidR="0077235D" w:rsidRPr="00D14059" w:rsidRDefault="0077235D" w:rsidP="00D14059">
      <w:pPr>
        <w:pStyle w:val="Prrafodelista"/>
        <w:numPr>
          <w:ilvl w:val="3"/>
          <w:numId w:val="3"/>
        </w:numPr>
        <w:spacing w:before="360" w:after="360"/>
        <w:ind w:left="1077" w:hanging="1077"/>
        <w:rPr>
          <w:b/>
          <w:bCs/>
        </w:rPr>
      </w:pPr>
      <w:bookmarkStart w:id="223" w:name="_Toc35185807"/>
      <w:bookmarkStart w:id="224" w:name="_Toc35186300"/>
      <w:bookmarkStart w:id="225" w:name="_Toc72741057"/>
      <w:bookmarkStart w:id="226" w:name="_Toc72741855"/>
      <w:bookmarkStart w:id="227" w:name="_Toc72742653"/>
      <w:bookmarkStart w:id="228" w:name="_Toc72881405"/>
      <w:bookmarkStart w:id="229" w:name="_Toc72882487"/>
      <w:bookmarkStart w:id="230" w:name="_Toc75608832"/>
      <w:bookmarkStart w:id="231" w:name="_Toc75611758"/>
      <w:bookmarkStart w:id="232" w:name="_Toc75612604"/>
      <w:bookmarkStart w:id="233" w:name="_Toc75679759"/>
      <w:bookmarkStart w:id="234" w:name="_Toc75702367"/>
      <w:r w:rsidRPr="00D14059">
        <w:rPr>
          <w:b/>
          <w:bCs/>
        </w:rPr>
        <w:lastRenderedPageBreak/>
        <w:t>INIAP-111 Guagal Mejorad</w:t>
      </w:r>
      <w:bookmarkEnd w:id="223"/>
      <w:bookmarkEnd w:id="224"/>
      <w:bookmarkEnd w:id="225"/>
      <w:bookmarkEnd w:id="226"/>
      <w:bookmarkEnd w:id="227"/>
      <w:bookmarkEnd w:id="228"/>
      <w:bookmarkEnd w:id="229"/>
      <w:bookmarkEnd w:id="230"/>
      <w:bookmarkEnd w:id="231"/>
      <w:bookmarkEnd w:id="232"/>
      <w:bookmarkEnd w:id="233"/>
      <w:bookmarkEnd w:id="234"/>
      <w:r w:rsidR="00DB7BFF" w:rsidRPr="00D14059">
        <w:rPr>
          <w:b/>
          <w:bCs/>
        </w:rPr>
        <w:t>o</w:t>
      </w:r>
    </w:p>
    <w:p w14:paraId="469B19A9" w14:textId="6DE6F8DC" w:rsidR="00DB7BFF" w:rsidRPr="00DB7BFF" w:rsidRDefault="00DB7BFF" w:rsidP="00FA69C7">
      <w:pPr>
        <w:pStyle w:val="Descripcin"/>
        <w:keepNext/>
        <w:jc w:val="left"/>
        <w:rPr>
          <w:rFonts w:eastAsiaTheme="majorEastAsia" w:cs="Times New Roman"/>
          <w:i w:val="0"/>
          <w:iCs w:val="0"/>
          <w:color w:val="auto"/>
          <w:sz w:val="24"/>
          <w:szCs w:val="28"/>
          <w:lang w:val="es-ES" w:eastAsia="en-US"/>
        </w:rPr>
      </w:pPr>
      <w:bookmarkStart w:id="235" w:name="_Toc79313995"/>
      <w:r w:rsidRPr="00DB7BFF">
        <w:rPr>
          <w:rFonts w:eastAsiaTheme="majorEastAsia" w:cs="Times New Roman"/>
          <w:b/>
          <w:i w:val="0"/>
          <w:iCs w:val="0"/>
          <w:color w:val="auto"/>
          <w:sz w:val="24"/>
          <w:szCs w:val="28"/>
          <w:lang w:val="es-ES" w:eastAsia="en-US"/>
        </w:rPr>
        <w:t xml:space="preserve">Cuadro </w:t>
      </w:r>
      <w:r w:rsidR="00C26AF2">
        <w:rPr>
          <w:rFonts w:eastAsiaTheme="majorEastAsia" w:cs="Times New Roman"/>
          <w:b/>
          <w:i w:val="0"/>
          <w:iCs w:val="0"/>
          <w:color w:val="auto"/>
          <w:sz w:val="24"/>
          <w:szCs w:val="28"/>
          <w:lang w:val="es-ES" w:eastAsia="en-US"/>
        </w:rPr>
        <w:fldChar w:fldCharType="begin"/>
      </w:r>
      <w:r w:rsidR="00C26AF2">
        <w:rPr>
          <w:rFonts w:eastAsiaTheme="majorEastAsia" w:cs="Times New Roman"/>
          <w:b/>
          <w:i w:val="0"/>
          <w:iCs w:val="0"/>
          <w:color w:val="auto"/>
          <w:sz w:val="24"/>
          <w:szCs w:val="28"/>
          <w:lang w:val="es-ES" w:eastAsia="en-US"/>
        </w:rPr>
        <w:instrText xml:space="preserve"> SEQ Cuadro \* ARABIC </w:instrText>
      </w:r>
      <w:r w:rsidR="00C26AF2">
        <w:rPr>
          <w:rFonts w:eastAsiaTheme="majorEastAsia" w:cs="Times New Roman"/>
          <w:b/>
          <w:i w:val="0"/>
          <w:iCs w:val="0"/>
          <w:color w:val="auto"/>
          <w:sz w:val="24"/>
          <w:szCs w:val="28"/>
          <w:lang w:val="es-ES" w:eastAsia="en-US"/>
        </w:rPr>
        <w:fldChar w:fldCharType="separate"/>
      </w:r>
      <w:r w:rsidR="000D1F55">
        <w:rPr>
          <w:rFonts w:eastAsiaTheme="majorEastAsia" w:cs="Times New Roman"/>
          <w:b/>
          <w:i w:val="0"/>
          <w:iCs w:val="0"/>
          <w:noProof/>
          <w:color w:val="auto"/>
          <w:sz w:val="24"/>
          <w:szCs w:val="28"/>
          <w:lang w:val="es-ES" w:eastAsia="en-US"/>
        </w:rPr>
        <w:t>3</w:t>
      </w:r>
      <w:r w:rsidR="00C26AF2">
        <w:rPr>
          <w:rFonts w:eastAsiaTheme="majorEastAsia" w:cs="Times New Roman"/>
          <w:b/>
          <w:i w:val="0"/>
          <w:iCs w:val="0"/>
          <w:color w:val="auto"/>
          <w:sz w:val="24"/>
          <w:szCs w:val="28"/>
          <w:lang w:val="es-ES" w:eastAsia="en-US"/>
        </w:rPr>
        <w:fldChar w:fldCharType="end"/>
      </w:r>
      <w:r w:rsidRPr="00DB7BFF">
        <w:rPr>
          <w:rFonts w:eastAsiaTheme="majorEastAsia" w:cs="Times New Roman"/>
          <w:b/>
          <w:i w:val="0"/>
          <w:iCs w:val="0"/>
          <w:color w:val="auto"/>
          <w:sz w:val="24"/>
          <w:szCs w:val="28"/>
          <w:lang w:val="es-ES" w:eastAsia="en-US"/>
        </w:rPr>
        <w:t>.</w:t>
      </w:r>
      <w:r w:rsidRPr="00DB7BFF">
        <w:rPr>
          <w:rFonts w:eastAsiaTheme="majorEastAsia" w:cs="Times New Roman"/>
          <w:i w:val="0"/>
          <w:iCs w:val="0"/>
          <w:color w:val="auto"/>
          <w:sz w:val="24"/>
          <w:szCs w:val="28"/>
          <w:lang w:val="es-ES" w:eastAsia="en-US"/>
        </w:rPr>
        <w:t xml:space="preserve"> Características de la variedad Guagal Mejorado</w:t>
      </w:r>
      <w:bookmarkEnd w:id="235"/>
    </w:p>
    <w:tbl>
      <w:tblPr>
        <w:tblStyle w:val="Tablaconcuadrcula"/>
        <w:tblW w:w="0" w:type="auto"/>
        <w:jc w:val="center"/>
        <w:tblLook w:val="04A0" w:firstRow="1" w:lastRow="0" w:firstColumn="1" w:lastColumn="0" w:noHBand="0" w:noVBand="1"/>
      </w:tblPr>
      <w:tblGrid>
        <w:gridCol w:w="2830"/>
        <w:gridCol w:w="5097"/>
      </w:tblGrid>
      <w:tr w:rsidR="0077235D" w:rsidRPr="007E253F" w14:paraId="355748BD" w14:textId="77777777" w:rsidTr="003D266E">
        <w:trPr>
          <w:jc w:val="center"/>
        </w:trPr>
        <w:tc>
          <w:tcPr>
            <w:tcW w:w="2830" w:type="dxa"/>
          </w:tcPr>
          <w:p w14:paraId="6A25B7CE" w14:textId="77777777" w:rsidR="0077235D" w:rsidRPr="007E253F" w:rsidRDefault="0077235D" w:rsidP="00947501">
            <w:pPr>
              <w:rPr>
                <w:rFonts w:cs="Times New Roman"/>
                <w:b/>
                <w:bCs/>
                <w:szCs w:val="24"/>
              </w:rPr>
            </w:pPr>
            <w:r w:rsidRPr="007E253F">
              <w:rPr>
                <w:rFonts w:cs="Times New Roman"/>
                <w:b/>
                <w:bCs/>
                <w:szCs w:val="24"/>
              </w:rPr>
              <w:t>Tipo</w:t>
            </w:r>
          </w:p>
        </w:tc>
        <w:tc>
          <w:tcPr>
            <w:tcW w:w="5097" w:type="dxa"/>
          </w:tcPr>
          <w:p w14:paraId="440956E4" w14:textId="77777777" w:rsidR="0077235D" w:rsidRPr="007E253F" w:rsidRDefault="0077235D" w:rsidP="00947501">
            <w:pPr>
              <w:rPr>
                <w:rFonts w:cs="Times New Roman"/>
                <w:szCs w:val="24"/>
              </w:rPr>
            </w:pPr>
            <w:r w:rsidRPr="007E253F">
              <w:rPr>
                <w:rFonts w:cs="Times New Roman"/>
                <w:szCs w:val="24"/>
              </w:rPr>
              <w:t xml:space="preserve"> Suave, tardío </w:t>
            </w:r>
          </w:p>
        </w:tc>
      </w:tr>
      <w:tr w:rsidR="0077235D" w:rsidRPr="007E253F" w14:paraId="0F0D8184" w14:textId="77777777" w:rsidTr="003D266E">
        <w:trPr>
          <w:jc w:val="center"/>
        </w:trPr>
        <w:tc>
          <w:tcPr>
            <w:tcW w:w="2830" w:type="dxa"/>
          </w:tcPr>
          <w:p w14:paraId="708E4151" w14:textId="77777777" w:rsidR="0077235D" w:rsidRPr="007E253F" w:rsidRDefault="0077235D" w:rsidP="00947501">
            <w:pPr>
              <w:rPr>
                <w:rFonts w:cs="Times New Roman"/>
                <w:b/>
                <w:bCs/>
                <w:szCs w:val="24"/>
              </w:rPr>
            </w:pPr>
            <w:r w:rsidRPr="007E253F">
              <w:rPr>
                <w:rFonts w:cs="Times New Roman"/>
                <w:b/>
                <w:bCs/>
                <w:szCs w:val="24"/>
              </w:rPr>
              <w:t>Grano</w:t>
            </w:r>
          </w:p>
        </w:tc>
        <w:tc>
          <w:tcPr>
            <w:tcW w:w="5097" w:type="dxa"/>
          </w:tcPr>
          <w:p w14:paraId="1C6CA548" w14:textId="77777777" w:rsidR="0077235D" w:rsidRPr="007E253F" w:rsidRDefault="0077235D" w:rsidP="00947501">
            <w:pPr>
              <w:rPr>
                <w:rFonts w:cs="Times New Roman"/>
                <w:szCs w:val="24"/>
              </w:rPr>
            </w:pPr>
            <w:r w:rsidRPr="007E253F">
              <w:rPr>
                <w:rFonts w:cs="Times New Roman"/>
                <w:szCs w:val="24"/>
              </w:rPr>
              <w:t xml:space="preserve"> Blanco harinoso </w:t>
            </w:r>
          </w:p>
        </w:tc>
      </w:tr>
      <w:tr w:rsidR="0077235D" w:rsidRPr="007E253F" w14:paraId="2683E7DD" w14:textId="77777777" w:rsidTr="003D266E">
        <w:trPr>
          <w:jc w:val="center"/>
        </w:trPr>
        <w:tc>
          <w:tcPr>
            <w:tcW w:w="2830" w:type="dxa"/>
          </w:tcPr>
          <w:p w14:paraId="142E6DF0" w14:textId="77777777" w:rsidR="0077235D" w:rsidRPr="007E253F" w:rsidRDefault="0077235D" w:rsidP="00947501">
            <w:pPr>
              <w:rPr>
                <w:rFonts w:cs="Times New Roman"/>
                <w:b/>
                <w:bCs/>
                <w:szCs w:val="24"/>
              </w:rPr>
            </w:pPr>
            <w:r w:rsidRPr="007E253F">
              <w:rPr>
                <w:rFonts w:cs="Times New Roman"/>
                <w:b/>
                <w:bCs/>
                <w:szCs w:val="24"/>
              </w:rPr>
              <w:t>Días a la Cosecha en seco</w:t>
            </w:r>
          </w:p>
        </w:tc>
        <w:tc>
          <w:tcPr>
            <w:tcW w:w="5097" w:type="dxa"/>
          </w:tcPr>
          <w:p w14:paraId="543C4084" w14:textId="77777777" w:rsidR="0077235D" w:rsidRPr="007E253F" w:rsidRDefault="0077235D" w:rsidP="00947501">
            <w:pPr>
              <w:rPr>
                <w:rFonts w:cs="Times New Roman"/>
                <w:szCs w:val="24"/>
              </w:rPr>
            </w:pPr>
            <w:r w:rsidRPr="007E253F">
              <w:rPr>
                <w:rFonts w:cs="Times New Roman"/>
                <w:szCs w:val="24"/>
              </w:rPr>
              <w:t xml:space="preserve"> 265 </w:t>
            </w:r>
          </w:p>
        </w:tc>
      </w:tr>
      <w:tr w:rsidR="0077235D" w:rsidRPr="007E253F" w14:paraId="489D9CFD" w14:textId="77777777" w:rsidTr="003D266E">
        <w:trPr>
          <w:jc w:val="center"/>
        </w:trPr>
        <w:tc>
          <w:tcPr>
            <w:tcW w:w="2830" w:type="dxa"/>
          </w:tcPr>
          <w:p w14:paraId="2D62CFF2" w14:textId="77777777" w:rsidR="0077235D" w:rsidRPr="007E253F" w:rsidRDefault="0077235D" w:rsidP="00947501">
            <w:pPr>
              <w:rPr>
                <w:rFonts w:cs="Times New Roman"/>
                <w:b/>
                <w:bCs/>
                <w:szCs w:val="24"/>
              </w:rPr>
            </w:pPr>
            <w:r w:rsidRPr="007E253F">
              <w:rPr>
                <w:rFonts w:cs="Times New Roman"/>
                <w:b/>
                <w:bCs/>
                <w:szCs w:val="24"/>
              </w:rPr>
              <w:t>Cosecha en choclo</w:t>
            </w:r>
          </w:p>
        </w:tc>
        <w:tc>
          <w:tcPr>
            <w:tcW w:w="5097" w:type="dxa"/>
          </w:tcPr>
          <w:p w14:paraId="42D03568" w14:textId="77777777" w:rsidR="0077235D" w:rsidRPr="007E253F" w:rsidRDefault="0077235D" w:rsidP="00947501">
            <w:pPr>
              <w:rPr>
                <w:rFonts w:cs="Times New Roman"/>
                <w:szCs w:val="24"/>
              </w:rPr>
            </w:pPr>
            <w:r w:rsidRPr="007E253F">
              <w:rPr>
                <w:rFonts w:cs="Times New Roman"/>
                <w:szCs w:val="24"/>
              </w:rPr>
              <w:t xml:space="preserve"> 208 días </w:t>
            </w:r>
          </w:p>
        </w:tc>
      </w:tr>
      <w:tr w:rsidR="0077235D" w:rsidRPr="007E253F" w14:paraId="1A30D195" w14:textId="77777777" w:rsidTr="003D266E">
        <w:trPr>
          <w:jc w:val="center"/>
        </w:trPr>
        <w:tc>
          <w:tcPr>
            <w:tcW w:w="2830" w:type="dxa"/>
          </w:tcPr>
          <w:p w14:paraId="619C7751" w14:textId="77777777" w:rsidR="0077235D" w:rsidRPr="007E253F" w:rsidRDefault="0077235D" w:rsidP="00947501">
            <w:pPr>
              <w:rPr>
                <w:rFonts w:cs="Times New Roman"/>
                <w:b/>
                <w:bCs/>
                <w:szCs w:val="24"/>
              </w:rPr>
            </w:pPr>
            <w:r w:rsidRPr="007E253F">
              <w:rPr>
                <w:rFonts w:cs="Times New Roman"/>
                <w:b/>
                <w:bCs/>
                <w:szCs w:val="24"/>
              </w:rPr>
              <w:t>Altura de planta</w:t>
            </w:r>
          </w:p>
        </w:tc>
        <w:tc>
          <w:tcPr>
            <w:tcW w:w="5097" w:type="dxa"/>
          </w:tcPr>
          <w:p w14:paraId="4A9A3D5C" w14:textId="77777777" w:rsidR="0077235D" w:rsidRPr="007E253F" w:rsidRDefault="0077235D" w:rsidP="00947501">
            <w:pPr>
              <w:rPr>
                <w:rFonts w:cs="Times New Roman"/>
                <w:szCs w:val="24"/>
              </w:rPr>
            </w:pPr>
            <w:r w:rsidRPr="007E253F">
              <w:rPr>
                <w:rFonts w:cs="Times New Roman"/>
                <w:szCs w:val="24"/>
              </w:rPr>
              <w:t xml:space="preserve"> 270 cm </w:t>
            </w:r>
          </w:p>
        </w:tc>
      </w:tr>
      <w:tr w:rsidR="0077235D" w:rsidRPr="007E253F" w14:paraId="6218CF4E" w14:textId="77777777" w:rsidTr="003D266E">
        <w:trPr>
          <w:jc w:val="center"/>
        </w:trPr>
        <w:tc>
          <w:tcPr>
            <w:tcW w:w="2830" w:type="dxa"/>
          </w:tcPr>
          <w:p w14:paraId="5DE50ED4" w14:textId="77777777" w:rsidR="0077235D" w:rsidRPr="007E253F" w:rsidRDefault="0077235D" w:rsidP="00947501">
            <w:pPr>
              <w:rPr>
                <w:rFonts w:cs="Times New Roman"/>
                <w:b/>
                <w:bCs/>
                <w:szCs w:val="24"/>
              </w:rPr>
            </w:pPr>
            <w:r w:rsidRPr="007E253F">
              <w:rPr>
                <w:rFonts w:cs="Times New Roman"/>
                <w:b/>
                <w:bCs/>
                <w:szCs w:val="24"/>
              </w:rPr>
              <w:t>Altura a la mazorca</w:t>
            </w:r>
          </w:p>
        </w:tc>
        <w:tc>
          <w:tcPr>
            <w:tcW w:w="5097" w:type="dxa"/>
          </w:tcPr>
          <w:p w14:paraId="3776C2B8" w14:textId="77777777" w:rsidR="0077235D" w:rsidRPr="007E253F" w:rsidRDefault="0077235D" w:rsidP="00947501">
            <w:pPr>
              <w:rPr>
                <w:rFonts w:cs="Times New Roman"/>
                <w:szCs w:val="24"/>
              </w:rPr>
            </w:pPr>
            <w:r w:rsidRPr="007E253F">
              <w:rPr>
                <w:rFonts w:cs="Times New Roman"/>
                <w:szCs w:val="24"/>
              </w:rPr>
              <w:t xml:space="preserve"> 160 cm0 </w:t>
            </w:r>
          </w:p>
        </w:tc>
      </w:tr>
      <w:tr w:rsidR="0077235D" w:rsidRPr="007E253F" w14:paraId="061DB5D5" w14:textId="77777777" w:rsidTr="003D266E">
        <w:trPr>
          <w:jc w:val="center"/>
        </w:trPr>
        <w:tc>
          <w:tcPr>
            <w:tcW w:w="2830" w:type="dxa"/>
          </w:tcPr>
          <w:p w14:paraId="6CD5C198" w14:textId="77777777" w:rsidR="0077235D" w:rsidRPr="007E253F" w:rsidRDefault="0077235D" w:rsidP="00947501">
            <w:pPr>
              <w:rPr>
                <w:rFonts w:cs="Times New Roman"/>
                <w:b/>
                <w:bCs/>
                <w:szCs w:val="24"/>
              </w:rPr>
            </w:pPr>
            <w:r w:rsidRPr="007E253F">
              <w:rPr>
                <w:rFonts w:cs="Times New Roman"/>
                <w:b/>
                <w:bCs/>
                <w:szCs w:val="24"/>
              </w:rPr>
              <w:t>Rendimiento</w:t>
            </w:r>
          </w:p>
        </w:tc>
        <w:tc>
          <w:tcPr>
            <w:tcW w:w="5097" w:type="dxa"/>
          </w:tcPr>
          <w:p w14:paraId="5F70D163" w14:textId="77777777" w:rsidR="0077235D" w:rsidRPr="007E253F" w:rsidRDefault="0077235D" w:rsidP="00947501">
            <w:pPr>
              <w:rPr>
                <w:rFonts w:cs="Times New Roman"/>
                <w:szCs w:val="24"/>
              </w:rPr>
            </w:pPr>
            <w:r w:rsidRPr="007E253F">
              <w:rPr>
                <w:rFonts w:cs="Times New Roman"/>
                <w:szCs w:val="24"/>
              </w:rPr>
              <w:t xml:space="preserve"> 4091 kg/ha (100 qq/ha). asociación 3400 kg (75 qq/ha) </w:t>
            </w:r>
          </w:p>
        </w:tc>
      </w:tr>
      <w:tr w:rsidR="0077235D" w:rsidRPr="007E253F" w14:paraId="4A9CDF59" w14:textId="77777777" w:rsidTr="003D266E">
        <w:trPr>
          <w:jc w:val="center"/>
        </w:trPr>
        <w:tc>
          <w:tcPr>
            <w:tcW w:w="2830" w:type="dxa"/>
          </w:tcPr>
          <w:p w14:paraId="3CD57150" w14:textId="77777777" w:rsidR="0077235D" w:rsidRPr="007E253F" w:rsidRDefault="0077235D" w:rsidP="00947501">
            <w:pPr>
              <w:rPr>
                <w:rFonts w:cs="Times New Roman"/>
                <w:b/>
                <w:bCs/>
                <w:szCs w:val="24"/>
              </w:rPr>
            </w:pPr>
            <w:r w:rsidRPr="007E253F">
              <w:rPr>
                <w:rFonts w:cs="Times New Roman"/>
                <w:b/>
                <w:bCs/>
                <w:szCs w:val="24"/>
              </w:rPr>
              <w:t>Asociación con Fréjol</w:t>
            </w:r>
          </w:p>
        </w:tc>
        <w:tc>
          <w:tcPr>
            <w:tcW w:w="5097" w:type="dxa"/>
          </w:tcPr>
          <w:p w14:paraId="6368E818" w14:textId="77777777" w:rsidR="0077235D" w:rsidRPr="007E253F" w:rsidRDefault="0077235D" w:rsidP="00947501">
            <w:pPr>
              <w:rPr>
                <w:rFonts w:cs="Times New Roman"/>
                <w:szCs w:val="24"/>
              </w:rPr>
            </w:pPr>
            <w:r w:rsidRPr="007E253F">
              <w:rPr>
                <w:rFonts w:cs="Times New Roman"/>
                <w:szCs w:val="24"/>
              </w:rPr>
              <w:t xml:space="preserve"> Si soporta </w:t>
            </w:r>
          </w:p>
        </w:tc>
      </w:tr>
      <w:tr w:rsidR="0077235D" w:rsidRPr="007E253F" w14:paraId="08376BF5" w14:textId="77777777" w:rsidTr="003D266E">
        <w:trPr>
          <w:jc w:val="center"/>
        </w:trPr>
        <w:tc>
          <w:tcPr>
            <w:tcW w:w="2830" w:type="dxa"/>
          </w:tcPr>
          <w:p w14:paraId="7F31321E" w14:textId="77777777" w:rsidR="0077235D" w:rsidRPr="007E253F" w:rsidRDefault="0077235D" w:rsidP="00947501">
            <w:pPr>
              <w:rPr>
                <w:rFonts w:cs="Times New Roman"/>
                <w:b/>
                <w:bCs/>
                <w:szCs w:val="24"/>
              </w:rPr>
            </w:pPr>
            <w:r w:rsidRPr="007E253F">
              <w:rPr>
                <w:rFonts w:cs="Times New Roman"/>
                <w:b/>
                <w:bCs/>
                <w:szCs w:val="24"/>
              </w:rPr>
              <w:t>Altitud</w:t>
            </w:r>
          </w:p>
        </w:tc>
        <w:tc>
          <w:tcPr>
            <w:tcW w:w="5097" w:type="dxa"/>
          </w:tcPr>
          <w:p w14:paraId="1D5CB278" w14:textId="77777777" w:rsidR="0077235D" w:rsidRPr="007E253F" w:rsidRDefault="0077235D" w:rsidP="00947501">
            <w:pPr>
              <w:rPr>
                <w:rFonts w:cs="Times New Roman"/>
                <w:szCs w:val="24"/>
              </w:rPr>
            </w:pPr>
            <w:r w:rsidRPr="007E253F">
              <w:rPr>
                <w:rFonts w:cs="Times New Roman"/>
                <w:szCs w:val="24"/>
              </w:rPr>
              <w:t xml:space="preserve"> De 2 400 a 2 800 msnm </w:t>
            </w:r>
          </w:p>
        </w:tc>
      </w:tr>
      <w:tr w:rsidR="0077235D" w:rsidRPr="007E253F" w14:paraId="3DCCFC0D" w14:textId="77777777" w:rsidTr="003D266E">
        <w:trPr>
          <w:jc w:val="center"/>
        </w:trPr>
        <w:tc>
          <w:tcPr>
            <w:tcW w:w="2830" w:type="dxa"/>
          </w:tcPr>
          <w:p w14:paraId="5135389F" w14:textId="77777777" w:rsidR="0077235D" w:rsidRPr="007E253F" w:rsidRDefault="0077235D" w:rsidP="00947501">
            <w:pPr>
              <w:rPr>
                <w:rFonts w:cs="Times New Roman"/>
                <w:b/>
                <w:bCs/>
                <w:szCs w:val="24"/>
              </w:rPr>
            </w:pPr>
            <w:r w:rsidRPr="007E253F">
              <w:rPr>
                <w:rFonts w:cs="Times New Roman"/>
                <w:b/>
                <w:bCs/>
                <w:szCs w:val="24"/>
              </w:rPr>
              <w:t>Usos</w:t>
            </w:r>
          </w:p>
        </w:tc>
        <w:tc>
          <w:tcPr>
            <w:tcW w:w="5097" w:type="dxa"/>
          </w:tcPr>
          <w:p w14:paraId="01CA0275" w14:textId="77777777" w:rsidR="0077235D" w:rsidRPr="007E253F" w:rsidRDefault="0077235D" w:rsidP="00947501">
            <w:pPr>
              <w:rPr>
                <w:rFonts w:cs="Times New Roman"/>
                <w:szCs w:val="24"/>
              </w:rPr>
            </w:pPr>
            <w:r w:rsidRPr="007E253F">
              <w:rPr>
                <w:rFonts w:cs="Times New Roman"/>
                <w:szCs w:val="24"/>
              </w:rPr>
              <w:t xml:space="preserve"> Alimentación humana, en choclo y en grano seco </w:t>
            </w:r>
          </w:p>
        </w:tc>
      </w:tr>
      <w:tr w:rsidR="0077235D" w:rsidRPr="007E253F" w14:paraId="3BD2FA4D" w14:textId="77777777" w:rsidTr="003D266E">
        <w:trPr>
          <w:jc w:val="center"/>
        </w:trPr>
        <w:tc>
          <w:tcPr>
            <w:tcW w:w="2830" w:type="dxa"/>
          </w:tcPr>
          <w:p w14:paraId="7BEE4561" w14:textId="77777777" w:rsidR="0077235D" w:rsidRPr="007E253F" w:rsidRDefault="0077235D" w:rsidP="00947501">
            <w:pPr>
              <w:rPr>
                <w:rFonts w:cs="Times New Roman"/>
                <w:b/>
                <w:bCs/>
                <w:szCs w:val="24"/>
              </w:rPr>
            </w:pPr>
            <w:r w:rsidRPr="007E253F">
              <w:rPr>
                <w:rFonts w:cs="Times New Roman"/>
                <w:b/>
                <w:bCs/>
                <w:szCs w:val="24"/>
              </w:rPr>
              <w:t>Zonas</w:t>
            </w:r>
          </w:p>
        </w:tc>
        <w:tc>
          <w:tcPr>
            <w:tcW w:w="5097" w:type="dxa"/>
          </w:tcPr>
          <w:p w14:paraId="7EE89617" w14:textId="77777777" w:rsidR="0077235D" w:rsidRPr="007E253F" w:rsidRDefault="0077235D" w:rsidP="00947501">
            <w:pPr>
              <w:rPr>
                <w:rFonts w:cs="Times New Roman"/>
                <w:szCs w:val="24"/>
              </w:rPr>
            </w:pPr>
            <w:r w:rsidRPr="007E253F">
              <w:rPr>
                <w:rFonts w:cs="Times New Roman"/>
                <w:szCs w:val="24"/>
              </w:rPr>
              <w:t xml:space="preserve"> Se cultiva en la provincia de Bolívar</w:t>
            </w:r>
          </w:p>
        </w:tc>
      </w:tr>
    </w:tbl>
    <w:p w14:paraId="27D91EE3" w14:textId="2FD34269" w:rsidR="00450B85" w:rsidRPr="00DB7BFF" w:rsidRDefault="00DB7BFF" w:rsidP="000E2B3A">
      <w:pPr>
        <w:tabs>
          <w:tab w:val="left" w:pos="3165"/>
        </w:tabs>
        <w:spacing w:after="0" w:line="360" w:lineRule="auto"/>
        <w:rPr>
          <w:rFonts w:cs="Times New Roman"/>
          <w:sz w:val="16"/>
          <w:szCs w:val="16"/>
        </w:rPr>
      </w:pPr>
      <w:r>
        <w:rPr>
          <w:rFonts w:cs="Times New Roman"/>
          <w:szCs w:val="24"/>
        </w:rPr>
        <w:t xml:space="preserve">    </w:t>
      </w:r>
      <w:r w:rsidR="00D67640" w:rsidRPr="00D14059">
        <w:rPr>
          <w:rFonts w:cs="Times New Roman"/>
          <w:b/>
          <w:sz w:val="20"/>
          <w:szCs w:val="20"/>
        </w:rPr>
        <w:t>Fuente:</w:t>
      </w:r>
      <w:sdt>
        <w:sdtPr>
          <w:rPr>
            <w:rFonts w:cs="Times New Roman"/>
            <w:sz w:val="20"/>
            <w:szCs w:val="20"/>
          </w:rPr>
          <w:id w:val="812755019"/>
          <w:citation/>
        </w:sdtPr>
        <w:sdtEndPr/>
        <w:sdtContent>
          <w:r w:rsidR="00D67640" w:rsidRPr="00D14059">
            <w:rPr>
              <w:rFonts w:cs="Times New Roman"/>
              <w:sz w:val="20"/>
              <w:szCs w:val="20"/>
            </w:rPr>
            <w:fldChar w:fldCharType="begin"/>
          </w:r>
          <w:r w:rsidR="00D67640" w:rsidRPr="00D14059">
            <w:rPr>
              <w:rFonts w:cs="Times New Roman"/>
              <w:sz w:val="20"/>
              <w:szCs w:val="20"/>
            </w:rPr>
            <w:instrText xml:space="preserve">CITATION INI \l 12298 </w:instrText>
          </w:r>
          <w:r w:rsidR="00D67640" w:rsidRPr="00D14059">
            <w:rPr>
              <w:rFonts w:cs="Times New Roman"/>
              <w:sz w:val="20"/>
              <w:szCs w:val="20"/>
            </w:rPr>
            <w:fldChar w:fldCharType="separate"/>
          </w:r>
          <w:r w:rsidR="005106B9">
            <w:rPr>
              <w:rFonts w:cs="Times New Roman"/>
              <w:noProof/>
              <w:sz w:val="20"/>
              <w:szCs w:val="20"/>
            </w:rPr>
            <w:t xml:space="preserve"> </w:t>
          </w:r>
          <w:r w:rsidR="005106B9" w:rsidRPr="005106B9">
            <w:rPr>
              <w:rFonts w:cs="Times New Roman"/>
              <w:noProof/>
              <w:sz w:val="20"/>
              <w:szCs w:val="20"/>
            </w:rPr>
            <w:t>(INIAP s. , s.f.)</w:t>
          </w:r>
          <w:r w:rsidR="00D67640" w:rsidRPr="00D14059">
            <w:rPr>
              <w:rFonts w:cs="Times New Roman"/>
              <w:sz w:val="20"/>
              <w:szCs w:val="20"/>
            </w:rPr>
            <w:fldChar w:fldCharType="end"/>
          </w:r>
        </w:sdtContent>
      </w:sdt>
    </w:p>
    <w:p w14:paraId="78ADEA9D" w14:textId="7017E9FA" w:rsidR="0077235D" w:rsidRPr="00D14059" w:rsidRDefault="0077235D" w:rsidP="00D14059">
      <w:pPr>
        <w:pStyle w:val="Prrafodelista"/>
        <w:numPr>
          <w:ilvl w:val="3"/>
          <w:numId w:val="3"/>
        </w:numPr>
        <w:spacing w:before="360" w:after="360"/>
        <w:ind w:left="1077" w:hanging="1077"/>
        <w:rPr>
          <w:b/>
          <w:bCs/>
        </w:rPr>
      </w:pPr>
      <w:bookmarkStart w:id="236" w:name="_Toc35185808"/>
      <w:bookmarkStart w:id="237" w:name="_Toc35186301"/>
      <w:bookmarkStart w:id="238" w:name="_Toc72741059"/>
      <w:bookmarkStart w:id="239" w:name="_Toc72741857"/>
      <w:bookmarkStart w:id="240" w:name="_Toc72742655"/>
      <w:bookmarkStart w:id="241" w:name="_Toc72881407"/>
      <w:bookmarkStart w:id="242" w:name="_Toc72882489"/>
      <w:bookmarkStart w:id="243" w:name="_Toc75608834"/>
      <w:bookmarkStart w:id="244" w:name="_Toc75611760"/>
      <w:bookmarkStart w:id="245" w:name="_Toc75612606"/>
      <w:bookmarkStart w:id="246" w:name="_Toc75679761"/>
      <w:bookmarkStart w:id="247" w:name="_Toc75702369"/>
      <w:r w:rsidRPr="00D14059">
        <w:rPr>
          <w:b/>
          <w:bCs/>
        </w:rPr>
        <w:t>INIAP-122 Chaucho Mejorado</w:t>
      </w:r>
      <w:bookmarkEnd w:id="236"/>
      <w:bookmarkEnd w:id="237"/>
      <w:bookmarkEnd w:id="238"/>
      <w:bookmarkEnd w:id="239"/>
      <w:bookmarkEnd w:id="240"/>
      <w:bookmarkEnd w:id="241"/>
      <w:bookmarkEnd w:id="242"/>
      <w:bookmarkEnd w:id="243"/>
      <w:bookmarkEnd w:id="244"/>
      <w:bookmarkEnd w:id="245"/>
      <w:bookmarkEnd w:id="246"/>
      <w:bookmarkEnd w:id="247"/>
    </w:p>
    <w:p w14:paraId="4B2DF41E" w14:textId="5161848F" w:rsidR="00DB7BFF" w:rsidRPr="00DB7BFF" w:rsidRDefault="00DB7BFF" w:rsidP="00DB7BFF">
      <w:pPr>
        <w:pStyle w:val="Descripcin"/>
        <w:keepNext/>
        <w:rPr>
          <w:rFonts w:eastAsiaTheme="majorEastAsia" w:cs="Times New Roman"/>
          <w:bCs/>
          <w:i w:val="0"/>
          <w:iCs w:val="0"/>
          <w:color w:val="auto"/>
          <w:sz w:val="24"/>
          <w:szCs w:val="28"/>
          <w:lang w:val="es-ES" w:eastAsia="en-US"/>
        </w:rPr>
      </w:pPr>
      <w:bookmarkStart w:id="248" w:name="_Toc79313996"/>
      <w:r w:rsidRPr="00DB7BFF">
        <w:rPr>
          <w:rFonts w:eastAsiaTheme="majorEastAsia" w:cs="Times New Roman"/>
          <w:b/>
          <w:bCs/>
          <w:i w:val="0"/>
          <w:iCs w:val="0"/>
          <w:color w:val="auto"/>
          <w:sz w:val="24"/>
          <w:szCs w:val="28"/>
          <w:lang w:val="es-ES" w:eastAsia="en-US"/>
        </w:rPr>
        <w:t xml:space="preserve">Cuadro </w:t>
      </w:r>
      <w:r w:rsidR="00C26AF2">
        <w:rPr>
          <w:rFonts w:eastAsiaTheme="majorEastAsia" w:cs="Times New Roman"/>
          <w:b/>
          <w:bCs/>
          <w:i w:val="0"/>
          <w:iCs w:val="0"/>
          <w:color w:val="auto"/>
          <w:sz w:val="24"/>
          <w:szCs w:val="28"/>
          <w:lang w:val="es-ES" w:eastAsia="en-US"/>
        </w:rPr>
        <w:fldChar w:fldCharType="begin"/>
      </w:r>
      <w:r w:rsidR="00C26AF2">
        <w:rPr>
          <w:rFonts w:eastAsiaTheme="majorEastAsia" w:cs="Times New Roman"/>
          <w:b/>
          <w:bCs/>
          <w:i w:val="0"/>
          <w:iCs w:val="0"/>
          <w:color w:val="auto"/>
          <w:sz w:val="24"/>
          <w:szCs w:val="28"/>
          <w:lang w:val="es-ES" w:eastAsia="en-US"/>
        </w:rPr>
        <w:instrText xml:space="preserve"> SEQ Cuadro \* ARABIC </w:instrText>
      </w:r>
      <w:r w:rsidR="00C26AF2">
        <w:rPr>
          <w:rFonts w:eastAsiaTheme="majorEastAsia" w:cs="Times New Roman"/>
          <w:b/>
          <w:bCs/>
          <w:i w:val="0"/>
          <w:iCs w:val="0"/>
          <w:color w:val="auto"/>
          <w:sz w:val="24"/>
          <w:szCs w:val="28"/>
          <w:lang w:val="es-ES" w:eastAsia="en-US"/>
        </w:rPr>
        <w:fldChar w:fldCharType="separate"/>
      </w:r>
      <w:r w:rsidR="000D1F55">
        <w:rPr>
          <w:rFonts w:eastAsiaTheme="majorEastAsia" w:cs="Times New Roman"/>
          <w:b/>
          <w:bCs/>
          <w:i w:val="0"/>
          <w:iCs w:val="0"/>
          <w:noProof/>
          <w:color w:val="auto"/>
          <w:sz w:val="24"/>
          <w:szCs w:val="28"/>
          <w:lang w:val="es-ES" w:eastAsia="en-US"/>
        </w:rPr>
        <w:t>4</w:t>
      </w:r>
      <w:r w:rsidR="00C26AF2">
        <w:rPr>
          <w:rFonts w:eastAsiaTheme="majorEastAsia" w:cs="Times New Roman"/>
          <w:b/>
          <w:bCs/>
          <w:i w:val="0"/>
          <w:iCs w:val="0"/>
          <w:color w:val="auto"/>
          <w:sz w:val="24"/>
          <w:szCs w:val="28"/>
          <w:lang w:val="es-ES" w:eastAsia="en-US"/>
        </w:rPr>
        <w:fldChar w:fldCharType="end"/>
      </w:r>
      <w:r w:rsidRPr="00DB7BFF">
        <w:rPr>
          <w:rFonts w:eastAsiaTheme="majorEastAsia" w:cs="Times New Roman"/>
          <w:b/>
          <w:bCs/>
          <w:i w:val="0"/>
          <w:iCs w:val="0"/>
          <w:color w:val="auto"/>
          <w:sz w:val="24"/>
          <w:szCs w:val="28"/>
          <w:lang w:val="es-ES" w:eastAsia="en-US"/>
        </w:rPr>
        <w:t>.</w:t>
      </w:r>
      <w:r w:rsidRPr="00DB7BFF">
        <w:rPr>
          <w:rFonts w:eastAsiaTheme="majorEastAsia" w:cs="Times New Roman"/>
          <w:bCs/>
          <w:i w:val="0"/>
          <w:iCs w:val="0"/>
          <w:color w:val="auto"/>
          <w:sz w:val="24"/>
          <w:szCs w:val="28"/>
          <w:lang w:val="es-ES" w:eastAsia="en-US"/>
        </w:rPr>
        <w:t xml:space="preserve"> Características de la variedad INIAP-122 Chaucho Mejorado</w:t>
      </w:r>
      <w:bookmarkEnd w:id="248"/>
    </w:p>
    <w:tbl>
      <w:tblPr>
        <w:tblStyle w:val="Tablaconcuadrcula"/>
        <w:tblW w:w="0" w:type="auto"/>
        <w:tblLook w:val="04A0" w:firstRow="1" w:lastRow="0" w:firstColumn="1" w:lastColumn="0" w:noHBand="0" w:noVBand="1"/>
      </w:tblPr>
      <w:tblGrid>
        <w:gridCol w:w="2830"/>
        <w:gridCol w:w="5097"/>
      </w:tblGrid>
      <w:tr w:rsidR="0077235D" w:rsidRPr="007E253F" w14:paraId="22077A2B" w14:textId="77777777" w:rsidTr="003A4FF6">
        <w:tc>
          <w:tcPr>
            <w:tcW w:w="2830" w:type="dxa"/>
          </w:tcPr>
          <w:p w14:paraId="430E7E99" w14:textId="77777777" w:rsidR="0077235D" w:rsidRPr="007E253F" w:rsidRDefault="0077235D" w:rsidP="00947501">
            <w:pPr>
              <w:rPr>
                <w:rFonts w:cs="Times New Roman"/>
                <w:b/>
                <w:bCs/>
                <w:szCs w:val="24"/>
              </w:rPr>
            </w:pPr>
            <w:r w:rsidRPr="007E253F">
              <w:rPr>
                <w:rFonts w:cs="Times New Roman"/>
                <w:b/>
                <w:bCs/>
                <w:szCs w:val="24"/>
              </w:rPr>
              <w:t>Tipo</w:t>
            </w:r>
          </w:p>
        </w:tc>
        <w:tc>
          <w:tcPr>
            <w:tcW w:w="5097" w:type="dxa"/>
          </w:tcPr>
          <w:p w14:paraId="1E1B8D46" w14:textId="77777777" w:rsidR="0077235D" w:rsidRPr="007E253F" w:rsidRDefault="0077235D" w:rsidP="00947501">
            <w:pPr>
              <w:rPr>
                <w:rFonts w:cs="Times New Roman"/>
                <w:szCs w:val="24"/>
              </w:rPr>
            </w:pPr>
            <w:r w:rsidRPr="007E253F">
              <w:rPr>
                <w:rFonts w:cs="Times New Roman"/>
                <w:szCs w:val="24"/>
              </w:rPr>
              <w:t xml:space="preserve"> Suave, precoz </w:t>
            </w:r>
          </w:p>
        </w:tc>
      </w:tr>
      <w:tr w:rsidR="0077235D" w:rsidRPr="007E253F" w14:paraId="40F78922" w14:textId="77777777" w:rsidTr="003A4FF6">
        <w:tc>
          <w:tcPr>
            <w:tcW w:w="2830" w:type="dxa"/>
          </w:tcPr>
          <w:p w14:paraId="13E67EE4" w14:textId="77777777" w:rsidR="0077235D" w:rsidRPr="007E253F" w:rsidRDefault="0077235D" w:rsidP="00947501">
            <w:pPr>
              <w:rPr>
                <w:rFonts w:cs="Times New Roman"/>
                <w:b/>
                <w:bCs/>
                <w:szCs w:val="24"/>
              </w:rPr>
            </w:pPr>
            <w:r w:rsidRPr="007E253F">
              <w:rPr>
                <w:rFonts w:cs="Times New Roman"/>
                <w:b/>
                <w:bCs/>
                <w:szCs w:val="24"/>
              </w:rPr>
              <w:t>Grano</w:t>
            </w:r>
          </w:p>
        </w:tc>
        <w:tc>
          <w:tcPr>
            <w:tcW w:w="5097" w:type="dxa"/>
          </w:tcPr>
          <w:p w14:paraId="0C9EBE4F" w14:textId="77777777" w:rsidR="0077235D" w:rsidRPr="007E253F" w:rsidRDefault="0077235D" w:rsidP="00947501">
            <w:pPr>
              <w:rPr>
                <w:rFonts w:cs="Times New Roman"/>
                <w:szCs w:val="24"/>
              </w:rPr>
            </w:pPr>
            <w:r w:rsidRPr="007E253F">
              <w:rPr>
                <w:rFonts w:cs="Times New Roman"/>
                <w:szCs w:val="24"/>
              </w:rPr>
              <w:t xml:space="preserve"> Amarillo, harinoso </w:t>
            </w:r>
          </w:p>
        </w:tc>
      </w:tr>
      <w:tr w:rsidR="0077235D" w:rsidRPr="007E253F" w14:paraId="3EB7C17F" w14:textId="77777777" w:rsidTr="003A4FF6">
        <w:tc>
          <w:tcPr>
            <w:tcW w:w="2830" w:type="dxa"/>
          </w:tcPr>
          <w:p w14:paraId="7354AC2C" w14:textId="77777777" w:rsidR="0077235D" w:rsidRPr="007E253F" w:rsidRDefault="0077235D" w:rsidP="00947501">
            <w:pPr>
              <w:rPr>
                <w:rFonts w:cs="Times New Roman"/>
                <w:b/>
                <w:bCs/>
                <w:szCs w:val="24"/>
              </w:rPr>
            </w:pPr>
            <w:r w:rsidRPr="007E253F">
              <w:rPr>
                <w:rFonts w:cs="Times New Roman"/>
                <w:b/>
                <w:bCs/>
                <w:szCs w:val="24"/>
              </w:rPr>
              <w:t>Días a la Cosecha en seco</w:t>
            </w:r>
          </w:p>
        </w:tc>
        <w:tc>
          <w:tcPr>
            <w:tcW w:w="5097" w:type="dxa"/>
          </w:tcPr>
          <w:p w14:paraId="125E177D" w14:textId="77777777" w:rsidR="0077235D" w:rsidRPr="007E253F" w:rsidRDefault="0077235D" w:rsidP="00947501">
            <w:pPr>
              <w:rPr>
                <w:rFonts w:cs="Times New Roman"/>
                <w:szCs w:val="24"/>
              </w:rPr>
            </w:pPr>
            <w:r w:rsidRPr="007E253F">
              <w:rPr>
                <w:rFonts w:cs="Times New Roman"/>
                <w:szCs w:val="24"/>
              </w:rPr>
              <w:t xml:space="preserve"> 225 </w:t>
            </w:r>
          </w:p>
        </w:tc>
      </w:tr>
      <w:tr w:rsidR="0077235D" w:rsidRPr="007E253F" w14:paraId="3E336E53" w14:textId="77777777" w:rsidTr="003A4FF6">
        <w:tc>
          <w:tcPr>
            <w:tcW w:w="2830" w:type="dxa"/>
          </w:tcPr>
          <w:p w14:paraId="2A86E99F" w14:textId="77777777" w:rsidR="0077235D" w:rsidRPr="007E253F" w:rsidRDefault="0077235D" w:rsidP="00947501">
            <w:pPr>
              <w:rPr>
                <w:rFonts w:cs="Times New Roman"/>
                <w:b/>
                <w:bCs/>
                <w:szCs w:val="24"/>
              </w:rPr>
            </w:pPr>
            <w:r w:rsidRPr="007E253F">
              <w:rPr>
                <w:rFonts w:cs="Times New Roman"/>
                <w:b/>
                <w:bCs/>
                <w:szCs w:val="24"/>
              </w:rPr>
              <w:t>Cosecha en choclo</w:t>
            </w:r>
          </w:p>
        </w:tc>
        <w:tc>
          <w:tcPr>
            <w:tcW w:w="5097" w:type="dxa"/>
          </w:tcPr>
          <w:p w14:paraId="14BD535A" w14:textId="77777777" w:rsidR="0077235D" w:rsidRPr="007E253F" w:rsidRDefault="0077235D" w:rsidP="00947501">
            <w:pPr>
              <w:rPr>
                <w:rFonts w:cs="Times New Roman"/>
                <w:szCs w:val="24"/>
              </w:rPr>
            </w:pPr>
            <w:r w:rsidRPr="007E253F">
              <w:rPr>
                <w:rFonts w:cs="Times New Roman"/>
                <w:szCs w:val="24"/>
              </w:rPr>
              <w:t xml:space="preserve"> 135 días </w:t>
            </w:r>
          </w:p>
        </w:tc>
      </w:tr>
      <w:tr w:rsidR="0077235D" w:rsidRPr="007E253F" w14:paraId="0DA91E1E" w14:textId="77777777" w:rsidTr="003A4FF6">
        <w:tc>
          <w:tcPr>
            <w:tcW w:w="2830" w:type="dxa"/>
          </w:tcPr>
          <w:p w14:paraId="561C3CB2" w14:textId="77777777" w:rsidR="0077235D" w:rsidRPr="007E253F" w:rsidRDefault="0077235D" w:rsidP="00947501">
            <w:pPr>
              <w:rPr>
                <w:rFonts w:cs="Times New Roman"/>
                <w:b/>
                <w:bCs/>
                <w:szCs w:val="24"/>
              </w:rPr>
            </w:pPr>
            <w:r w:rsidRPr="007E253F">
              <w:rPr>
                <w:rFonts w:cs="Times New Roman"/>
                <w:b/>
                <w:bCs/>
                <w:szCs w:val="24"/>
              </w:rPr>
              <w:t>Altura de planta</w:t>
            </w:r>
          </w:p>
        </w:tc>
        <w:tc>
          <w:tcPr>
            <w:tcW w:w="5097" w:type="dxa"/>
          </w:tcPr>
          <w:p w14:paraId="14514AA3" w14:textId="77777777" w:rsidR="0077235D" w:rsidRPr="007E253F" w:rsidRDefault="0077235D" w:rsidP="00947501">
            <w:pPr>
              <w:rPr>
                <w:rFonts w:cs="Times New Roman"/>
                <w:szCs w:val="24"/>
              </w:rPr>
            </w:pPr>
            <w:r w:rsidRPr="007E253F">
              <w:rPr>
                <w:rFonts w:cs="Times New Roman"/>
                <w:szCs w:val="24"/>
              </w:rPr>
              <w:t xml:space="preserve"> 250 cm </w:t>
            </w:r>
          </w:p>
        </w:tc>
      </w:tr>
      <w:tr w:rsidR="0077235D" w:rsidRPr="007E253F" w14:paraId="5F923B45" w14:textId="77777777" w:rsidTr="003A4FF6">
        <w:tc>
          <w:tcPr>
            <w:tcW w:w="2830" w:type="dxa"/>
          </w:tcPr>
          <w:p w14:paraId="2BF522A4" w14:textId="77777777" w:rsidR="0077235D" w:rsidRPr="007E253F" w:rsidRDefault="0077235D" w:rsidP="00947501">
            <w:pPr>
              <w:rPr>
                <w:rFonts w:cs="Times New Roman"/>
                <w:b/>
                <w:bCs/>
                <w:szCs w:val="24"/>
              </w:rPr>
            </w:pPr>
            <w:r w:rsidRPr="007E253F">
              <w:rPr>
                <w:rFonts w:cs="Times New Roman"/>
                <w:b/>
                <w:bCs/>
                <w:szCs w:val="24"/>
              </w:rPr>
              <w:t>Altura a la mazorca</w:t>
            </w:r>
          </w:p>
        </w:tc>
        <w:tc>
          <w:tcPr>
            <w:tcW w:w="5097" w:type="dxa"/>
          </w:tcPr>
          <w:p w14:paraId="763EBAD4" w14:textId="77777777" w:rsidR="0077235D" w:rsidRPr="007E253F" w:rsidRDefault="0077235D" w:rsidP="00947501">
            <w:pPr>
              <w:rPr>
                <w:rFonts w:cs="Times New Roman"/>
                <w:szCs w:val="24"/>
              </w:rPr>
            </w:pPr>
            <w:r w:rsidRPr="007E253F">
              <w:rPr>
                <w:rFonts w:cs="Times New Roman"/>
                <w:szCs w:val="24"/>
              </w:rPr>
              <w:t xml:space="preserve"> 140 cm </w:t>
            </w:r>
          </w:p>
        </w:tc>
      </w:tr>
      <w:tr w:rsidR="0077235D" w:rsidRPr="007E253F" w14:paraId="19B0A7D9" w14:textId="77777777" w:rsidTr="003A4FF6">
        <w:tc>
          <w:tcPr>
            <w:tcW w:w="2830" w:type="dxa"/>
          </w:tcPr>
          <w:p w14:paraId="07F8A168" w14:textId="77777777" w:rsidR="0077235D" w:rsidRPr="007E253F" w:rsidRDefault="0077235D" w:rsidP="00947501">
            <w:pPr>
              <w:rPr>
                <w:rFonts w:cs="Times New Roman"/>
                <w:b/>
                <w:bCs/>
                <w:szCs w:val="24"/>
              </w:rPr>
            </w:pPr>
            <w:r w:rsidRPr="007E253F">
              <w:rPr>
                <w:rFonts w:cs="Times New Roman"/>
                <w:b/>
                <w:bCs/>
                <w:szCs w:val="24"/>
              </w:rPr>
              <w:t>Rendimiento</w:t>
            </w:r>
          </w:p>
        </w:tc>
        <w:tc>
          <w:tcPr>
            <w:tcW w:w="5097" w:type="dxa"/>
          </w:tcPr>
          <w:p w14:paraId="6854D65D" w14:textId="77777777" w:rsidR="0077235D" w:rsidRPr="007E253F" w:rsidRDefault="0077235D" w:rsidP="00947501">
            <w:pPr>
              <w:rPr>
                <w:rFonts w:cs="Times New Roman"/>
                <w:szCs w:val="24"/>
              </w:rPr>
            </w:pPr>
            <w:r w:rsidRPr="007E253F">
              <w:rPr>
                <w:rFonts w:cs="Times New Roman"/>
                <w:szCs w:val="24"/>
              </w:rPr>
              <w:t xml:space="preserve"> 3864 kg/ha (85 qq/ha) </w:t>
            </w:r>
          </w:p>
        </w:tc>
      </w:tr>
      <w:tr w:rsidR="0077235D" w:rsidRPr="007E253F" w14:paraId="13A398EB" w14:textId="77777777" w:rsidTr="003A4FF6">
        <w:tc>
          <w:tcPr>
            <w:tcW w:w="2830" w:type="dxa"/>
          </w:tcPr>
          <w:p w14:paraId="2923DF30" w14:textId="77777777" w:rsidR="0077235D" w:rsidRPr="007E253F" w:rsidRDefault="0077235D" w:rsidP="00947501">
            <w:pPr>
              <w:rPr>
                <w:rFonts w:cs="Times New Roman"/>
                <w:b/>
                <w:bCs/>
                <w:szCs w:val="24"/>
              </w:rPr>
            </w:pPr>
            <w:r w:rsidRPr="007E253F">
              <w:rPr>
                <w:rFonts w:cs="Times New Roman"/>
                <w:b/>
                <w:bCs/>
                <w:szCs w:val="24"/>
              </w:rPr>
              <w:t>Asociación con Fréjol</w:t>
            </w:r>
          </w:p>
        </w:tc>
        <w:tc>
          <w:tcPr>
            <w:tcW w:w="5097" w:type="dxa"/>
          </w:tcPr>
          <w:p w14:paraId="6036067B" w14:textId="77777777" w:rsidR="0077235D" w:rsidRPr="007E253F" w:rsidRDefault="0077235D" w:rsidP="00947501">
            <w:pPr>
              <w:rPr>
                <w:rFonts w:cs="Times New Roman"/>
                <w:szCs w:val="24"/>
              </w:rPr>
            </w:pPr>
            <w:r w:rsidRPr="007E253F">
              <w:rPr>
                <w:rFonts w:cs="Times New Roman"/>
                <w:szCs w:val="24"/>
              </w:rPr>
              <w:t xml:space="preserve"> Si soporta </w:t>
            </w:r>
          </w:p>
        </w:tc>
      </w:tr>
      <w:tr w:rsidR="0077235D" w:rsidRPr="007E253F" w14:paraId="4F3D0949" w14:textId="77777777" w:rsidTr="003A4FF6">
        <w:tc>
          <w:tcPr>
            <w:tcW w:w="2830" w:type="dxa"/>
          </w:tcPr>
          <w:p w14:paraId="062E28FF" w14:textId="77777777" w:rsidR="0077235D" w:rsidRPr="007E253F" w:rsidRDefault="0077235D" w:rsidP="00947501">
            <w:pPr>
              <w:rPr>
                <w:rFonts w:cs="Times New Roman"/>
                <w:b/>
                <w:bCs/>
                <w:szCs w:val="24"/>
              </w:rPr>
            </w:pPr>
            <w:r w:rsidRPr="007E253F">
              <w:rPr>
                <w:rFonts w:cs="Times New Roman"/>
                <w:b/>
                <w:bCs/>
                <w:szCs w:val="24"/>
              </w:rPr>
              <w:t>Altitud</w:t>
            </w:r>
          </w:p>
        </w:tc>
        <w:tc>
          <w:tcPr>
            <w:tcW w:w="5097" w:type="dxa"/>
          </w:tcPr>
          <w:p w14:paraId="33E765E6" w14:textId="77777777" w:rsidR="0077235D" w:rsidRPr="007E253F" w:rsidRDefault="0077235D" w:rsidP="00947501">
            <w:pPr>
              <w:rPr>
                <w:rFonts w:cs="Times New Roman"/>
                <w:szCs w:val="24"/>
              </w:rPr>
            </w:pPr>
            <w:r w:rsidRPr="007E253F">
              <w:rPr>
                <w:rFonts w:cs="Times New Roman"/>
                <w:szCs w:val="24"/>
              </w:rPr>
              <w:t xml:space="preserve"> De 2 200 a 2 800 msnm </w:t>
            </w:r>
          </w:p>
        </w:tc>
      </w:tr>
      <w:tr w:rsidR="0077235D" w:rsidRPr="007E253F" w14:paraId="70E9024D" w14:textId="77777777" w:rsidTr="003A4FF6">
        <w:tc>
          <w:tcPr>
            <w:tcW w:w="2830" w:type="dxa"/>
          </w:tcPr>
          <w:p w14:paraId="739A2276" w14:textId="77777777" w:rsidR="0077235D" w:rsidRPr="007E253F" w:rsidRDefault="0077235D" w:rsidP="00947501">
            <w:pPr>
              <w:rPr>
                <w:rFonts w:cs="Times New Roman"/>
                <w:b/>
                <w:bCs/>
                <w:szCs w:val="24"/>
              </w:rPr>
            </w:pPr>
            <w:r w:rsidRPr="007E253F">
              <w:rPr>
                <w:rFonts w:cs="Times New Roman"/>
                <w:b/>
                <w:bCs/>
                <w:szCs w:val="24"/>
              </w:rPr>
              <w:t>Zonas</w:t>
            </w:r>
          </w:p>
        </w:tc>
        <w:tc>
          <w:tcPr>
            <w:tcW w:w="5097" w:type="dxa"/>
          </w:tcPr>
          <w:p w14:paraId="7B290D1D" w14:textId="77777777" w:rsidR="0077235D" w:rsidRPr="007E253F" w:rsidRDefault="0077235D" w:rsidP="00947501">
            <w:pPr>
              <w:rPr>
                <w:rFonts w:cs="Times New Roman"/>
                <w:szCs w:val="24"/>
              </w:rPr>
            </w:pPr>
            <w:r w:rsidRPr="007E253F">
              <w:rPr>
                <w:rFonts w:cs="Times New Roman"/>
                <w:szCs w:val="24"/>
              </w:rPr>
              <w:t xml:space="preserve"> Se cultiva en la provincia de Imbabura.</w:t>
            </w:r>
          </w:p>
        </w:tc>
      </w:tr>
    </w:tbl>
    <w:p w14:paraId="360A2C0D" w14:textId="6684BC75" w:rsidR="0077235D" w:rsidRPr="006247D1" w:rsidRDefault="00EC679F" w:rsidP="000E2B3A">
      <w:pPr>
        <w:spacing w:after="0" w:line="360" w:lineRule="auto"/>
        <w:rPr>
          <w:rFonts w:cs="Times New Roman"/>
          <w:sz w:val="20"/>
          <w:szCs w:val="20"/>
        </w:rPr>
      </w:pPr>
      <w:r w:rsidRPr="006247D1">
        <w:rPr>
          <w:rFonts w:cs="Times New Roman"/>
          <w:sz w:val="20"/>
          <w:szCs w:val="20"/>
        </w:rPr>
        <w:t xml:space="preserve">Fuente: </w:t>
      </w:r>
      <w:sdt>
        <w:sdtPr>
          <w:rPr>
            <w:rFonts w:cs="Times New Roman"/>
            <w:sz w:val="20"/>
            <w:szCs w:val="20"/>
          </w:rPr>
          <w:id w:val="1042014099"/>
          <w:citation/>
        </w:sdtPr>
        <w:sdtEndPr/>
        <w:sdtContent>
          <w:r w:rsidRPr="006247D1">
            <w:rPr>
              <w:rFonts w:cs="Times New Roman"/>
              <w:sz w:val="20"/>
              <w:szCs w:val="20"/>
            </w:rPr>
            <w:fldChar w:fldCharType="begin"/>
          </w:r>
          <w:r w:rsidRPr="006247D1">
            <w:rPr>
              <w:rFonts w:cs="Times New Roman"/>
              <w:sz w:val="20"/>
              <w:szCs w:val="20"/>
            </w:rPr>
            <w:instrText xml:space="preserve"> CITATION INI \l 12298 </w:instrText>
          </w:r>
          <w:r w:rsidRPr="006247D1">
            <w:rPr>
              <w:rFonts w:cs="Times New Roman"/>
              <w:sz w:val="20"/>
              <w:szCs w:val="20"/>
            </w:rPr>
            <w:fldChar w:fldCharType="separate"/>
          </w:r>
          <w:r w:rsidR="005106B9" w:rsidRPr="005106B9">
            <w:rPr>
              <w:rFonts w:cs="Times New Roman"/>
              <w:noProof/>
              <w:sz w:val="20"/>
              <w:szCs w:val="20"/>
            </w:rPr>
            <w:t>(INIAP s. , s.f.)</w:t>
          </w:r>
          <w:r w:rsidRPr="006247D1">
            <w:rPr>
              <w:rFonts w:cs="Times New Roman"/>
              <w:sz w:val="20"/>
              <w:szCs w:val="20"/>
            </w:rPr>
            <w:fldChar w:fldCharType="end"/>
          </w:r>
        </w:sdtContent>
      </w:sdt>
    </w:p>
    <w:p w14:paraId="3F48ADBD" w14:textId="77777777" w:rsidR="0077235D" w:rsidRPr="007E253F" w:rsidRDefault="0077235D" w:rsidP="000E2B3A">
      <w:pPr>
        <w:spacing w:after="0" w:line="360" w:lineRule="auto"/>
        <w:rPr>
          <w:rFonts w:cs="Times New Roman"/>
          <w:szCs w:val="24"/>
        </w:rPr>
      </w:pPr>
    </w:p>
    <w:p w14:paraId="623DFC48" w14:textId="507D8CAD" w:rsidR="0077235D" w:rsidRPr="009C44A4" w:rsidRDefault="0077235D" w:rsidP="00DB7BFF">
      <w:pPr>
        <w:pStyle w:val="Ttulo3"/>
        <w:spacing w:before="360" w:after="360"/>
      </w:pPr>
      <w:bookmarkStart w:id="249" w:name="_Toc72741061"/>
      <w:bookmarkStart w:id="250" w:name="_Toc72741859"/>
      <w:bookmarkStart w:id="251" w:name="_Toc72742657"/>
      <w:bookmarkStart w:id="252" w:name="_Toc72881409"/>
      <w:bookmarkStart w:id="253" w:name="_Toc72882491"/>
      <w:bookmarkStart w:id="254" w:name="_Toc75608836"/>
      <w:bookmarkStart w:id="255" w:name="_Toc75611762"/>
      <w:bookmarkStart w:id="256" w:name="_Toc75612608"/>
      <w:bookmarkStart w:id="257" w:name="_Toc75679763"/>
      <w:bookmarkStart w:id="258" w:name="_Toc75702371"/>
      <w:bookmarkStart w:id="259" w:name="_Toc80312244"/>
      <w:r w:rsidRPr="009C44A4">
        <w:t>Manejo agronómico del cultivo</w:t>
      </w:r>
      <w:bookmarkEnd w:id="249"/>
      <w:bookmarkEnd w:id="250"/>
      <w:bookmarkEnd w:id="251"/>
      <w:bookmarkEnd w:id="252"/>
      <w:bookmarkEnd w:id="253"/>
      <w:bookmarkEnd w:id="254"/>
      <w:bookmarkEnd w:id="255"/>
      <w:bookmarkEnd w:id="256"/>
      <w:bookmarkEnd w:id="257"/>
      <w:bookmarkEnd w:id="258"/>
      <w:bookmarkEnd w:id="259"/>
      <w:r w:rsidRPr="009C44A4">
        <w:t xml:space="preserve"> </w:t>
      </w:r>
    </w:p>
    <w:p w14:paraId="7F044113" w14:textId="4E1E8D6F" w:rsidR="0077235D" w:rsidRPr="009C44A4" w:rsidRDefault="0077235D" w:rsidP="009C44A4">
      <w:pPr>
        <w:pStyle w:val="Prrafodelista"/>
        <w:numPr>
          <w:ilvl w:val="3"/>
          <w:numId w:val="3"/>
        </w:numPr>
        <w:spacing w:before="360" w:after="360"/>
        <w:ind w:left="1077" w:hanging="1077"/>
        <w:rPr>
          <w:b/>
          <w:bCs/>
        </w:rPr>
      </w:pPr>
      <w:bookmarkStart w:id="260" w:name="_Toc35185810"/>
      <w:bookmarkStart w:id="261" w:name="_Toc35186303"/>
      <w:bookmarkStart w:id="262" w:name="_Toc72741062"/>
      <w:bookmarkStart w:id="263" w:name="_Toc72741860"/>
      <w:bookmarkStart w:id="264" w:name="_Toc72742658"/>
      <w:bookmarkStart w:id="265" w:name="_Toc72881410"/>
      <w:bookmarkStart w:id="266" w:name="_Toc72882492"/>
      <w:bookmarkStart w:id="267" w:name="_Toc75608837"/>
      <w:bookmarkStart w:id="268" w:name="_Toc75611763"/>
      <w:bookmarkStart w:id="269" w:name="_Toc75612609"/>
      <w:bookmarkStart w:id="270" w:name="_Toc75679764"/>
      <w:bookmarkStart w:id="271" w:name="_Toc75702372"/>
      <w:r w:rsidRPr="009C44A4">
        <w:rPr>
          <w:b/>
          <w:bCs/>
        </w:rPr>
        <w:t>Época de siembra</w:t>
      </w:r>
      <w:bookmarkEnd w:id="260"/>
      <w:bookmarkEnd w:id="261"/>
      <w:bookmarkEnd w:id="262"/>
      <w:bookmarkEnd w:id="263"/>
      <w:bookmarkEnd w:id="264"/>
      <w:bookmarkEnd w:id="265"/>
      <w:bookmarkEnd w:id="266"/>
      <w:bookmarkEnd w:id="267"/>
      <w:bookmarkEnd w:id="268"/>
      <w:bookmarkEnd w:id="269"/>
      <w:bookmarkEnd w:id="270"/>
      <w:bookmarkEnd w:id="271"/>
    </w:p>
    <w:p w14:paraId="61417DD2" w14:textId="5744C39B" w:rsidR="0077235D" w:rsidRPr="007E253F" w:rsidRDefault="0077235D" w:rsidP="000E2B3A">
      <w:pPr>
        <w:spacing w:after="0" w:line="360" w:lineRule="auto"/>
        <w:rPr>
          <w:rFonts w:cs="Times New Roman"/>
          <w:szCs w:val="24"/>
        </w:rPr>
      </w:pPr>
      <w:r w:rsidRPr="007E253F">
        <w:rPr>
          <w:rFonts w:cs="Times New Roman"/>
          <w:szCs w:val="24"/>
        </w:rPr>
        <w:t>“La época de siembra del Maíz, varía desde septiembre hasta mediados de noviembre, dependiendo de la localidad y de la disponibilidad de agua de riego o el régimen de lluvias”</w:t>
      </w:r>
      <w:sdt>
        <w:sdtPr>
          <w:rPr>
            <w:rFonts w:cs="Times New Roman"/>
            <w:szCs w:val="24"/>
          </w:rPr>
          <w:id w:val="1198204786"/>
          <w:citation/>
        </w:sdtPr>
        <w:sdtEndPr/>
        <w:sdtContent>
          <w:r w:rsidR="00EC679F" w:rsidRPr="007E253F">
            <w:rPr>
              <w:rFonts w:cs="Times New Roman"/>
              <w:szCs w:val="24"/>
            </w:rPr>
            <w:fldChar w:fldCharType="begin"/>
          </w:r>
          <w:r w:rsidR="00EC679F" w:rsidRPr="007E253F">
            <w:rPr>
              <w:rFonts w:cs="Times New Roman"/>
              <w:szCs w:val="24"/>
            </w:rPr>
            <w:instrText xml:space="preserve">CITATION Nor08 \l 12298 </w:instrText>
          </w:r>
          <w:r w:rsidR="00EC679F" w:rsidRPr="007E253F">
            <w:rPr>
              <w:rFonts w:cs="Times New Roman"/>
              <w:szCs w:val="24"/>
            </w:rPr>
            <w:fldChar w:fldCharType="separate"/>
          </w:r>
          <w:r w:rsidR="005106B9">
            <w:rPr>
              <w:rFonts w:cs="Times New Roman"/>
              <w:noProof/>
              <w:szCs w:val="24"/>
            </w:rPr>
            <w:t xml:space="preserve"> </w:t>
          </w:r>
          <w:r w:rsidR="005106B9" w:rsidRPr="005106B9">
            <w:rPr>
              <w:rFonts w:cs="Times New Roman"/>
              <w:noProof/>
              <w:szCs w:val="24"/>
            </w:rPr>
            <w:t>(Noroña, 2008)</w:t>
          </w:r>
          <w:r w:rsidR="00EC679F" w:rsidRPr="007E253F">
            <w:rPr>
              <w:rFonts w:cs="Times New Roman"/>
              <w:szCs w:val="24"/>
            </w:rPr>
            <w:fldChar w:fldCharType="end"/>
          </w:r>
        </w:sdtContent>
      </w:sdt>
    </w:p>
    <w:p w14:paraId="2884CE50" w14:textId="59109C05" w:rsidR="0077235D" w:rsidRPr="007E253F" w:rsidRDefault="0077235D" w:rsidP="000E2B3A">
      <w:pPr>
        <w:spacing w:after="0" w:line="360" w:lineRule="auto"/>
        <w:rPr>
          <w:rFonts w:cs="Times New Roman"/>
          <w:szCs w:val="24"/>
        </w:rPr>
      </w:pPr>
      <w:r w:rsidRPr="007E253F">
        <w:rPr>
          <w:rFonts w:cs="Times New Roman"/>
          <w:szCs w:val="24"/>
        </w:rPr>
        <w:lastRenderedPageBreak/>
        <w:t>En la sierra altoandina la fecha de la siembra varía desde septiembre hasta mediados de enero, dependiendo de la zona o localidad del cultivo y de la disponibilidad de agua de riego o de la cantidad de lluvias. Para la siembra se debe disponer de sem</w:t>
      </w:r>
      <w:r w:rsidR="00EC679F" w:rsidRPr="007E253F">
        <w:rPr>
          <w:rFonts w:cs="Times New Roman"/>
          <w:szCs w:val="24"/>
        </w:rPr>
        <w:t xml:space="preserve">illa de buena calidad 30 kg/ha </w:t>
      </w:r>
      <w:r w:rsidR="001F514F" w:rsidRPr="005106B9">
        <w:rPr>
          <w:rFonts w:cs="Times New Roman"/>
          <w:noProof/>
          <w:szCs w:val="24"/>
        </w:rPr>
        <w:t>(INIAP, s.f.)</w:t>
      </w:r>
      <w:r w:rsidR="00DA5875">
        <w:rPr>
          <w:rFonts w:cs="Times New Roman"/>
          <w:szCs w:val="24"/>
        </w:rPr>
        <w:t xml:space="preserve"> </w:t>
      </w:r>
      <w:r w:rsidR="00DA5875">
        <w:rPr>
          <w:rFonts w:cs="Times New Roman"/>
          <w:szCs w:val="24"/>
        </w:rPr>
        <w:tab/>
      </w:r>
    </w:p>
    <w:p w14:paraId="2D3BBACC" w14:textId="141FAF40" w:rsidR="0077235D" w:rsidRPr="009C44A4" w:rsidRDefault="0077235D" w:rsidP="009C44A4">
      <w:pPr>
        <w:pStyle w:val="Prrafodelista"/>
        <w:numPr>
          <w:ilvl w:val="3"/>
          <w:numId w:val="3"/>
        </w:numPr>
        <w:spacing w:before="360" w:after="360"/>
        <w:ind w:left="1077" w:hanging="1077"/>
        <w:rPr>
          <w:b/>
          <w:bCs/>
        </w:rPr>
      </w:pPr>
      <w:bookmarkStart w:id="272" w:name="_Toc35185811"/>
      <w:bookmarkStart w:id="273" w:name="_Toc35186304"/>
      <w:bookmarkStart w:id="274" w:name="_Toc72741063"/>
      <w:bookmarkStart w:id="275" w:name="_Toc72741861"/>
      <w:bookmarkStart w:id="276" w:name="_Toc72742659"/>
      <w:bookmarkStart w:id="277" w:name="_Toc72881411"/>
      <w:bookmarkStart w:id="278" w:name="_Toc72882493"/>
      <w:bookmarkStart w:id="279" w:name="_Toc75608838"/>
      <w:bookmarkStart w:id="280" w:name="_Toc75611764"/>
      <w:bookmarkStart w:id="281" w:name="_Toc75612610"/>
      <w:bookmarkStart w:id="282" w:name="_Toc75679765"/>
      <w:bookmarkStart w:id="283" w:name="_Toc75702373"/>
      <w:r w:rsidRPr="009C44A4">
        <w:rPr>
          <w:b/>
          <w:bCs/>
        </w:rPr>
        <w:t>Preparación del suelo</w:t>
      </w:r>
      <w:bookmarkEnd w:id="272"/>
      <w:bookmarkEnd w:id="273"/>
      <w:bookmarkEnd w:id="274"/>
      <w:bookmarkEnd w:id="275"/>
      <w:bookmarkEnd w:id="276"/>
      <w:bookmarkEnd w:id="277"/>
      <w:bookmarkEnd w:id="278"/>
      <w:bookmarkEnd w:id="279"/>
      <w:bookmarkEnd w:id="280"/>
      <w:bookmarkEnd w:id="281"/>
      <w:bookmarkEnd w:id="282"/>
      <w:bookmarkEnd w:id="283"/>
    </w:p>
    <w:p w14:paraId="6779DF27" w14:textId="559DA908" w:rsidR="00EC679F" w:rsidRPr="007E253F" w:rsidRDefault="0077235D" w:rsidP="000E2B3A">
      <w:pPr>
        <w:spacing w:after="0" w:line="360" w:lineRule="auto"/>
        <w:rPr>
          <w:rFonts w:cs="Times New Roman"/>
          <w:szCs w:val="24"/>
        </w:rPr>
      </w:pPr>
      <w:r w:rsidRPr="007E253F">
        <w:rPr>
          <w:rFonts w:cs="Times New Roman"/>
          <w:szCs w:val="24"/>
        </w:rPr>
        <w:t xml:space="preserve">Una adecuada preparación del suelo, ayuda a controlar malezas, enriquecer el suelo incorporando rastrojos, mejora la permeabilidad y permite una buena germinación de la semilla. La práctica de arar todos los años a igual profundidad produce compactación del suelo, justo por debajo de la profundidad a que se efectúa la arada; esto reduce en forma notable el crecimiento de las raíces y el movimiento del agua en el suelo </w:t>
      </w:r>
      <w:sdt>
        <w:sdtPr>
          <w:rPr>
            <w:rFonts w:cs="Times New Roman"/>
            <w:szCs w:val="24"/>
          </w:rPr>
          <w:id w:val="1915660348"/>
          <w:citation/>
        </w:sdtPr>
        <w:sdtEndPr/>
        <w:sdtContent>
          <w:r w:rsidR="00EC679F" w:rsidRPr="007E253F">
            <w:rPr>
              <w:rFonts w:cs="Times New Roman"/>
              <w:szCs w:val="24"/>
            </w:rPr>
            <w:fldChar w:fldCharType="begin"/>
          </w:r>
          <w:r w:rsidR="00EC679F" w:rsidRPr="007E253F">
            <w:rPr>
              <w:rFonts w:cs="Times New Roman"/>
              <w:szCs w:val="24"/>
            </w:rPr>
            <w:instrText xml:space="preserve">CITATION Pit02 \l 12298 </w:instrText>
          </w:r>
          <w:r w:rsidR="00EC679F" w:rsidRPr="007E253F">
            <w:rPr>
              <w:rFonts w:cs="Times New Roman"/>
              <w:szCs w:val="24"/>
            </w:rPr>
            <w:fldChar w:fldCharType="separate"/>
          </w:r>
          <w:r w:rsidR="005106B9" w:rsidRPr="005106B9">
            <w:rPr>
              <w:rFonts w:cs="Times New Roman"/>
              <w:noProof/>
              <w:szCs w:val="24"/>
            </w:rPr>
            <w:t>(Pitty, 2002)</w:t>
          </w:r>
          <w:r w:rsidR="00EC679F" w:rsidRPr="007E253F">
            <w:rPr>
              <w:rFonts w:cs="Times New Roman"/>
              <w:szCs w:val="24"/>
            </w:rPr>
            <w:fldChar w:fldCharType="end"/>
          </w:r>
        </w:sdtContent>
      </w:sdt>
    </w:p>
    <w:p w14:paraId="4972BA1A" w14:textId="77777777" w:rsidR="0077235D" w:rsidRPr="008534FF" w:rsidRDefault="0077235D" w:rsidP="008534FF">
      <w:pPr>
        <w:spacing w:before="360" w:after="360" w:line="360" w:lineRule="auto"/>
        <w:rPr>
          <w:rFonts w:cs="Times New Roman"/>
          <w:szCs w:val="24"/>
        </w:rPr>
      </w:pPr>
      <w:r w:rsidRPr="008534FF">
        <w:rPr>
          <w:rFonts w:cs="Times New Roman"/>
          <w:szCs w:val="24"/>
        </w:rPr>
        <w:t xml:space="preserve">La preparación se puede realizar por: </w:t>
      </w:r>
    </w:p>
    <w:p w14:paraId="515A569A" w14:textId="52C2AE55" w:rsidR="0077235D" w:rsidRPr="007E253F" w:rsidRDefault="0077235D" w:rsidP="008534FF">
      <w:pPr>
        <w:spacing w:before="360" w:after="360" w:line="360" w:lineRule="auto"/>
        <w:rPr>
          <w:rFonts w:cs="Times New Roman"/>
          <w:szCs w:val="24"/>
        </w:rPr>
      </w:pPr>
      <w:r w:rsidRPr="008534FF">
        <w:rPr>
          <w:rFonts w:cs="Times New Roman"/>
          <w:b/>
          <w:bCs/>
          <w:szCs w:val="24"/>
        </w:rPr>
        <w:t>Labranza convencional</w:t>
      </w:r>
      <w:r w:rsidRPr="008534FF">
        <w:rPr>
          <w:rFonts w:cs="Times New Roman"/>
          <w:bCs/>
          <w:szCs w:val="24"/>
        </w:rPr>
        <w:t>,</w:t>
      </w:r>
      <w:r w:rsidRPr="008534FF">
        <w:rPr>
          <w:rFonts w:cs="Times New Roman"/>
          <w:szCs w:val="24"/>
        </w:rPr>
        <w:t xml:space="preserve"> de acuerdo al terreno, oportunidad financiera y disponibilidad de maquinaria y equipo. Puede ser</w:t>
      </w:r>
      <w:r w:rsidR="006F24F1" w:rsidRPr="008534FF">
        <w:rPr>
          <w:rFonts w:cs="Times New Roman"/>
          <w:szCs w:val="24"/>
        </w:rPr>
        <w:t xml:space="preserve">: </w:t>
      </w:r>
    </w:p>
    <w:p w14:paraId="0BBFA26E" w14:textId="77777777" w:rsidR="0077235D" w:rsidRPr="007E253F" w:rsidRDefault="0077235D" w:rsidP="00FF490B">
      <w:pPr>
        <w:pStyle w:val="Prrafodelista"/>
        <w:numPr>
          <w:ilvl w:val="0"/>
          <w:numId w:val="4"/>
        </w:numPr>
        <w:spacing w:after="0" w:line="360" w:lineRule="auto"/>
        <w:ind w:left="357" w:hanging="357"/>
        <w:contextualSpacing w:val="0"/>
        <w:rPr>
          <w:rFonts w:cs="Times New Roman"/>
          <w:szCs w:val="24"/>
        </w:rPr>
      </w:pPr>
      <w:r w:rsidRPr="007E253F">
        <w:rPr>
          <w:rFonts w:cs="Times New Roman"/>
          <w:szCs w:val="24"/>
        </w:rPr>
        <w:t xml:space="preserve">Una arada, dos pases de rastra y siembra con maquinaria (alta tecnología) </w:t>
      </w:r>
    </w:p>
    <w:p w14:paraId="5ED532AC" w14:textId="77777777" w:rsidR="002A67E9" w:rsidRDefault="0077235D" w:rsidP="002A67E9">
      <w:pPr>
        <w:pStyle w:val="Prrafodelista"/>
        <w:numPr>
          <w:ilvl w:val="0"/>
          <w:numId w:val="4"/>
        </w:numPr>
        <w:spacing w:after="0" w:line="360" w:lineRule="auto"/>
        <w:ind w:left="357" w:hanging="357"/>
        <w:contextualSpacing w:val="0"/>
        <w:rPr>
          <w:rFonts w:cs="Times New Roman"/>
          <w:szCs w:val="24"/>
        </w:rPr>
      </w:pPr>
      <w:r w:rsidRPr="007E253F">
        <w:rPr>
          <w:rFonts w:cs="Times New Roman"/>
          <w:szCs w:val="24"/>
        </w:rPr>
        <w:t xml:space="preserve">Una arada, dos pases de rastra con tractor y surcado con bueyes (tecnología </w:t>
      </w:r>
      <w:r w:rsidRPr="008534FF">
        <w:rPr>
          <w:rFonts w:cs="Times New Roman"/>
          <w:szCs w:val="24"/>
        </w:rPr>
        <w:t>i</w:t>
      </w:r>
      <w:r w:rsidRPr="007E253F">
        <w:rPr>
          <w:rFonts w:cs="Times New Roman"/>
          <w:szCs w:val="24"/>
        </w:rPr>
        <w:t xml:space="preserve">ntermedia). </w:t>
      </w:r>
    </w:p>
    <w:p w14:paraId="5E00C57E" w14:textId="689CB4E9" w:rsidR="0077235D" w:rsidRPr="002A67E9" w:rsidRDefault="0077235D" w:rsidP="002A67E9">
      <w:pPr>
        <w:pStyle w:val="Prrafodelista"/>
        <w:numPr>
          <w:ilvl w:val="0"/>
          <w:numId w:val="4"/>
        </w:numPr>
        <w:spacing w:after="0" w:line="360" w:lineRule="auto"/>
        <w:ind w:left="357" w:hanging="357"/>
        <w:contextualSpacing w:val="0"/>
        <w:rPr>
          <w:rFonts w:cs="Times New Roman"/>
          <w:szCs w:val="24"/>
        </w:rPr>
      </w:pPr>
      <w:r w:rsidRPr="002A67E9">
        <w:rPr>
          <w:rFonts w:cs="Times New Roman"/>
          <w:szCs w:val="24"/>
        </w:rPr>
        <w:t>Una arada, 1 o 2 cruzadas y surcado con bueyes (tecnología de costo reducido) (</w:t>
      </w:r>
      <w:bookmarkStart w:id="284" w:name="_Hlk29782184"/>
      <w:r w:rsidRPr="002A67E9">
        <w:rPr>
          <w:rFonts w:cs="Times New Roman"/>
          <w:szCs w:val="24"/>
        </w:rPr>
        <w:t>Palomino, K. 2008</w:t>
      </w:r>
      <w:bookmarkEnd w:id="284"/>
      <w:r w:rsidRPr="002A67E9">
        <w:rPr>
          <w:rFonts w:cs="Times New Roman"/>
          <w:szCs w:val="24"/>
        </w:rPr>
        <w:t>).</w:t>
      </w:r>
    </w:p>
    <w:p w14:paraId="49C3E72A" w14:textId="77777777" w:rsidR="00330E8C" w:rsidRDefault="00330E8C" w:rsidP="000E2B3A">
      <w:pPr>
        <w:spacing w:after="0" w:line="360" w:lineRule="auto"/>
        <w:rPr>
          <w:rFonts w:cs="Times New Roman"/>
          <w:b/>
          <w:bCs/>
          <w:szCs w:val="24"/>
        </w:rPr>
      </w:pPr>
    </w:p>
    <w:p w14:paraId="095E9358" w14:textId="435625B8" w:rsidR="0077235D" w:rsidRDefault="0077235D" w:rsidP="000E2B3A">
      <w:pPr>
        <w:spacing w:after="0" w:line="360" w:lineRule="auto"/>
        <w:rPr>
          <w:rFonts w:cs="Times New Roman"/>
          <w:szCs w:val="24"/>
        </w:rPr>
      </w:pPr>
      <w:r w:rsidRPr="007E253F">
        <w:rPr>
          <w:rFonts w:cs="Times New Roman"/>
          <w:b/>
          <w:bCs/>
          <w:szCs w:val="24"/>
        </w:rPr>
        <w:t>Labranza Mínima o no convencional.</w:t>
      </w:r>
      <w:r w:rsidRPr="007E253F">
        <w:rPr>
          <w:rFonts w:cs="Times New Roman"/>
          <w:szCs w:val="24"/>
        </w:rPr>
        <w:t xml:space="preserve"> Se recomienda en aquellas regiones en donde la precipitación es baja o con mala distribución y en aquellos lugares donde no es posible utilizar maquinaria. La forma más rentable consiste en hacer una chapia y luego aplicar gramoxone (2l/ha) más gesaprin 80 (1,5 kg/ha) antes que el cultivo </w:t>
      </w:r>
      <w:r w:rsidRPr="001F514F">
        <w:rPr>
          <w:rFonts w:cs="Times New Roman"/>
          <w:szCs w:val="24"/>
        </w:rPr>
        <w:t>emerja. (Lafitte,</w:t>
      </w:r>
      <w:r w:rsidR="001F514F" w:rsidRPr="001F514F">
        <w:rPr>
          <w:rFonts w:cs="Times New Roman"/>
          <w:szCs w:val="24"/>
        </w:rPr>
        <w:t xml:space="preserve"> </w:t>
      </w:r>
      <w:r w:rsidRPr="001F514F">
        <w:rPr>
          <w:rFonts w:cs="Times New Roman"/>
          <w:szCs w:val="24"/>
        </w:rPr>
        <w:t>2002.Citado por: Yánez,</w:t>
      </w:r>
      <w:r w:rsidR="001F514F" w:rsidRPr="001F514F">
        <w:rPr>
          <w:rFonts w:cs="Times New Roman"/>
          <w:szCs w:val="24"/>
        </w:rPr>
        <w:t xml:space="preserve"> </w:t>
      </w:r>
      <w:r w:rsidRPr="001F514F">
        <w:rPr>
          <w:rFonts w:cs="Times New Roman"/>
          <w:szCs w:val="24"/>
        </w:rPr>
        <w:t>2007)</w:t>
      </w:r>
      <w:r w:rsidR="00F92103">
        <w:rPr>
          <w:rFonts w:cs="Times New Roman"/>
          <w:szCs w:val="24"/>
        </w:rPr>
        <w:t xml:space="preserve">  </w:t>
      </w:r>
    </w:p>
    <w:p w14:paraId="5AF1D597" w14:textId="77777777" w:rsidR="001F514F" w:rsidRDefault="001F514F" w:rsidP="000E2B3A">
      <w:pPr>
        <w:spacing w:after="0" w:line="360" w:lineRule="auto"/>
        <w:rPr>
          <w:rFonts w:cs="Times New Roman"/>
          <w:szCs w:val="24"/>
        </w:rPr>
      </w:pPr>
    </w:p>
    <w:p w14:paraId="70A767E2" w14:textId="3405DD22" w:rsidR="008534FF" w:rsidRDefault="008534FF" w:rsidP="000E2B3A">
      <w:pPr>
        <w:spacing w:after="0" w:line="360" w:lineRule="auto"/>
        <w:rPr>
          <w:rFonts w:cs="Times New Roman"/>
          <w:szCs w:val="24"/>
        </w:rPr>
      </w:pPr>
    </w:p>
    <w:p w14:paraId="0C4754F0" w14:textId="3D80C144" w:rsidR="0077235D" w:rsidRPr="009C44A4" w:rsidRDefault="0077235D" w:rsidP="009C44A4">
      <w:pPr>
        <w:pStyle w:val="Prrafodelista"/>
        <w:numPr>
          <w:ilvl w:val="3"/>
          <w:numId w:val="3"/>
        </w:numPr>
        <w:spacing w:before="360" w:after="360"/>
        <w:ind w:left="1077" w:hanging="1077"/>
        <w:rPr>
          <w:b/>
          <w:bCs/>
        </w:rPr>
      </w:pPr>
      <w:bookmarkStart w:id="285" w:name="_Toc35185812"/>
      <w:bookmarkStart w:id="286" w:name="_Toc35186305"/>
      <w:bookmarkStart w:id="287" w:name="_Toc72741064"/>
      <w:bookmarkStart w:id="288" w:name="_Toc72741862"/>
      <w:bookmarkStart w:id="289" w:name="_Toc72742660"/>
      <w:bookmarkStart w:id="290" w:name="_Toc72881412"/>
      <w:bookmarkStart w:id="291" w:name="_Toc72882494"/>
      <w:bookmarkStart w:id="292" w:name="_Toc75608839"/>
      <w:bookmarkStart w:id="293" w:name="_Toc75611765"/>
      <w:bookmarkStart w:id="294" w:name="_Toc75612611"/>
      <w:bookmarkStart w:id="295" w:name="_Toc75679766"/>
      <w:bookmarkStart w:id="296" w:name="_Toc75702374"/>
      <w:r w:rsidRPr="009C44A4">
        <w:rPr>
          <w:b/>
          <w:bCs/>
        </w:rPr>
        <w:lastRenderedPageBreak/>
        <w:t>Siembra</w:t>
      </w:r>
      <w:bookmarkEnd w:id="285"/>
      <w:bookmarkEnd w:id="286"/>
      <w:bookmarkEnd w:id="287"/>
      <w:bookmarkEnd w:id="288"/>
      <w:bookmarkEnd w:id="289"/>
      <w:bookmarkEnd w:id="290"/>
      <w:bookmarkEnd w:id="291"/>
      <w:bookmarkEnd w:id="292"/>
      <w:bookmarkEnd w:id="293"/>
      <w:bookmarkEnd w:id="294"/>
      <w:bookmarkEnd w:id="295"/>
      <w:bookmarkEnd w:id="296"/>
    </w:p>
    <w:p w14:paraId="708EAC09" w14:textId="77777777" w:rsidR="0051305B" w:rsidRDefault="0077235D" w:rsidP="00F92103">
      <w:pPr>
        <w:spacing w:before="360" w:after="360" w:line="360" w:lineRule="auto"/>
        <w:rPr>
          <w:rFonts w:cs="Times New Roman"/>
          <w:szCs w:val="24"/>
        </w:rPr>
      </w:pPr>
      <w:r w:rsidRPr="007E253F">
        <w:rPr>
          <w:rFonts w:cs="Times New Roman"/>
          <w:szCs w:val="24"/>
        </w:rPr>
        <w:t>Para la siembra se debe disponer de semilla de buena calidad, adquirida en sitios autorizados, en donde se siguen todos los procesos necesarios para la producción de semillas, para mantener su pureza genética y conservar las características agronómicas propias de la variedad. Se requiere de 30 kg/ha La siembra en unicultivo se puede realizar en surcos separados a 0.80 m se deposita tres semillas de maíz cada 0.50 m por cada sitio. Ralear cuando las plantas tengan 12 a 20 cm de altura. En siembras asociadas con fréjol los surcos deben realizarse a 1 m y sembrar tres semillas de maíz y dos d</w:t>
      </w:r>
      <w:r w:rsidR="003C21AF" w:rsidRPr="007E253F">
        <w:rPr>
          <w:rFonts w:cs="Times New Roman"/>
          <w:szCs w:val="24"/>
        </w:rPr>
        <w:t xml:space="preserve">e fréjol por sitio cada 0.80 m </w:t>
      </w:r>
      <w:bookmarkStart w:id="297" w:name="_Toc35185813"/>
      <w:bookmarkStart w:id="298" w:name="_Toc35186306"/>
      <w:bookmarkStart w:id="299" w:name="_Toc72741065"/>
      <w:bookmarkStart w:id="300" w:name="_Toc72741863"/>
      <w:bookmarkStart w:id="301" w:name="_Toc72742661"/>
      <w:bookmarkStart w:id="302" w:name="_Toc72881413"/>
      <w:bookmarkStart w:id="303" w:name="_Toc72882495"/>
      <w:bookmarkStart w:id="304" w:name="_Toc75608840"/>
      <w:bookmarkStart w:id="305" w:name="_Toc75611766"/>
      <w:bookmarkStart w:id="306" w:name="_Toc75612612"/>
      <w:bookmarkStart w:id="307" w:name="_Toc75679767"/>
      <w:bookmarkStart w:id="308" w:name="_Toc75702375"/>
      <w:r w:rsidR="008534FF" w:rsidRPr="007E253F">
        <w:rPr>
          <w:rFonts w:cs="Times New Roman"/>
          <w:szCs w:val="24"/>
        </w:rPr>
        <w:t>(Yánez, et, 2013)</w:t>
      </w:r>
    </w:p>
    <w:p w14:paraId="2CB1BB6E" w14:textId="409D6093" w:rsidR="0077235D" w:rsidRPr="0051305B" w:rsidRDefault="0077235D" w:rsidP="0051305B">
      <w:pPr>
        <w:pStyle w:val="Prrafodelista"/>
        <w:numPr>
          <w:ilvl w:val="0"/>
          <w:numId w:val="55"/>
        </w:numPr>
        <w:spacing w:before="360" w:after="360" w:line="360" w:lineRule="auto"/>
        <w:rPr>
          <w:b/>
          <w:bCs/>
        </w:rPr>
      </w:pPr>
      <w:r w:rsidRPr="0051305B">
        <w:rPr>
          <w:b/>
          <w:bCs/>
        </w:rPr>
        <w:t>Densidades de siembra</w:t>
      </w:r>
      <w:bookmarkEnd w:id="297"/>
      <w:bookmarkEnd w:id="298"/>
      <w:bookmarkEnd w:id="299"/>
      <w:bookmarkEnd w:id="300"/>
      <w:bookmarkEnd w:id="301"/>
      <w:bookmarkEnd w:id="302"/>
      <w:bookmarkEnd w:id="303"/>
      <w:bookmarkEnd w:id="304"/>
      <w:bookmarkEnd w:id="305"/>
      <w:bookmarkEnd w:id="306"/>
      <w:bookmarkEnd w:id="307"/>
      <w:bookmarkEnd w:id="308"/>
      <w:r w:rsidRPr="0051305B">
        <w:rPr>
          <w:b/>
          <w:bCs/>
        </w:rPr>
        <w:t xml:space="preserve"> </w:t>
      </w:r>
    </w:p>
    <w:p w14:paraId="39702F72" w14:textId="57AF5FD5" w:rsidR="0077235D" w:rsidRPr="007E253F" w:rsidRDefault="0077235D" w:rsidP="000E2B3A">
      <w:pPr>
        <w:spacing w:after="0" w:line="360" w:lineRule="auto"/>
        <w:rPr>
          <w:rFonts w:cs="Times New Roman"/>
          <w:szCs w:val="24"/>
        </w:rPr>
      </w:pPr>
      <w:r w:rsidRPr="007E253F">
        <w:rPr>
          <w:rFonts w:cs="Times New Roman"/>
          <w:szCs w:val="24"/>
        </w:rPr>
        <w:t xml:space="preserve">La densidad de población por unidad de área depende de varios factores. Entre los más importantes están los siguientes: fertilidad del suelo, humedad disponible, porcentaje de germinación y características agronómicas de la variedad. En zonas donde los suelos son fértiles y la lluvia es abundante, deberá sembrarse una mayor cantidad de semilla que en los medianamente pobres y con lluvias escasas y erráticas. Las variedades mejoradas soportan mayor densidad de población en comparación con las variedades criollas. Al sembrar con maquinaria es importante una buena calibración del equipo con la finalidad de obtener la población deseada. Además, el grano debe quedar a una profundidad de 5 cm para que tenga la suficiente humedad para germinar </w:t>
      </w:r>
      <w:sdt>
        <w:sdtPr>
          <w:rPr>
            <w:rFonts w:cs="Times New Roman"/>
            <w:szCs w:val="24"/>
          </w:rPr>
          <w:id w:val="-1961956838"/>
          <w:citation/>
        </w:sdtPr>
        <w:sdtEndPr/>
        <w:sdtContent>
          <w:r w:rsidR="003C21AF" w:rsidRPr="007E253F">
            <w:rPr>
              <w:rFonts w:cs="Times New Roman"/>
              <w:szCs w:val="24"/>
            </w:rPr>
            <w:fldChar w:fldCharType="begin"/>
          </w:r>
          <w:r w:rsidR="008A3AF1" w:rsidRPr="007E253F">
            <w:rPr>
              <w:rFonts w:cs="Times New Roman"/>
              <w:szCs w:val="24"/>
            </w:rPr>
            <w:instrText xml:space="preserve">CITATION Bri99 \l 12298 </w:instrText>
          </w:r>
          <w:r w:rsidR="003C21AF" w:rsidRPr="007E253F">
            <w:rPr>
              <w:rFonts w:cs="Times New Roman"/>
              <w:szCs w:val="24"/>
            </w:rPr>
            <w:fldChar w:fldCharType="separate"/>
          </w:r>
          <w:r w:rsidR="005106B9" w:rsidRPr="005106B9">
            <w:rPr>
              <w:rFonts w:cs="Times New Roman"/>
              <w:noProof/>
              <w:szCs w:val="24"/>
            </w:rPr>
            <w:t>(Brizuela, 2004)</w:t>
          </w:r>
          <w:r w:rsidR="003C21AF" w:rsidRPr="007E253F">
            <w:rPr>
              <w:rFonts w:cs="Times New Roman"/>
              <w:szCs w:val="24"/>
            </w:rPr>
            <w:fldChar w:fldCharType="end"/>
          </w:r>
        </w:sdtContent>
      </w:sdt>
    </w:p>
    <w:p w14:paraId="1FD90301" w14:textId="137BD18B" w:rsidR="0077235D" w:rsidRPr="007E253F" w:rsidRDefault="0077235D" w:rsidP="008534FF">
      <w:pPr>
        <w:spacing w:before="360" w:after="360" w:line="360" w:lineRule="auto"/>
        <w:rPr>
          <w:rFonts w:cs="Times New Roman"/>
          <w:szCs w:val="24"/>
        </w:rPr>
      </w:pPr>
      <w:r w:rsidRPr="008534FF">
        <w:rPr>
          <w:rFonts w:cs="Times New Roman"/>
          <w:szCs w:val="24"/>
        </w:rPr>
        <w:t>La cantidad de semilla en la variedad INIAP-111 Guagal Mejorado requerida para la siembra es de 25 a 30 Kg/ha</w:t>
      </w:r>
      <w:sdt>
        <w:sdtPr>
          <w:rPr>
            <w:rFonts w:cs="Times New Roman"/>
            <w:szCs w:val="24"/>
          </w:rPr>
          <w:id w:val="613106323"/>
          <w:citation/>
        </w:sdtPr>
        <w:sdtEndPr/>
        <w:sdtContent>
          <w:r w:rsidR="00AF4FA9" w:rsidRPr="008534FF">
            <w:rPr>
              <w:rFonts w:cs="Times New Roman"/>
              <w:szCs w:val="24"/>
            </w:rPr>
            <w:fldChar w:fldCharType="begin"/>
          </w:r>
          <w:r w:rsidR="001B453E" w:rsidRPr="008534FF">
            <w:rPr>
              <w:rFonts w:cs="Times New Roman"/>
              <w:szCs w:val="24"/>
            </w:rPr>
            <w:instrText xml:space="preserve">CITATION Mon03 \l 12298 </w:instrText>
          </w:r>
          <w:r w:rsidR="00AF4FA9" w:rsidRPr="008534FF">
            <w:rPr>
              <w:rFonts w:cs="Times New Roman"/>
              <w:szCs w:val="24"/>
            </w:rPr>
            <w:fldChar w:fldCharType="separate"/>
          </w:r>
          <w:r w:rsidR="005106B9">
            <w:rPr>
              <w:rFonts w:cs="Times New Roman"/>
              <w:noProof/>
              <w:szCs w:val="24"/>
            </w:rPr>
            <w:t xml:space="preserve"> </w:t>
          </w:r>
          <w:r w:rsidR="005106B9" w:rsidRPr="005106B9">
            <w:rPr>
              <w:rFonts w:cs="Times New Roman"/>
              <w:noProof/>
              <w:szCs w:val="24"/>
            </w:rPr>
            <w:t>(Monar, 2003)</w:t>
          </w:r>
          <w:r w:rsidR="00AF4FA9" w:rsidRPr="008534FF">
            <w:rPr>
              <w:rFonts w:cs="Times New Roman"/>
              <w:szCs w:val="24"/>
            </w:rPr>
            <w:fldChar w:fldCharType="end"/>
          </w:r>
        </w:sdtContent>
      </w:sdt>
      <w:r w:rsidR="006F24F1">
        <w:rPr>
          <w:rFonts w:cs="Times New Roman"/>
          <w:szCs w:val="24"/>
        </w:rPr>
        <w:t xml:space="preserve"> </w:t>
      </w:r>
    </w:p>
    <w:p w14:paraId="502071D1" w14:textId="1CBF5B58" w:rsidR="0077235D" w:rsidRPr="009C44A4" w:rsidRDefault="0077235D" w:rsidP="00135DE8">
      <w:pPr>
        <w:pStyle w:val="Prrafodelista"/>
        <w:numPr>
          <w:ilvl w:val="3"/>
          <w:numId w:val="41"/>
        </w:numPr>
        <w:spacing w:before="360" w:after="360"/>
        <w:ind w:left="1077" w:hanging="1077"/>
        <w:rPr>
          <w:b/>
          <w:bCs/>
        </w:rPr>
      </w:pPr>
      <w:bookmarkStart w:id="309" w:name="_Toc35185814"/>
      <w:bookmarkStart w:id="310" w:name="_Toc35186307"/>
      <w:bookmarkStart w:id="311" w:name="_Toc72741066"/>
      <w:bookmarkStart w:id="312" w:name="_Toc72741864"/>
      <w:bookmarkStart w:id="313" w:name="_Toc72742662"/>
      <w:bookmarkStart w:id="314" w:name="_Toc72881414"/>
      <w:bookmarkStart w:id="315" w:name="_Toc72882496"/>
      <w:bookmarkStart w:id="316" w:name="_Toc75608841"/>
      <w:bookmarkStart w:id="317" w:name="_Toc75611767"/>
      <w:bookmarkStart w:id="318" w:name="_Toc75612613"/>
      <w:bookmarkStart w:id="319" w:name="_Toc75679768"/>
      <w:bookmarkStart w:id="320" w:name="_Toc75702376"/>
      <w:r w:rsidRPr="009C44A4">
        <w:rPr>
          <w:b/>
          <w:bCs/>
        </w:rPr>
        <w:t>Fertilización</w:t>
      </w:r>
      <w:bookmarkEnd w:id="309"/>
      <w:bookmarkEnd w:id="310"/>
      <w:bookmarkEnd w:id="311"/>
      <w:bookmarkEnd w:id="312"/>
      <w:bookmarkEnd w:id="313"/>
      <w:bookmarkEnd w:id="314"/>
      <w:bookmarkEnd w:id="315"/>
      <w:bookmarkEnd w:id="316"/>
      <w:bookmarkEnd w:id="317"/>
      <w:bookmarkEnd w:id="318"/>
      <w:bookmarkEnd w:id="319"/>
      <w:bookmarkEnd w:id="320"/>
    </w:p>
    <w:p w14:paraId="07BB30E7" w14:textId="44D4B5F4" w:rsidR="0077235D" w:rsidRPr="007E253F" w:rsidRDefault="0077235D" w:rsidP="000E2B3A">
      <w:pPr>
        <w:spacing w:after="0" w:line="360" w:lineRule="auto"/>
        <w:rPr>
          <w:rFonts w:cs="Times New Roman"/>
          <w:szCs w:val="24"/>
        </w:rPr>
      </w:pPr>
      <w:r w:rsidRPr="007E253F">
        <w:rPr>
          <w:rFonts w:cs="Times New Roman"/>
          <w:szCs w:val="24"/>
        </w:rPr>
        <w:t>Para una adecuada fertilización es necesario realizar un análisis químico del suelo.  Para suelos bajos en nitrógeno (menos de 25 ppm) y de fósforo (menos de 10 ppm), se sugiere aplicar al menos una dosis de 80 kg/ha de N y 90 kg/ha de P</w:t>
      </w:r>
      <w:r w:rsidRPr="007E253F">
        <w:rPr>
          <w:rFonts w:cs="Times New Roman"/>
          <w:szCs w:val="24"/>
          <w:vertAlign w:val="subscript"/>
        </w:rPr>
        <w:t>2</w:t>
      </w:r>
      <w:r w:rsidRPr="007E253F">
        <w:rPr>
          <w:rFonts w:cs="Times New Roman"/>
          <w:szCs w:val="24"/>
        </w:rPr>
        <w:t>O</w:t>
      </w:r>
      <w:r w:rsidRPr="007E253F">
        <w:rPr>
          <w:rFonts w:cs="Times New Roman"/>
          <w:szCs w:val="24"/>
          <w:vertAlign w:val="subscript"/>
        </w:rPr>
        <w:t>5</w:t>
      </w:r>
      <w:r w:rsidRPr="007E253F">
        <w:rPr>
          <w:rFonts w:cs="Times New Roman"/>
          <w:szCs w:val="24"/>
        </w:rPr>
        <w:t xml:space="preserve">, la cual se puede alcanzar con la aplicación de cuatro sacos de 45 kg de 18-46-00 a la </w:t>
      </w:r>
      <w:r w:rsidRPr="007E253F">
        <w:rPr>
          <w:rFonts w:cs="Times New Roman"/>
          <w:szCs w:val="24"/>
        </w:rPr>
        <w:lastRenderedPageBreak/>
        <w:t xml:space="preserve">siembra y dos sacos de urea al aporque (45 días después de la siembra) </w:t>
      </w:r>
      <w:r w:rsidR="001B453E" w:rsidRPr="0064026A">
        <w:rPr>
          <w:rFonts w:cs="Times New Roman"/>
          <w:noProof/>
          <w:szCs w:val="24"/>
        </w:rPr>
        <w:t>(Yánez, 2000)</w:t>
      </w:r>
    </w:p>
    <w:p w14:paraId="1417643F" w14:textId="28D89987" w:rsidR="0077235D" w:rsidRPr="006F24F1" w:rsidRDefault="0077235D" w:rsidP="008534FF">
      <w:pPr>
        <w:spacing w:before="360" w:after="360" w:line="360" w:lineRule="auto"/>
        <w:rPr>
          <w:rFonts w:cs="Times New Roman"/>
          <w:color w:val="FF0000"/>
          <w:szCs w:val="24"/>
        </w:rPr>
      </w:pPr>
      <w:r w:rsidRPr="008534FF">
        <w:rPr>
          <w:rFonts w:cs="Times New Roman"/>
          <w:szCs w:val="24"/>
        </w:rPr>
        <w:t>Las extracciones medias del cultivo de los principales macro elementos N-P-K por tonelada métrica son: 25kg de N; 11kg de P2O5 y 23 kg de K2O, por cada 1000 kg de producción esperada</w:t>
      </w:r>
      <w:r w:rsidR="001B453E" w:rsidRPr="008534FF">
        <w:rPr>
          <w:rFonts w:cs="Times New Roman"/>
          <w:szCs w:val="24"/>
        </w:rPr>
        <w:t xml:space="preserve">. </w:t>
      </w:r>
      <w:r w:rsidRPr="008534FF">
        <w:rPr>
          <w:rFonts w:cs="Times New Roman"/>
          <w:szCs w:val="24"/>
        </w:rPr>
        <w:t>El cultivo de maíz es muy exigente para su crecimiento y desarrollo, requiere de nitrógeno, fósforo, potasio, azufre, magnesio, calcio y entre otros. Los suelos maiceros de la provincia de Bolívar, debido a su mal uso y manejo, cultivos extensivos, monocultivo, son pobres en su contenido de nitrógeno y fósforo</w:t>
      </w:r>
      <w:r w:rsidR="001B453E" w:rsidRPr="008534FF">
        <w:rPr>
          <w:rFonts w:cs="Times New Roman"/>
          <w:noProof/>
          <w:szCs w:val="24"/>
        </w:rPr>
        <w:t xml:space="preserve"> (Monar, 2000)</w:t>
      </w:r>
      <w:r w:rsidR="006F24F1" w:rsidRPr="008534FF">
        <w:rPr>
          <w:rFonts w:cs="Times New Roman"/>
          <w:noProof/>
          <w:szCs w:val="24"/>
        </w:rPr>
        <w:t xml:space="preserve">  </w:t>
      </w:r>
    </w:p>
    <w:p w14:paraId="668C2CF8" w14:textId="3B3E7A0C" w:rsidR="0077235D" w:rsidRPr="009C44A4" w:rsidRDefault="0077235D" w:rsidP="00135DE8">
      <w:pPr>
        <w:pStyle w:val="Prrafodelista"/>
        <w:numPr>
          <w:ilvl w:val="3"/>
          <w:numId w:val="41"/>
        </w:numPr>
        <w:spacing w:before="360" w:after="360"/>
        <w:ind w:left="1077" w:hanging="1077"/>
        <w:rPr>
          <w:b/>
          <w:bCs/>
        </w:rPr>
      </w:pPr>
      <w:bookmarkStart w:id="321" w:name="_Toc35185815"/>
      <w:bookmarkStart w:id="322" w:name="_Toc35186308"/>
      <w:bookmarkStart w:id="323" w:name="_Toc72741067"/>
      <w:bookmarkStart w:id="324" w:name="_Toc72741865"/>
      <w:bookmarkStart w:id="325" w:name="_Toc72742663"/>
      <w:bookmarkStart w:id="326" w:name="_Toc72881415"/>
      <w:bookmarkStart w:id="327" w:name="_Toc72882497"/>
      <w:bookmarkStart w:id="328" w:name="_Toc75608842"/>
      <w:bookmarkStart w:id="329" w:name="_Toc75611768"/>
      <w:bookmarkStart w:id="330" w:name="_Toc75612614"/>
      <w:bookmarkStart w:id="331" w:name="_Toc75679769"/>
      <w:bookmarkStart w:id="332" w:name="_Toc75702377"/>
      <w:r w:rsidRPr="009C44A4">
        <w:rPr>
          <w:b/>
          <w:bCs/>
        </w:rPr>
        <w:t xml:space="preserve">Control de </w:t>
      </w:r>
      <w:r w:rsidR="006F24F1">
        <w:rPr>
          <w:b/>
          <w:bCs/>
        </w:rPr>
        <w:t>m</w:t>
      </w:r>
      <w:r w:rsidRPr="009C44A4">
        <w:rPr>
          <w:b/>
          <w:bCs/>
        </w:rPr>
        <w:t>alezas</w:t>
      </w:r>
      <w:bookmarkEnd w:id="321"/>
      <w:bookmarkEnd w:id="322"/>
      <w:bookmarkEnd w:id="323"/>
      <w:bookmarkEnd w:id="324"/>
      <w:bookmarkEnd w:id="325"/>
      <w:bookmarkEnd w:id="326"/>
      <w:bookmarkEnd w:id="327"/>
      <w:bookmarkEnd w:id="328"/>
      <w:bookmarkEnd w:id="329"/>
      <w:bookmarkEnd w:id="330"/>
      <w:bookmarkEnd w:id="331"/>
      <w:bookmarkEnd w:id="332"/>
      <w:r w:rsidRPr="009C44A4">
        <w:rPr>
          <w:b/>
          <w:bCs/>
        </w:rPr>
        <w:t xml:space="preserve"> </w:t>
      </w:r>
    </w:p>
    <w:p w14:paraId="2AA60148" w14:textId="7F59FC93" w:rsidR="0077235D" w:rsidRPr="007E253F" w:rsidRDefault="0077235D" w:rsidP="000E2B3A">
      <w:pPr>
        <w:spacing w:after="0" w:line="360" w:lineRule="auto"/>
        <w:rPr>
          <w:rFonts w:cs="Times New Roman"/>
          <w:szCs w:val="24"/>
        </w:rPr>
      </w:pPr>
      <w:r w:rsidRPr="007E253F">
        <w:rPr>
          <w:rFonts w:cs="Times New Roman"/>
          <w:szCs w:val="24"/>
        </w:rPr>
        <w:t xml:space="preserve">Los herbicidas deben aplicarse inmediatamente después de la siembra, sobre suelo húmedo. En caso de no aplicarse herbicidas, se debe realizar una o dos deshierbas con yunta o a mano, de acuerdo a la incidencia de malezas (Yánez, C. et. al. 2003). Si existe una alta presencia de malezas se recomienda aplicar herbicidas selectivos a base de Atrazina en dosis de 1,6 a 2,0 Kg/ha de producto comercial, en 400 litros de agua </w:t>
      </w:r>
      <w:sdt>
        <w:sdtPr>
          <w:rPr>
            <w:rFonts w:cs="Times New Roman"/>
            <w:szCs w:val="24"/>
          </w:rPr>
          <w:id w:val="-802772395"/>
          <w:citation/>
        </w:sdtPr>
        <w:sdtEndPr/>
        <w:sdtContent>
          <w:r w:rsidR="003C21AF" w:rsidRPr="007E253F">
            <w:rPr>
              <w:rFonts w:cs="Times New Roman"/>
              <w:szCs w:val="24"/>
            </w:rPr>
            <w:fldChar w:fldCharType="begin"/>
          </w:r>
          <w:r w:rsidR="003C21AF" w:rsidRPr="007E253F">
            <w:rPr>
              <w:rFonts w:cs="Times New Roman"/>
              <w:szCs w:val="24"/>
            </w:rPr>
            <w:instrText xml:space="preserve">CITATION Cav02 \l 12298 </w:instrText>
          </w:r>
          <w:r w:rsidR="003C21AF" w:rsidRPr="007E253F">
            <w:rPr>
              <w:rFonts w:cs="Times New Roman"/>
              <w:szCs w:val="24"/>
            </w:rPr>
            <w:fldChar w:fldCharType="separate"/>
          </w:r>
          <w:r w:rsidR="005106B9" w:rsidRPr="005106B9">
            <w:rPr>
              <w:rFonts w:cs="Times New Roman"/>
              <w:noProof/>
              <w:szCs w:val="24"/>
            </w:rPr>
            <w:t>(Caviedes, 2002)</w:t>
          </w:r>
          <w:r w:rsidR="003C21AF" w:rsidRPr="007E253F">
            <w:rPr>
              <w:rFonts w:cs="Times New Roman"/>
              <w:szCs w:val="24"/>
            </w:rPr>
            <w:fldChar w:fldCharType="end"/>
          </w:r>
        </w:sdtContent>
      </w:sdt>
    </w:p>
    <w:p w14:paraId="2940DB64" w14:textId="60CB1EF3" w:rsidR="00342A45" w:rsidRDefault="0077235D" w:rsidP="00135DE8">
      <w:pPr>
        <w:pStyle w:val="Ttulo3"/>
        <w:numPr>
          <w:ilvl w:val="2"/>
          <w:numId w:val="41"/>
        </w:numPr>
        <w:spacing w:before="360" w:after="360"/>
      </w:pPr>
      <w:bookmarkStart w:id="333" w:name="_Toc72741068"/>
      <w:bookmarkStart w:id="334" w:name="_Toc72741866"/>
      <w:bookmarkStart w:id="335" w:name="_Toc72742664"/>
      <w:bookmarkStart w:id="336" w:name="_Toc72881416"/>
      <w:bookmarkStart w:id="337" w:name="_Toc72882498"/>
      <w:bookmarkStart w:id="338" w:name="_Toc75608843"/>
      <w:bookmarkStart w:id="339" w:name="_Toc75611769"/>
      <w:bookmarkStart w:id="340" w:name="_Toc75612615"/>
      <w:bookmarkStart w:id="341" w:name="_Toc75679770"/>
      <w:bookmarkStart w:id="342" w:name="_Toc75702378"/>
      <w:bookmarkStart w:id="343" w:name="_Toc80312245"/>
      <w:r w:rsidRPr="007E253F">
        <w:t>Plagas</w:t>
      </w:r>
      <w:bookmarkEnd w:id="333"/>
      <w:bookmarkEnd w:id="334"/>
      <w:bookmarkEnd w:id="335"/>
      <w:bookmarkEnd w:id="336"/>
      <w:bookmarkEnd w:id="337"/>
      <w:bookmarkEnd w:id="338"/>
      <w:bookmarkEnd w:id="339"/>
      <w:bookmarkEnd w:id="340"/>
      <w:bookmarkEnd w:id="341"/>
      <w:bookmarkEnd w:id="342"/>
      <w:bookmarkEnd w:id="343"/>
      <w:r w:rsidRPr="007E253F">
        <w:t xml:space="preserve"> </w:t>
      </w:r>
    </w:p>
    <w:p w14:paraId="3CB896EB" w14:textId="6E2F2572" w:rsidR="0077235D" w:rsidRPr="00342A45" w:rsidRDefault="0077235D" w:rsidP="00135DE8">
      <w:pPr>
        <w:pStyle w:val="Sinespaciado"/>
        <w:numPr>
          <w:ilvl w:val="3"/>
          <w:numId w:val="41"/>
        </w:numPr>
        <w:spacing w:before="360" w:after="360"/>
        <w:ind w:left="1077" w:hanging="1077"/>
        <w:rPr>
          <w:rFonts w:ascii="Times New Roman" w:hAnsi="Times New Roman" w:cs="Times New Roman"/>
          <w:b/>
          <w:bCs/>
          <w:sz w:val="24"/>
          <w:szCs w:val="24"/>
        </w:rPr>
      </w:pPr>
      <w:r w:rsidRPr="00D44506">
        <w:rPr>
          <w:rFonts w:ascii="Times New Roman" w:hAnsi="Times New Roman" w:cs="Times New Roman"/>
          <w:b/>
          <w:bCs/>
          <w:sz w:val="24"/>
          <w:szCs w:val="24"/>
        </w:rPr>
        <w:t>Gusano trozador (Agrotis ípsilon)</w:t>
      </w:r>
      <w:r w:rsidR="00DB02D7">
        <w:rPr>
          <w:rFonts w:ascii="Times New Roman" w:hAnsi="Times New Roman" w:cs="Times New Roman"/>
          <w:b/>
          <w:bCs/>
          <w:sz w:val="24"/>
          <w:szCs w:val="24"/>
        </w:rPr>
        <w:t xml:space="preserve"> </w:t>
      </w:r>
    </w:p>
    <w:p w14:paraId="128489B5" w14:textId="704C3CBA" w:rsidR="00342A45"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 xml:space="preserve">Estos gusanos son una plaga secundaria, aunque pueden convertirse en un problema regional durante periodos secos. Los gusanos son de color café oscuro con líneas oscuras a lo largo del cuerpo y salen del suelo desplazándose por la noche para alimentarse trozando la base del tallo, por lo que las aplicaciones para su control se recomiendan hacerla por la tarde </w:t>
      </w:r>
      <w:sdt>
        <w:sdtPr>
          <w:rPr>
            <w:rFonts w:cs="Times New Roman"/>
            <w:szCs w:val="24"/>
          </w:rPr>
          <w:id w:val="1013182000"/>
          <w:citation/>
        </w:sdtPr>
        <w:sdtEndPr/>
        <w:sdtContent>
          <w:r w:rsidR="00D33FBB" w:rsidRPr="007E253F">
            <w:rPr>
              <w:rFonts w:cs="Times New Roman"/>
              <w:szCs w:val="24"/>
            </w:rPr>
            <w:fldChar w:fldCharType="begin"/>
          </w:r>
          <w:r w:rsidR="00D33FBB" w:rsidRPr="007E253F">
            <w:rPr>
              <w:rFonts w:cs="Times New Roman"/>
              <w:szCs w:val="24"/>
            </w:rPr>
            <w:instrText xml:space="preserve"> CITATION Ces07 \l 12298 </w:instrText>
          </w:r>
          <w:r w:rsidR="00D33FBB" w:rsidRPr="007E253F">
            <w:rPr>
              <w:rFonts w:cs="Times New Roman"/>
              <w:szCs w:val="24"/>
            </w:rPr>
            <w:fldChar w:fldCharType="separate"/>
          </w:r>
          <w:r w:rsidR="005106B9" w:rsidRPr="005106B9">
            <w:rPr>
              <w:rFonts w:cs="Times New Roman"/>
              <w:noProof/>
              <w:szCs w:val="24"/>
            </w:rPr>
            <w:t>(Cesaveg, 2007)</w:t>
          </w:r>
          <w:r w:rsidR="00D33FBB" w:rsidRPr="007E253F">
            <w:rPr>
              <w:rFonts w:cs="Times New Roman"/>
              <w:szCs w:val="24"/>
            </w:rPr>
            <w:fldChar w:fldCharType="end"/>
          </w:r>
        </w:sdtContent>
      </w:sdt>
    </w:p>
    <w:p w14:paraId="489BB95E" w14:textId="092AC3B6" w:rsidR="0077235D" w:rsidRPr="00342A45" w:rsidRDefault="0077235D" w:rsidP="00135DE8">
      <w:pPr>
        <w:pStyle w:val="Prrafodelista"/>
        <w:numPr>
          <w:ilvl w:val="3"/>
          <w:numId w:val="41"/>
        </w:numPr>
        <w:spacing w:before="360" w:after="360"/>
        <w:ind w:left="1077" w:hanging="1077"/>
        <w:rPr>
          <w:b/>
          <w:bCs/>
        </w:rPr>
      </w:pPr>
      <w:r w:rsidRPr="00342A45">
        <w:rPr>
          <w:b/>
          <w:bCs/>
        </w:rPr>
        <w:t>Gusano cogollero (Spodoptera frugiperda)</w:t>
      </w:r>
    </w:p>
    <w:p w14:paraId="192315B4" w14:textId="064CA5DD" w:rsidR="0077235D" w:rsidRPr="007E253F" w:rsidRDefault="0077235D" w:rsidP="000E2B3A">
      <w:pPr>
        <w:autoSpaceDE w:val="0"/>
        <w:autoSpaceDN w:val="0"/>
        <w:adjustRightInd w:val="0"/>
        <w:spacing w:after="0" w:line="360" w:lineRule="auto"/>
        <w:rPr>
          <w:rFonts w:cs="Times New Roman"/>
          <w:bCs/>
          <w:szCs w:val="24"/>
        </w:rPr>
      </w:pPr>
      <w:r w:rsidRPr="007E253F">
        <w:rPr>
          <w:rFonts w:cs="Times New Roman"/>
          <w:bCs/>
          <w:szCs w:val="24"/>
        </w:rPr>
        <w:t xml:space="preserve">Se trata de una plaga muy perjudicial en el cultivo del maíz. Sus gusanos o larvas taladran los cogollos y conforme estos crecen y se abren muestran muy </w:t>
      </w:r>
      <w:r w:rsidRPr="007E253F">
        <w:rPr>
          <w:rFonts w:cs="Times New Roman"/>
          <w:bCs/>
          <w:szCs w:val="24"/>
        </w:rPr>
        <w:lastRenderedPageBreak/>
        <w:t xml:space="preserve">notoriamente sus perfecciones. El gusano mide alrededor de 4 cm. Los adultos de esta plaga son lepidópteros o polillas que aparecen con la presencia de los cultivos tiernos de maíz. Depositan los huevos en los cogollos y conforme van penetrando o eclosionando van apareciendo los pequeños gusanitos, los cuales van alimentándose ávidamente de las hojas tiernas obteniéndose con ello un muy rápido crecimiento que les incrementa progresivamente las necesidades de alimentación </w:t>
      </w:r>
      <w:sdt>
        <w:sdtPr>
          <w:rPr>
            <w:rFonts w:cs="Times New Roman"/>
            <w:bCs/>
            <w:szCs w:val="24"/>
          </w:rPr>
          <w:id w:val="417991743"/>
          <w:citation/>
        </w:sdtPr>
        <w:sdtEndPr/>
        <w:sdtContent>
          <w:r w:rsidR="00BD4EA8" w:rsidRPr="007E253F">
            <w:rPr>
              <w:rFonts w:cs="Times New Roman"/>
              <w:bCs/>
              <w:szCs w:val="24"/>
            </w:rPr>
            <w:fldChar w:fldCharType="begin"/>
          </w:r>
          <w:r w:rsidR="00BD4EA8" w:rsidRPr="007E253F">
            <w:rPr>
              <w:rFonts w:cs="Times New Roman"/>
              <w:bCs/>
              <w:szCs w:val="24"/>
            </w:rPr>
            <w:instrText xml:space="preserve">CITATION Fab12 \l 12298 </w:instrText>
          </w:r>
          <w:r w:rsidR="00BD4EA8" w:rsidRPr="007E253F">
            <w:rPr>
              <w:rFonts w:cs="Times New Roman"/>
              <w:bCs/>
              <w:szCs w:val="24"/>
            </w:rPr>
            <w:fldChar w:fldCharType="separate"/>
          </w:r>
          <w:r w:rsidR="005106B9" w:rsidRPr="005106B9">
            <w:rPr>
              <w:rFonts w:cs="Times New Roman"/>
              <w:noProof/>
              <w:szCs w:val="24"/>
            </w:rPr>
            <w:t>(Fabara, 2012)</w:t>
          </w:r>
          <w:r w:rsidR="00BD4EA8" w:rsidRPr="007E253F">
            <w:rPr>
              <w:rFonts w:cs="Times New Roman"/>
              <w:bCs/>
              <w:szCs w:val="24"/>
            </w:rPr>
            <w:fldChar w:fldCharType="end"/>
          </w:r>
        </w:sdtContent>
      </w:sdt>
    </w:p>
    <w:p w14:paraId="2E61FED3" w14:textId="64DE5D55" w:rsidR="0077235D" w:rsidRPr="00342A45" w:rsidRDefault="0077235D" w:rsidP="00135DE8">
      <w:pPr>
        <w:pStyle w:val="Prrafodelista"/>
        <w:numPr>
          <w:ilvl w:val="3"/>
          <w:numId w:val="41"/>
        </w:numPr>
        <w:spacing w:before="360" w:after="360"/>
        <w:ind w:left="1077" w:hanging="1077"/>
        <w:rPr>
          <w:b/>
          <w:bCs/>
        </w:rPr>
      </w:pPr>
      <w:r w:rsidRPr="00342A45">
        <w:rPr>
          <w:b/>
          <w:bCs/>
        </w:rPr>
        <w:t>Gusano de la mazorca (</w:t>
      </w:r>
      <w:r w:rsidR="00D44506">
        <w:rPr>
          <w:b/>
          <w:bCs/>
        </w:rPr>
        <w:t xml:space="preserve"> Heliothis zea</w:t>
      </w:r>
      <w:r w:rsidRPr="00342A45">
        <w:rPr>
          <w:b/>
          <w:bCs/>
        </w:rPr>
        <w:t xml:space="preserve">) </w:t>
      </w:r>
    </w:p>
    <w:p w14:paraId="0079B342" w14:textId="6CECE9BE" w:rsidR="0077235D" w:rsidRPr="007E253F" w:rsidRDefault="0077235D" w:rsidP="000E2B3A">
      <w:pPr>
        <w:autoSpaceDE w:val="0"/>
        <w:autoSpaceDN w:val="0"/>
        <w:adjustRightInd w:val="0"/>
        <w:spacing w:after="0" w:line="360" w:lineRule="auto"/>
        <w:rPr>
          <w:rFonts w:cs="Times New Roman"/>
          <w:bCs/>
          <w:szCs w:val="24"/>
        </w:rPr>
      </w:pPr>
      <w:r w:rsidRPr="007E253F">
        <w:rPr>
          <w:rFonts w:cs="Times New Roman"/>
          <w:bCs/>
          <w:szCs w:val="24"/>
        </w:rPr>
        <w:t xml:space="preserve">Las larvas y adultos se alimentan de una gran variedad de plantas, incluyendo los vegetales como el maíz dulce, papa y tomate; cultivos tales como maíz de campo de campo, sorgo y caña de azúcar, y cultivos de frutas como plátano, guayaba y naranja. Sin embargo, el maíz dulce y de campo de maíz son muy preferido, y los únicos cultivos que podrían producirse graves daños </w:t>
      </w:r>
      <w:sdt>
        <w:sdtPr>
          <w:rPr>
            <w:rFonts w:cs="Times New Roman"/>
            <w:bCs/>
            <w:szCs w:val="24"/>
          </w:rPr>
          <w:id w:val="-641737302"/>
          <w:citation/>
        </w:sdtPr>
        <w:sdtEndPr/>
        <w:sdtContent>
          <w:r w:rsidR="00BD4EA8" w:rsidRPr="007E253F">
            <w:rPr>
              <w:rFonts w:cs="Times New Roman"/>
              <w:bCs/>
              <w:szCs w:val="24"/>
            </w:rPr>
            <w:fldChar w:fldCharType="begin"/>
          </w:r>
          <w:r w:rsidR="00BD4EA8" w:rsidRPr="007E253F">
            <w:rPr>
              <w:rFonts w:cs="Times New Roman"/>
              <w:bCs/>
              <w:szCs w:val="24"/>
            </w:rPr>
            <w:instrText xml:space="preserve">CITATION Ecu18 \l 12298 </w:instrText>
          </w:r>
          <w:r w:rsidR="00BD4EA8" w:rsidRPr="007E253F">
            <w:rPr>
              <w:rFonts w:cs="Times New Roman"/>
              <w:bCs/>
              <w:szCs w:val="24"/>
            </w:rPr>
            <w:fldChar w:fldCharType="separate"/>
          </w:r>
          <w:r w:rsidR="005106B9" w:rsidRPr="005106B9">
            <w:rPr>
              <w:rFonts w:cs="Times New Roman"/>
              <w:noProof/>
              <w:szCs w:val="24"/>
            </w:rPr>
            <w:t>(Ecured, 2018)</w:t>
          </w:r>
          <w:r w:rsidR="00BD4EA8" w:rsidRPr="007E253F">
            <w:rPr>
              <w:rFonts w:cs="Times New Roman"/>
              <w:bCs/>
              <w:szCs w:val="24"/>
            </w:rPr>
            <w:fldChar w:fldCharType="end"/>
          </w:r>
        </w:sdtContent>
      </w:sdt>
    </w:p>
    <w:p w14:paraId="0FCE1835" w14:textId="52C01B36" w:rsidR="0077235D" w:rsidRPr="00342A45" w:rsidRDefault="0077235D" w:rsidP="00135DE8">
      <w:pPr>
        <w:pStyle w:val="Prrafodelista"/>
        <w:numPr>
          <w:ilvl w:val="3"/>
          <w:numId w:val="41"/>
        </w:numPr>
        <w:spacing w:before="360" w:after="360"/>
        <w:ind w:left="1077" w:hanging="1077"/>
        <w:rPr>
          <w:b/>
          <w:bCs/>
        </w:rPr>
      </w:pPr>
      <w:bookmarkStart w:id="344" w:name="_Toc72741069"/>
      <w:bookmarkStart w:id="345" w:name="_Toc72741867"/>
      <w:bookmarkStart w:id="346" w:name="_Toc72742665"/>
      <w:bookmarkStart w:id="347" w:name="_Toc72881417"/>
      <w:bookmarkStart w:id="348" w:name="_Toc72882499"/>
      <w:bookmarkStart w:id="349" w:name="_Toc75608844"/>
      <w:bookmarkStart w:id="350" w:name="_Toc75611770"/>
      <w:bookmarkStart w:id="351" w:name="_Toc75612616"/>
      <w:bookmarkStart w:id="352" w:name="_Toc75679771"/>
      <w:bookmarkStart w:id="353" w:name="_Toc75702379"/>
      <w:r w:rsidRPr="00342A45">
        <w:rPr>
          <w:b/>
          <w:bCs/>
        </w:rPr>
        <w:t>Gorgojo (Pagiocerus forii)</w:t>
      </w:r>
      <w:bookmarkEnd w:id="344"/>
      <w:bookmarkEnd w:id="345"/>
      <w:bookmarkEnd w:id="346"/>
      <w:bookmarkEnd w:id="347"/>
      <w:bookmarkEnd w:id="348"/>
      <w:bookmarkEnd w:id="349"/>
      <w:bookmarkEnd w:id="350"/>
      <w:bookmarkEnd w:id="351"/>
      <w:bookmarkEnd w:id="352"/>
      <w:bookmarkEnd w:id="353"/>
    </w:p>
    <w:p w14:paraId="5A498C88" w14:textId="0A3F112F" w:rsidR="00342A45" w:rsidRPr="007E253F" w:rsidRDefault="0077235D" w:rsidP="000E2B3A">
      <w:pPr>
        <w:autoSpaceDE w:val="0"/>
        <w:autoSpaceDN w:val="0"/>
        <w:adjustRightInd w:val="0"/>
        <w:spacing w:after="0" w:line="360" w:lineRule="auto"/>
        <w:rPr>
          <w:rFonts w:cs="Times New Roman"/>
          <w:iCs/>
          <w:szCs w:val="24"/>
        </w:rPr>
      </w:pPr>
      <w:r w:rsidRPr="007E253F">
        <w:rPr>
          <w:rFonts w:cs="Times New Roman"/>
          <w:iCs/>
          <w:szCs w:val="24"/>
        </w:rPr>
        <w:t xml:space="preserve">Los gorgojos de productos almacenados, como el gorgojo del trigo, del maíz o del arroz, colocan los huevos dentro de los granos de estos cereales para que las larvas se alimenten del tejido nutricional del grano. Como resultado, los granos de cereales afectados por los gorgojos poseen una menor calidad, y en caso de germinar, generan plantas débiles y vulnerables al ataque de otros parásitos. Además de las larvas, los individuos adultos también se alimentan de los granos de cereales, generando unos excrementos similares a un polvillo blanco que recubre los granos y les da un gusto desagradable </w:t>
      </w:r>
      <w:sdt>
        <w:sdtPr>
          <w:rPr>
            <w:rFonts w:cs="Times New Roman"/>
            <w:iCs/>
            <w:szCs w:val="24"/>
          </w:rPr>
          <w:id w:val="2115012259"/>
          <w:citation/>
        </w:sdtPr>
        <w:sdtEndPr/>
        <w:sdtContent>
          <w:r w:rsidR="00FC0E55" w:rsidRPr="007E253F">
            <w:rPr>
              <w:rFonts w:cs="Times New Roman"/>
              <w:iCs/>
              <w:szCs w:val="24"/>
            </w:rPr>
            <w:fldChar w:fldCharType="begin"/>
          </w:r>
          <w:r w:rsidR="00FC0E55" w:rsidRPr="007E253F">
            <w:rPr>
              <w:rFonts w:cs="Times New Roman"/>
              <w:iCs/>
              <w:szCs w:val="24"/>
            </w:rPr>
            <w:instrText xml:space="preserve">CITATION Act18 \l 12298 </w:instrText>
          </w:r>
          <w:r w:rsidR="00FC0E55" w:rsidRPr="007E253F">
            <w:rPr>
              <w:rFonts w:cs="Times New Roman"/>
              <w:iCs/>
              <w:szCs w:val="24"/>
            </w:rPr>
            <w:fldChar w:fldCharType="separate"/>
          </w:r>
          <w:r w:rsidR="005106B9" w:rsidRPr="005106B9">
            <w:rPr>
              <w:rFonts w:cs="Times New Roman"/>
              <w:noProof/>
              <w:szCs w:val="24"/>
            </w:rPr>
            <w:t>(Acticimex, 2018)</w:t>
          </w:r>
          <w:r w:rsidR="00FC0E55" w:rsidRPr="007E253F">
            <w:rPr>
              <w:rFonts w:cs="Times New Roman"/>
              <w:iCs/>
              <w:szCs w:val="24"/>
            </w:rPr>
            <w:fldChar w:fldCharType="end"/>
          </w:r>
        </w:sdtContent>
      </w:sdt>
    </w:p>
    <w:p w14:paraId="29C3ED1C" w14:textId="2BA7506E" w:rsidR="0077235D" w:rsidRPr="00342A45" w:rsidRDefault="0077235D" w:rsidP="00135DE8">
      <w:pPr>
        <w:pStyle w:val="Prrafodelista"/>
        <w:numPr>
          <w:ilvl w:val="3"/>
          <w:numId w:val="41"/>
        </w:numPr>
        <w:tabs>
          <w:tab w:val="left" w:pos="5103"/>
        </w:tabs>
        <w:spacing w:before="360" w:after="360"/>
        <w:ind w:left="1077" w:hanging="1077"/>
        <w:rPr>
          <w:b/>
          <w:bCs/>
        </w:rPr>
      </w:pPr>
      <w:bookmarkStart w:id="354" w:name="_Toc72741070"/>
      <w:bookmarkStart w:id="355" w:name="_Toc72741868"/>
      <w:bookmarkStart w:id="356" w:name="_Toc72742666"/>
      <w:bookmarkStart w:id="357" w:name="_Toc72881418"/>
      <w:bookmarkStart w:id="358" w:name="_Toc72882500"/>
      <w:bookmarkStart w:id="359" w:name="_Toc75608845"/>
      <w:bookmarkStart w:id="360" w:name="_Toc75611771"/>
      <w:bookmarkStart w:id="361" w:name="_Toc75612617"/>
      <w:bookmarkStart w:id="362" w:name="_Toc75679772"/>
      <w:bookmarkStart w:id="363" w:name="_Toc75702380"/>
      <w:r w:rsidRPr="00342A45">
        <w:rPr>
          <w:b/>
          <w:bCs/>
        </w:rPr>
        <w:t>Control químico</w:t>
      </w:r>
      <w:bookmarkEnd w:id="354"/>
      <w:bookmarkEnd w:id="355"/>
      <w:bookmarkEnd w:id="356"/>
      <w:bookmarkEnd w:id="357"/>
      <w:bookmarkEnd w:id="358"/>
      <w:bookmarkEnd w:id="359"/>
      <w:bookmarkEnd w:id="360"/>
      <w:bookmarkEnd w:id="361"/>
      <w:bookmarkEnd w:id="362"/>
      <w:bookmarkEnd w:id="363"/>
    </w:p>
    <w:p w14:paraId="5C6C1A38" w14:textId="00F8FE52"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bCs/>
          <w:szCs w:val="24"/>
        </w:rPr>
        <w:t>E</w:t>
      </w:r>
      <w:r w:rsidRPr="007E253F">
        <w:rPr>
          <w:rFonts w:cs="Times New Roman"/>
          <w:szCs w:val="24"/>
        </w:rPr>
        <w:t xml:space="preserve">s la represión de sus poblaciones o la prevención de su desarrollo mediante el uso de substancias químicas. Los compuestos químicos que se utilizan en la protección de los cultivos reciben el nombre genérico de Pesticidas o plaguicidas. Estos compuestos, según su efectividad particular contra insectos, ácaros, ratas, caracoles, o nematodos, reciben los nombres específicos de insecticidas, acariciaos, raticidas </w:t>
      </w:r>
      <w:r w:rsidRPr="007E253F">
        <w:rPr>
          <w:rFonts w:cs="Times New Roman"/>
          <w:szCs w:val="24"/>
        </w:rPr>
        <w:lastRenderedPageBreak/>
        <w:t xml:space="preserve">o rodenticidas, caracolicidas o molusquicidas, y nematicidas respectivamente. También se incluye a los herbicidas y fungicidas que se utilizan para combatir las malezas y las enfermedades fungosas respectivamente </w:t>
      </w:r>
      <w:sdt>
        <w:sdtPr>
          <w:rPr>
            <w:rFonts w:cs="Times New Roman"/>
            <w:szCs w:val="24"/>
          </w:rPr>
          <w:id w:val="-1245719133"/>
          <w:citation/>
        </w:sdtPr>
        <w:sdtEndPr/>
        <w:sdtContent>
          <w:r w:rsidR="00821A4D" w:rsidRPr="007E253F">
            <w:rPr>
              <w:rFonts w:cs="Times New Roman"/>
              <w:szCs w:val="24"/>
            </w:rPr>
            <w:fldChar w:fldCharType="begin"/>
          </w:r>
          <w:r w:rsidR="00821A4D" w:rsidRPr="007E253F">
            <w:rPr>
              <w:rFonts w:cs="Times New Roman"/>
              <w:szCs w:val="24"/>
            </w:rPr>
            <w:instrText xml:space="preserve"> CITATION Cis15 \l 12298 </w:instrText>
          </w:r>
          <w:r w:rsidR="00821A4D" w:rsidRPr="007E253F">
            <w:rPr>
              <w:rFonts w:cs="Times New Roman"/>
              <w:szCs w:val="24"/>
            </w:rPr>
            <w:fldChar w:fldCharType="separate"/>
          </w:r>
          <w:r w:rsidR="005106B9" w:rsidRPr="005106B9">
            <w:rPr>
              <w:rFonts w:cs="Times New Roman"/>
              <w:noProof/>
              <w:szCs w:val="24"/>
            </w:rPr>
            <w:t>(Cisneros, 2015)</w:t>
          </w:r>
          <w:r w:rsidR="00821A4D" w:rsidRPr="007E253F">
            <w:rPr>
              <w:rFonts w:cs="Times New Roman"/>
              <w:szCs w:val="24"/>
            </w:rPr>
            <w:fldChar w:fldCharType="end"/>
          </w:r>
        </w:sdtContent>
      </w:sdt>
    </w:p>
    <w:p w14:paraId="3A36C863" w14:textId="36E671E5" w:rsidR="0077235D" w:rsidRPr="007E253F" w:rsidRDefault="0077235D" w:rsidP="00FA69C7">
      <w:pPr>
        <w:pStyle w:val="Ttulo3"/>
        <w:spacing w:before="360" w:after="360"/>
      </w:pPr>
      <w:bookmarkStart w:id="364" w:name="_Toc29312346"/>
      <w:bookmarkStart w:id="365" w:name="_Toc29319385"/>
      <w:bookmarkStart w:id="366" w:name="_Toc72741071"/>
      <w:bookmarkStart w:id="367" w:name="_Toc72741869"/>
      <w:bookmarkStart w:id="368" w:name="_Toc72742667"/>
      <w:bookmarkStart w:id="369" w:name="_Toc72881419"/>
      <w:bookmarkStart w:id="370" w:name="_Toc72882501"/>
      <w:bookmarkStart w:id="371" w:name="_Toc75608846"/>
      <w:bookmarkStart w:id="372" w:name="_Toc75611772"/>
      <w:bookmarkStart w:id="373" w:name="_Toc75612618"/>
      <w:bookmarkStart w:id="374" w:name="_Toc75679773"/>
      <w:bookmarkStart w:id="375" w:name="_Toc75702381"/>
      <w:bookmarkStart w:id="376" w:name="_Toc80312246"/>
      <w:r w:rsidRPr="007E253F">
        <w:t>Enfermedades</w:t>
      </w:r>
      <w:bookmarkEnd w:id="364"/>
      <w:bookmarkEnd w:id="365"/>
      <w:bookmarkEnd w:id="366"/>
      <w:bookmarkEnd w:id="367"/>
      <w:bookmarkEnd w:id="368"/>
      <w:bookmarkEnd w:id="369"/>
      <w:bookmarkEnd w:id="370"/>
      <w:bookmarkEnd w:id="371"/>
      <w:bookmarkEnd w:id="372"/>
      <w:bookmarkEnd w:id="373"/>
      <w:bookmarkEnd w:id="374"/>
      <w:bookmarkEnd w:id="375"/>
      <w:bookmarkEnd w:id="376"/>
    </w:p>
    <w:p w14:paraId="62B242F9" w14:textId="2AAB24DC" w:rsidR="0077235D" w:rsidRPr="00342A45" w:rsidRDefault="0077235D" w:rsidP="00342A45">
      <w:pPr>
        <w:pStyle w:val="Prrafodelista"/>
        <w:numPr>
          <w:ilvl w:val="3"/>
          <w:numId w:val="3"/>
        </w:numPr>
        <w:spacing w:before="360" w:after="360"/>
        <w:ind w:left="1077" w:hanging="1077"/>
        <w:rPr>
          <w:b/>
          <w:bCs/>
        </w:rPr>
      </w:pPr>
      <w:bookmarkStart w:id="377" w:name="_Toc72741072"/>
      <w:bookmarkStart w:id="378" w:name="_Toc72741870"/>
      <w:bookmarkStart w:id="379" w:name="_Toc72742668"/>
      <w:bookmarkStart w:id="380" w:name="_Toc72881420"/>
      <w:bookmarkStart w:id="381" w:name="_Toc72882502"/>
      <w:bookmarkStart w:id="382" w:name="_Toc75608847"/>
      <w:bookmarkStart w:id="383" w:name="_Toc75611773"/>
      <w:bookmarkStart w:id="384" w:name="_Toc75612619"/>
      <w:bookmarkStart w:id="385" w:name="_Toc75679774"/>
      <w:bookmarkStart w:id="386" w:name="_Toc75702382"/>
      <w:r w:rsidRPr="00342A45">
        <w:rPr>
          <w:b/>
          <w:bCs/>
        </w:rPr>
        <w:t xml:space="preserve">Carbón del maíz </w:t>
      </w:r>
      <w:r w:rsidR="00D44506" w:rsidRPr="00342A45">
        <w:rPr>
          <w:b/>
          <w:bCs/>
        </w:rPr>
        <w:t>(</w:t>
      </w:r>
      <w:r w:rsidR="00D44506">
        <w:rPr>
          <w:b/>
          <w:bCs/>
        </w:rPr>
        <w:t xml:space="preserve">Ustilago </w:t>
      </w:r>
      <w:bookmarkEnd w:id="377"/>
      <w:bookmarkEnd w:id="378"/>
      <w:bookmarkEnd w:id="379"/>
      <w:bookmarkEnd w:id="380"/>
      <w:bookmarkEnd w:id="381"/>
      <w:bookmarkEnd w:id="382"/>
      <w:bookmarkEnd w:id="383"/>
      <w:bookmarkEnd w:id="384"/>
      <w:bookmarkEnd w:id="385"/>
      <w:bookmarkEnd w:id="386"/>
      <w:r w:rsidR="00D44506">
        <w:rPr>
          <w:b/>
          <w:bCs/>
        </w:rPr>
        <w:t>maydis)</w:t>
      </w:r>
    </w:p>
    <w:p w14:paraId="6BC02F75" w14:textId="0C32DE96" w:rsidR="0077235D" w:rsidRPr="007E253F" w:rsidRDefault="0077235D" w:rsidP="000E2B3A">
      <w:pPr>
        <w:autoSpaceDE w:val="0"/>
        <w:autoSpaceDN w:val="0"/>
        <w:adjustRightInd w:val="0"/>
        <w:spacing w:after="0" w:line="360" w:lineRule="auto"/>
        <w:rPr>
          <w:rFonts w:cs="Times New Roman"/>
          <w:bCs/>
          <w:szCs w:val="24"/>
        </w:rPr>
      </w:pPr>
      <w:r w:rsidRPr="007E253F">
        <w:rPr>
          <w:rFonts w:cs="Times New Roman"/>
          <w:bCs/>
          <w:szCs w:val="24"/>
        </w:rPr>
        <w:t xml:space="preserve">Es una enfermedad causada por un hongo, que es un microorganismo que se puede presentar en cualquier etapa del cultivo. Sus síntomas son tumores o agallas de diversos tamaños en las raíces adventicias o aéreas, cañas, nudos, nervaduras, panoja: sus esporas o “semillas” invernan y se mantienen en residuos del cultivo. Su control esta fundamentalmente en erradicar las plantas enfermas y en utilizar variedades resistentes </w:t>
      </w:r>
      <w:sdt>
        <w:sdtPr>
          <w:rPr>
            <w:rFonts w:cs="Times New Roman"/>
            <w:bCs/>
            <w:szCs w:val="24"/>
          </w:rPr>
          <w:id w:val="-1215039872"/>
          <w:citation/>
        </w:sdtPr>
        <w:sdtEndPr/>
        <w:sdtContent>
          <w:r w:rsidR="00BD4EA8" w:rsidRPr="007E253F">
            <w:rPr>
              <w:rFonts w:cs="Times New Roman"/>
              <w:bCs/>
              <w:szCs w:val="24"/>
            </w:rPr>
            <w:fldChar w:fldCharType="begin"/>
          </w:r>
          <w:r w:rsidR="00BD4EA8" w:rsidRPr="007E253F">
            <w:rPr>
              <w:rFonts w:cs="Times New Roman"/>
              <w:bCs/>
              <w:i/>
              <w:iCs/>
              <w:szCs w:val="24"/>
            </w:rPr>
            <w:instrText xml:space="preserve"> CITATION Fab12 \l 12298 </w:instrText>
          </w:r>
          <w:r w:rsidR="00BD4EA8" w:rsidRPr="007E253F">
            <w:rPr>
              <w:rFonts w:cs="Times New Roman"/>
              <w:bCs/>
              <w:szCs w:val="24"/>
            </w:rPr>
            <w:fldChar w:fldCharType="separate"/>
          </w:r>
          <w:r w:rsidR="005106B9" w:rsidRPr="005106B9">
            <w:rPr>
              <w:rFonts w:cs="Times New Roman"/>
              <w:noProof/>
              <w:szCs w:val="24"/>
            </w:rPr>
            <w:t>(Fabara, 2012)</w:t>
          </w:r>
          <w:r w:rsidR="00BD4EA8" w:rsidRPr="007E253F">
            <w:rPr>
              <w:rFonts w:cs="Times New Roman"/>
              <w:bCs/>
              <w:szCs w:val="24"/>
            </w:rPr>
            <w:fldChar w:fldCharType="end"/>
          </w:r>
        </w:sdtContent>
      </w:sdt>
    </w:p>
    <w:p w14:paraId="0A2CCA55" w14:textId="7B40A48B" w:rsidR="0077235D" w:rsidRPr="00342A45" w:rsidRDefault="0077235D" w:rsidP="00342A45">
      <w:pPr>
        <w:pStyle w:val="Prrafodelista"/>
        <w:numPr>
          <w:ilvl w:val="3"/>
          <w:numId w:val="3"/>
        </w:numPr>
        <w:spacing w:before="360" w:after="360"/>
        <w:ind w:left="1077" w:hanging="1077"/>
        <w:rPr>
          <w:b/>
          <w:bCs/>
        </w:rPr>
      </w:pPr>
      <w:bookmarkStart w:id="387" w:name="_Toc72741073"/>
      <w:bookmarkStart w:id="388" w:name="_Toc72741871"/>
      <w:bookmarkStart w:id="389" w:name="_Toc72742669"/>
      <w:bookmarkStart w:id="390" w:name="_Toc72881421"/>
      <w:bookmarkStart w:id="391" w:name="_Toc72882503"/>
      <w:bookmarkStart w:id="392" w:name="_Toc75608848"/>
      <w:bookmarkStart w:id="393" w:name="_Toc75611774"/>
      <w:bookmarkStart w:id="394" w:name="_Toc75612620"/>
      <w:bookmarkStart w:id="395" w:name="_Toc75679775"/>
      <w:bookmarkStart w:id="396" w:name="_Toc75702383"/>
      <w:r w:rsidRPr="00342A45">
        <w:rPr>
          <w:b/>
          <w:bCs/>
        </w:rPr>
        <w:t>Tizón foliar (Helminthosporium maydis)</w:t>
      </w:r>
      <w:bookmarkEnd w:id="387"/>
      <w:bookmarkEnd w:id="388"/>
      <w:bookmarkEnd w:id="389"/>
      <w:bookmarkEnd w:id="390"/>
      <w:bookmarkEnd w:id="391"/>
      <w:bookmarkEnd w:id="392"/>
      <w:bookmarkEnd w:id="393"/>
      <w:bookmarkEnd w:id="394"/>
      <w:bookmarkEnd w:id="395"/>
      <w:bookmarkEnd w:id="396"/>
    </w:p>
    <w:p w14:paraId="5E224318" w14:textId="6B88CF38" w:rsidR="008C465B"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Un síntoma inicial consiste en manchas pequeñas, ligeramente ovales y acuosas que se producen en las hojas y que son reconocibles fácilmente. Estas lesiones se transforman luego en zonas necróticas alargadas y ahusadas. Las lesiones aparecen primeramente en las hojas más bajas y continúan aumentando de tamaño y en número a medida que se desarrolla la planta, hasta llegar a producir una “quemadura” completa del follaje</w:t>
      </w:r>
      <w:r w:rsidR="001B453E">
        <w:rPr>
          <w:rFonts w:cs="Times New Roman"/>
          <w:noProof/>
          <w:szCs w:val="24"/>
        </w:rPr>
        <w:t xml:space="preserve"> </w:t>
      </w:r>
      <w:r w:rsidR="001B453E" w:rsidRPr="0064026A">
        <w:rPr>
          <w:rFonts w:cs="Times New Roman"/>
          <w:noProof/>
          <w:szCs w:val="24"/>
        </w:rPr>
        <w:t>(Yánez, 2013)</w:t>
      </w:r>
    </w:p>
    <w:p w14:paraId="575EA0B3" w14:textId="31C5F46B" w:rsidR="0077235D" w:rsidRPr="008C465B" w:rsidRDefault="0077235D" w:rsidP="008C465B">
      <w:pPr>
        <w:pStyle w:val="Prrafodelista"/>
        <w:numPr>
          <w:ilvl w:val="3"/>
          <w:numId w:val="3"/>
        </w:numPr>
        <w:spacing w:before="360" w:after="360"/>
        <w:ind w:left="1077" w:hanging="1077"/>
        <w:rPr>
          <w:b/>
          <w:bCs/>
        </w:rPr>
      </w:pPr>
      <w:bookmarkStart w:id="397" w:name="_Toc72741074"/>
      <w:bookmarkStart w:id="398" w:name="_Toc72741872"/>
      <w:bookmarkStart w:id="399" w:name="_Toc72742670"/>
      <w:bookmarkStart w:id="400" w:name="_Toc72881422"/>
      <w:bookmarkStart w:id="401" w:name="_Toc72882504"/>
      <w:bookmarkStart w:id="402" w:name="_Toc75608849"/>
      <w:bookmarkStart w:id="403" w:name="_Toc75611775"/>
      <w:bookmarkStart w:id="404" w:name="_Toc75612621"/>
      <w:bookmarkStart w:id="405" w:name="_Toc75679776"/>
      <w:bookmarkStart w:id="406" w:name="_Toc75702384"/>
      <w:r w:rsidRPr="008C465B">
        <w:rPr>
          <w:b/>
          <w:bCs/>
        </w:rPr>
        <w:t>Tizón foliar (Helminthosporium turcicum)</w:t>
      </w:r>
      <w:bookmarkEnd w:id="397"/>
      <w:bookmarkEnd w:id="398"/>
      <w:bookmarkEnd w:id="399"/>
      <w:bookmarkEnd w:id="400"/>
      <w:bookmarkEnd w:id="401"/>
      <w:bookmarkEnd w:id="402"/>
      <w:bookmarkEnd w:id="403"/>
      <w:bookmarkEnd w:id="404"/>
      <w:bookmarkEnd w:id="405"/>
      <w:bookmarkEnd w:id="406"/>
    </w:p>
    <w:p w14:paraId="3BF863B7" w14:textId="033B2AC2" w:rsidR="008C465B" w:rsidRDefault="0077235D" w:rsidP="008C465B">
      <w:pPr>
        <w:autoSpaceDE w:val="0"/>
        <w:autoSpaceDN w:val="0"/>
        <w:adjustRightInd w:val="0"/>
        <w:spacing w:after="0" w:line="360" w:lineRule="auto"/>
        <w:rPr>
          <w:rFonts w:cs="Times New Roman"/>
          <w:szCs w:val="24"/>
        </w:rPr>
      </w:pPr>
      <w:r w:rsidRPr="007E253F">
        <w:rPr>
          <w:rFonts w:cs="Times New Roman"/>
          <w:szCs w:val="24"/>
        </w:rPr>
        <w:t xml:space="preserve">Uno de los primeros síntomas consiste en la aparición de manchas pequeñas, ligeramente ovaladas y acuosas que se producen en las hojas y que son fácilmente reconocibles. Estas lesiones se transforman luego en zonas necróticas alargadas y ahusadas, que se manifiestan primeramente en las hojas más bajas y cuyo número aumenta a medida que se desarrolla la planta. Se puede llegar a producir la quemadura total del follaje. El tizón por </w:t>
      </w:r>
      <w:r w:rsidRPr="007E253F">
        <w:rPr>
          <w:rFonts w:cs="Times New Roman"/>
          <w:iCs/>
          <w:szCs w:val="24"/>
        </w:rPr>
        <w:t xml:space="preserve">turcicum </w:t>
      </w:r>
      <w:r w:rsidRPr="007E253F">
        <w:rPr>
          <w:rFonts w:cs="Times New Roman"/>
          <w:szCs w:val="24"/>
        </w:rPr>
        <w:t xml:space="preserve">(o tizón norteño de la hoja) se encuentra distribuido por todo el mundo y ocurre particularmente en zonas donde hay mucha humedad y temperaturas moderadas durante el periodo de crecimiento. </w:t>
      </w:r>
      <w:r w:rsidRPr="007E253F">
        <w:rPr>
          <w:rFonts w:cs="Times New Roman"/>
          <w:szCs w:val="24"/>
        </w:rPr>
        <w:lastRenderedPageBreak/>
        <w:t>Cuando la infección se produce antes o durante la aparición de los estigmas, y si las condiciones son óptimas, ésta puede ocasionar daños económicos considerables</w:t>
      </w:r>
      <w:sdt>
        <w:sdtPr>
          <w:rPr>
            <w:rFonts w:cs="Times New Roman"/>
            <w:szCs w:val="24"/>
          </w:rPr>
          <w:id w:val="-1798367670"/>
          <w:citation/>
        </w:sdtPr>
        <w:sdtEndPr/>
        <w:sdtContent>
          <w:r w:rsidR="00FC0E55" w:rsidRPr="007E253F">
            <w:rPr>
              <w:rFonts w:cs="Times New Roman"/>
              <w:szCs w:val="24"/>
            </w:rPr>
            <w:fldChar w:fldCharType="begin"/>
          </w:r>
          <w:r w:rsidR="00821A4D" w:rsidRPr="007E253F">
            <w:rPr>
              <w:rFonts w:cs="Times New Roman"/>
              <w:szCs w:val="24"/>
            </w:rPr>
            <w:instrText xml:space="preserve">CITATION CIM04 \l 12298 </w:instrText>
          </w:r>
          <w:r w:rsidR="00FC0E55" w:rsidRPr="007E253F">
            <w:rPr>
              <w:rFonts w:cs="Times New Roman"/>
              <w:szCs w:val="24"/>
            </w:rPr>
            <w:fldChar w:fldCharType="separate"/>
          </w:r>
          <w:r w:rsidR="005106B9">
            <w:rPr>
              <w:rFonts w:cs="Times New Roman"/>
              <w:noProof/>
              <w:szCs w:val="24"/>
            </w:rPr>
            <w:t xml:space="preserve"> </w:t>
          </w:r>
          <w:r w:rsidR="005106B9" w:rsidRPr="005106B9">
            <w:rPr>
              <w:rFonts w:cs="Times New Roman"/>
              <w:noProof/>
              <w:szCs w:val="24"/>
            </w:rPr>
            <w:t>(CIMMYT, 2004)</w:t>
          </w:r>
          <w:r w:rsidR="00FC0E55" w:rsidRPr="007E253F">
            <w:rPr>
              <w:rFonts w:cs="Times New Roman"/>
              <w:szCs w:val="24"/>
            </w:rPr>
            <w:fldChar w:fldCharType="end"/>
          </w:r>
        </w:sdtContent>
      </w:sdt>
      <w:r w:rsidRPr="007E253F">
        <w:rPr>
          <w:rFonts w:cs="Times New Roman"/>
          <w:szCs w:val="24"/>
        </w:rPr>
        <w:tab/>
      </w:r>
      <w:bookmarkStart w:id="407" w:name="_Toc72741075"/>
      <w:bookmarkStart w:id="408" w:name="_Toc72741873"/>
      <w:bookmarkStart w:id="409" w:name="_Toc72742671"/>
      <w:bookmarkStart w:id="410" w:name="_Toc72881423"/>
      <w:bookmarkStart w:id="411" w:name="_Toc72882505"/>
      <w:bookmarkStart w:id="412" w:name="_Toc75608850"/>
      <w:bookmarkStart w:id="413" w:name="_Toc75611776"/>
      <w:bookmarkStart w:id="414" w:name="_Toc75612622"/>
      <w:bookmarkStart w:id="415" w:name="_Toc75679777"/>
      <w:bookmarkStart w:id="416" w:name="_Toc75702385"/>
    </w:p>
    <w:p w14:paraId="51886FA0" w14:textId="4B7A4BAB" w:rsidR="0077235D" w:rsidRPr="008C465B" w:rsidRDefault="0077235D" w:rsidP="008C465B">
      <w:pPr>
        <w:pStyle w:val="Prrafodelista"/>
        <w:numPr>
          <w:ilvl w:val="3"/>
          <w:numId w:val="3"/>
        </w:numPr>
        <w:autoSpaceDE w:val="0"/>
        <w:autoSpaceDN w:val="0"/>
        <w:adjustRightInd w:val="0"/>
        <w:spacing w:before="360" w:after="360" w:line="360" w:lineRule="auto"/>
        <w:ind w:left="1077" w:hanging="1077"/>
        <w:rPr>
          <w:rFonts w:cs="Times New Roman"/>
          <w:b/>
          <w:bCs/>
          <w:szCs w:val="24"/>
        </w:rPr>
      </w:pPr>
      <w:r w:rsidRPr="008C465B">
        <w:rPr>
          <w:b/>
          <w:bCs/>
          <w:szCs w:val="24"/>
        </w:rPr>
        <w:t>Pudrición de mazorca (</w:t>
      </w:r>
      <w:r w:rsidR="00D44506">
        <w:rPr>
          <w:b/>
          <w:bCs/>
          <w:szCs w:val="24"/>
        </w:rPr>
        <w:t>Gibberella fujikuroi)</w:t>
      </w:r>
      <w:bookmarkEnd w:id="407"/>
      <w:bookmarkEnd w:id="408"/>
      <w:bookmarkEnd w:id="409"/>
      <w:bookmarkEnd w:id="410"/>
      <w:bookmarkEnd w:id="411"/>
      <w:bookmarkEnd w:id="412"/>
      <w:bookmarkEnd w:id="413"/>
      <w:bookmarkEnd w:id="414"/>
      <w:bookmarkEnd w:id="415"/>
      <w:bookmarkEnd w:id="416"/>
    </w:p>
    <w:p w14:paraId="2BD69F32" w14:textId="77777777" w:rsidR="008C465B" w:rsidRDefault="0077235D" w:rsidP="008C465B">
      <w:pPr>
        <w:autoSpaceDE w:val="0"/>
        <w:autoSpaceDN w:val="0"/>
        <w:adjustRightInd w:val="0"/>
        <w:spacing w:before="360" w:after="360" w:line="360" w:lineRule="auto"/>
        <w:rPr>
          <w:rFonts w:cs="Times New Roman"/>
          <w:szCs w:val="24"/>
        </w:rPr>
      </w:pPr>
      <w:r w:rsidRPr="007E253F">
        <w:rPr>
          <w:rFonts w:cs="Times New Roman"/>
          <w:szCs w:val="24"/>
        </w:rPr>
        <w:t xml:space="preserve">En el maíz, estas dos especies de hongos provocan pudrición de mazorca y de tallo, y tizón en las plántulas. </w:t>
      </w:r>
      <w:r w:rsidRPr="007E253F">
        <w:rPr>
          <w:rFonts w:cs="Times New Roman"/>
          <w:b/>
          <w:i/>
          <w:iCs/>
          <w:szCs w:val="24"/>
        </w:rPr>
        <w:t>Gibberella zeae</w:t>
      </w:r>
      <w:r w:rsidRPr="007E253F">
        <w:rPr>
          <w:rFonts w:cs="Times New Roman"/>
          <w:iCs/>
          <w:szCs w:val="24"/>
        </w:rPr>
        <w:t xml:space="preserve">, </w:t>
      </w:r>
      <w:r w:rsidRPr="007E253F">
        <w:rPr>
          <w:rFonts w:cs="Times New Roman"/>
          <w:szCs w:val="24"/>
        </w:rPr>
        <w:t xml:space="preserve">el estado sexual del patógeno, es más común en las zonas frías y húmedas. Los primeros signos de la infección son la formación de micelios blancos, que van descendiendo desde la punta de la mazorca y dan una coloración rojiza y rosada a los granos infectados. </w:t>
      </w:r>
    </w:p>
    <w:p w14:paraId="7C0C9E15" w14:textId="218065BA" w:rsidR="0077235D" w:rsidRPr="007E253F" w:rsidRDefault="0077235D" w:rsidP="008C465B">
      <w:pPr>
        <w:autoSpaceDE w:val="0"/>
        <w:autoSpaceDN w:val="0"/>
        <w:adjustRightInd w:val="0"/>
        <w:spacing w:before="360" w:after="360" w:line="360" w:lineRule="auto"/>
        <w:rPr>
          <w:rFonts w:cs="Times New Roman"/>
          <w:szCs w:val="24"/>
        </w:rPr>
      </w:pPr>
      <w:r w:rsidRPr="007E253F">
        <w:rPr>
          <w:rFonts w:cs="Times New Roman"/>
          <w:szCs w:val="24"/>
        </w:rPr>
        <w:t xml:space="preserve">La pudrición por </w:t>
      </w:r>
      <w:r w:rsidRPr="007E253F">
        <w:rPr>
          <w:rFonts w:cs="Times New Roman"/>
          <w:iCs/>
          <w:szCs w:val="24"/>
        </w:rPr>
        <w:t xml:space="preserve">Fusarium moniliforme </w:t>
      </w:r>
      <w:r w:rsidRPr="007E253F">
        <w:rPr>
          <w:rFonts w:cs="Times New Roman"/>
          <w:szCs w:val="24"/>
        </w:rPr>
        <w:t xml:space="preserve">es probablemente el patógeno más común de la mazorca de maíz en todo el mundo. A diferencia de </w:t>
      </w:r>
      <w:r w:rsidRPr="007E253F">
        <w:rPr>
          <w:rFonts w:cs="Times New Roman"/>
          <w:iCs/>
          <w:szCs w:val="24"/>
        </w:rPr>
        <w:t xml:space="preserve">G. zeae, </w:t>
      </w:r>
      <w:r w:rsidRPr="007E253F">
        <w:rPr>
          <w:rFonts w:cs="Times New Roman"/>
          <w:szCs w:val="24"/>
        </w:rPr>
        <w:t xml:space="preserve">el daño que causa </w:t>
      </w:r>
      <w:r w:rsidRPr="007E253F">
        <w:rPr>
          <w:rFonts w:cs="Times New Roman"/>
          <w:iCs/>
          <w:szCs w:val="24"/>
        </w:rPr>
        <w:t xml:space="preserve">F. moniliforme </w:t>
      </w:r>
      <w:r w:rsidRPr="007E253F">
        <w:rPr>
          <w:rFonts w:cs="Times New Roman"/>
          <w:szCs w:val="24"/>
        </w:rPr>
        <w:t xml:space="preserve">se manifiesta principalmente en granos individuales o en ciertas áreas de la mazorca. Los granos infectados desarrollan un moho algodonoso o rayas blancas en el pericarpio y germinan estando aún en el olote. </w:t>
      </w:r>
      <w:sdt>
        <w:sdtPr>
          <w:rPr>
            <w:rFonts w:cs="Times New Roman"/>
            <w:szCs w:val="24"/>
          </w:rPr>
          <w:id w:val="1952043746"/>
          <w:citation/>
        </w:sdtPr>
        <w:sdtEndPr/>
        <w:sdtContent>
          <w:r w:rsidR="00821A4D" w:rsidRPr="007E253F">
            <w:rPr>
              <w:rFonts w:cs="Times New Roman"/>
              <w:szCs w:val="24"/>
            </w:rPr>
            <w:fldChar w:fldCharType="begin"/>
          </w:r>
          <w:r w:rsidR="00821A4D" w:rsidRPr="007E253F">
            <w:rPr>
              <w:rFonts w:cs="Times New Roman"/>
              <w:szCs w:val="24"/>
            </w:rPr>
            <w:instrText xml:space="preserve"> CITATION CIM04 \l 12298 </w:instrText>
          </w:r>
          <w:r w:rsidR="00821A4D" w:rsidRPr="007E253F">
            <w:rPr>
              <w:rFonts w:cs="Times New Roman"/>
              <w:szCs w:val="24"/>
            </w:rPr>
            <w:fldChar w:fldCharType="separate"/>
          </w:r>
          <w:r w:rsidR="005106B9" w:rsidRPr="005106B9">
            <w:rPr>
              <w:rFonts w:cs="Times New Roman"/>
              <w:noProof/>
              <w:szCs w:val="24"/>
            </w:rPr>
            <w:t>(CIMMYT, 2004)</w:t>
          </w:r>
          <w:r w:rsidR="00821A4D" w:rsidRPr="007E253F">
            <w:rPr>
              <w:rFonts w:cs="Times New Roman"/>
              <w:szCs w:val="24"/>
            </w:rPr>
            <w:fldChar w:fldCharType="end"/>
          </w:r>
        </w:sdtContent>
      </w:sdt>
    </w:p>
    <w:p w14:paraId="6CD44A9C" w14:textId="21F0F81F" w:rsidR="0077235D" w:rsidRPr="008C465B" w:rsidRDefault="0077235D" w:rsidP="008C465B">
      <w:pPr>
        <w:pStyle w:val="Prrafodelista"/>
        <w:numPr>
          <w:ilvl w:val="3"/>
          <w:numId w:val="3"/>
        </w:numPr>
        <w:spacing w:before="360" w:after="360"/>
        <w:ind w:left="1077" w:hanging="1077"/>
        <w:rPr>
          <w:b/>
          <w:bCs/>
        </w:rPr>
      </w:pPr>
      <w:bookmarkStart w:id="417" w:name="_Toc72741076"/>
      <w:bookmarkStart w:id="418" w:name="_Toc72741874"/>
      <w:bookmarkStart w:id="419" w:name="_Toc72742672"/>
      <w:bookmarkStart w:id="420" w:name="_Toc72881424"/>
      <w:bookmarkStart w:id="421" w:name="_Toc72882506"/>
      <w:bookmarkStart w:id="422" w:name="_Toc75608851"/>
      <w:bookmarkStart w:id="423" w:name="_Toc75611777"/>
      <w:bookmarkStart w:id="424" w:name="_Toc75612623"/>
      <w:bookmarkStart w:id="425" w:name="_Toc75679778"/>
      <w:bookmarkStart w:id="426" w:name="_Toc75702386"/>
      <w:r w:rsidRPr="008C465B">
        <w:rPr>
          <w:b/>
          <w:bCs/>
        </w:rPr>
        <w:t>Control químico</w:t>
      </w:r>
      <w:bookmarkEnd w:id="417"/>
      <w:bookmarkEnd w:id="418"/>
      <w:bookmarkEnd w:id="419"/>
      <w:bookmarkEnd w:id="420"/>
      <w:bookmarkEnd w:id="421"/>
      <w:bookmarkEnd w:id="422"/>
      <w:bookmarkEnd w:id="423"/>
      <w:bookmarkEnd w:id="424"/>
      <w:bookmarkEnd w:id="425"/>
      <w:bookmarkEnd w:id="426"/>
    </w:p>
    <w:p w14:paraId="273F243B" w14:textId="6872CAA4" w:rsidR="0077235D" w:rsidRPr="007E253F" w:rsidRDefault="0077235D" w:rsidP="000E2B3A">
      <w:pPr>
        <w:autoSpaceDE w:val="0"/>
        <w:autoSpaceDN w:val="0"/>
        <w:adjustRightInd w:val="0"/>
        <w:spacing w:after="0" w:line="360" w:lineRule="auto"/>
        <w:rPr>
          <w:rFonts w:cs="Times New Roman"/>
          <w:noProof/>
          <w:szCs w:val="24"/>
        </w:rPr>
      </w:pPr>
      <w:r w:rsidRPr="007E253F">
        <w:rPr>
          <w:rFonts w:cs="Times New Roman"/>
          <w:szCs w:val="24"/>
        </w:rPr>
        <w:t xml:space="preserve">Como su nombre lo indica consiste en el uso de productos sintéticos o químicos, y que se recomienda sólo para los casos en que la enfermedad ha alcanzado mayores niveles de gravedad. Cabe señalar que estos productos, entre los que se encuentran los fungicidas, bactericidas, han evolucionado notablemente haciéndose más específicos para el hongo o bacteria que buscan combatir </w:t>
      </w:r>
      <w:sdt>
        <w:sdtPr>
          <w:rPr>
            <w:rFonts w:cs="Times New Roman"/>
            <w:szCs w:val="24"/>
          </w:rPr>
          <w:id w:val="182260737"/>
          <w:citation/>
        </w:sdtPr>
        <w:sdtEndPr/>
        <w:sdtContent>
          <w:r w:rsidR="00D30CE0" w:rsidRPr="007E253F">
            <w:rPr>
              <w:rFonts w:cs="Times New Roman"/>
              <w:szCs w:val="24"/>
            </w:rPr>
            <w:fldChar w:fldCharType="begin"/>
          </w:r>
          <w:r w:rsidR="00D30CE0" w:rsidRPr="007E253F">
            <w:rPr>
              <w:rFonts w:cs="Times New Roman"/>
              <w:szCs w:val="24"/>
            </w:rPr>
            <w:instrText xml:space="preserve"> CITATION Pit02 \l 12298 </w:instrText>
          </w:r>
          <w:r w:rsidR="00D30CE0" w:rsidRPr="007E253F">
            <w:rPr>
              <w:rFonts w:cs="Times New Roman"/>
              <w:szCs w:val="24"/>
            </w:rPr>
            <w:fldChar w:fldCharType="separate"/>
          </w:r>
          <w:r w:rsidR="005106B9" w:rsidRPr="005106B9">
            <w:rPr>
              <w:rFonts w:cs="Times New Roman"/>
              <w:noProof/>
              <w:szCs w:val="24"/>
            </w:rPr>
            <w:t>(Pitty, 2002)</w:t>
          </w:r>
          <w:r w:rsidR="00D30CE0" w:rsidRPr="007E253F">
            <w:rPr>
              <w:rFonts w:cs="Times New Roman"/>
              <w:szCs w:val="24"/>
            </w:rPr>
            <w:fldChar w:fldCharType="end"/>
          </w:r>
        </w:sdtContent>
      </w:sdt>
    </w:p>
    <w:p w14:paraId="71860135" w14:textId="083C0637" w:rsidR="0077235D" w:rsidRPr="007E253F" w:rsidRDefault="0077235D" w:rsidP="008C465B">
      <w:pPr>
        <w:pStyle w:val="Ttulo3"/>
        <w:spacing w:before="360" w:after="360"/>
      </w:pPr>
      <w:bookmarkStart w:id="427" w:name="_Toc72741077"/>
      <w:bookmarkStart w:id="428" w:name="_Toc72741875"/>
      <w:bookmarkStart w:id="429" w:name="_Toc72742673"/>
      <w:bookmarkStart w:id="430" w:name="_Toc72881425"/>
      <w:bookmarkStart w:id="431" w:name="_Toc72882507"/>
      <w:bookmarkStart w:id="432" w:name="_Toc75608852"/>
      <w:bookmarkStart w:id="433" w:name="_Toc75611778"/>
      <w:bookmarkStart w:id="434" w:name="_Toc75612624"/>
      <w:bookmarkStart w:id="435" w:name="_Toc75679779"/>
      <w:bookmarkStart w:id="436" w:name="_Toc75702387"/>
      <w:bookmarkStart w:id="437" w:name="_Toc80312247"/>
      <w:r w:rsidRPr="007E253F">
        <w:t>Cosecha</w:t>
      </w:r>
      <w:bookmarkEnd w:id="427"/>
      <w:bookmarkEnd w:id="428"/>
      <w:bookmarkEnd w:id="429"/>
      <w:bookmarkEnd w:id="430"/>
      <w:bookmarkEnd w:id="431"/>
      <w:bookmarkEnd w:id="432"/>
      <w:bookmarkEnd w:id="433"/>
      <w:bookmarkEnd w:id="434"/>
      <w:bookmarkEnd w:id="435"/>
      <w:bookmarkEnd w:id="436"/>
      <w:bookmarkEnd w:id="437"/>
    </w:p>
    <w:p w14:paraId="3CE93AD3" w14:textId="5218E7A3" w:rsidR="0077235D" w:rsidRPr="008C465B" w:rsidRDefault="0077235D" w:rsidP="008C465B">
      <w:pPr>
        <w:pStyle w:val="Prrafodelista"/>
        <w:numPr>
          <w:ilvl w:val="3"/>
          <w:numId w:val="3"/>
        </w:numPr>
        <w:spacing w:before="360" w:after="360"/>
        <w:rPr>
          <w:b/>
          <w:bCs/>
        </w:rPr>
      </w:pPr>
      <w:r w:rsidRPr="008C465B">
        <w:rPr>
          <w:b/>
          <w:bCs/>
        </w:rPr>
        <w:t xml:space="preserve">En choclo </w:t>
      </w:r>
    </w:p>
    <w:p w14:paraId="11C6550D" w14:textId="77777777" w:rsidR="0051305B" w:rsidRDefault="0077235D" w:rsidP="0051305B">
      <w:pPr>
        <w:spacing w:after="0" w:line="360" w:lineRule="auto"/>
        <w:rPr>
          <w:rFonts w:cs="Times New Roman"/>
          <w:szCs w:val="24"/>
        </w:rPr>
      </w:pPr>
      <w:r w:rsidRPr="007E253F">
        <w:rPr>
          <w:rFonts w:cs="Times New Roman"/>
          <w:szCs w:val="24"/>
        </w:rPr>
        <w:t xml:space="preserve">Para conocer el momento de la cosecha del choclo, se puede abrir un poco las hojas que cubren la mazorca y se comprueba el grado de desarrollo de los granos (el grano se presenta blanco y de aspecto lechoso). También se puede guiar por el color del </w:t>
      </w:r>
      <w:r w:rsidRPr="007E253F">
        <w:rPr>
          <w:rFonts w:cs="Times New Roman"/>
          <w:szCs w:val="24"/>
        </w:rPr>
        <w:lastRenderedPageBreak/>
        <w:t>“pelo” del choclo y se afirma que cuando pasan del dorado al castaño, el maíz estaría listo para cosech</w:t>
      </w:r>
      <w:r w:rsidR="00B84691" w:rsidRPr="007E253F">
        <w:rPr>
          <w:rFonts w:cs="Times New Roman"/>
          <w:szCs w:val="24"/>
        </w:rPr>
        <w:t xml:space="preserve">arlo </w:t>
      </w:r>
      <w:sdt>
        <w:sdtPr>
          <w:rPr>
            <w:rFonts w:cs="Times New Roman"/>
            <w:szCs w:val="24"/>
          </w:rPr>
          <w:id w:val="738982943"/>
          <w:citation/>
        </w:sdtPr>
        <w:sdtEndPr/>
        <w:sdtContent>
          <w:r w:rsidR="00B84691" w:rsidRPr="007E253F">
            <w:rPr>
              <w:rFonts w:cs="Times New Roman"/>
              <w:szCs w:val="24"/>
            </w:rPr>
            <w:fldChar w:fldCharType="begin"/>
          </w:r>
          <w:r w:rsidR="00975D91">
            <w:rPr>
              <w:rFonts w:cs="Times New Roman"/>
              <w:szCs w:val="24"/>
            </w:rPr>
            <w:instrText xml:space="preserve">CITATION Cab12 \l 12298 </w:instrText>
          </w:r>
          <w:r w:rsidR="00B84691" w:rsidRPr="007E253F">
            <w:rPr>
              <w:rFonts w:cs="Times New Roman"/>
              <w:szCs w:val="24"/>
            </w:rPr>
            <w:fldChar w:fldCharType="separate"/>
          </w:r>
          <w:r w:rsidR="005106B9" w:rsidRPr="005106B9">
            <w:rPr>
              <w:rFonts w:cs="Times New Roman"/>
              <w:noProof/>
              <w:szCs w:val="24"/>
            </w:rPr>
            <w:t>(Yánez, 2013)</w:t>
          </w:r>
          <w:r w:rsidR="00B84691" w:rsidRPr="007E253F">
            <w:rPr>
              <w:rFonts w:cs="Times New Roman"/>
              <w:szCs w:val="24"/>
            </w:rPr>
            <w:fldChar w:fldCharType="end"/>
          </w:r>
        </w:sdtContent>
      </w:sdt>
      <w:bookmarkStart w:id="438" w:name="_Toc72741078"/>
      <w:bookmarkStart w:id="439" w:name="_Toc72741876"/>
      <w:bookmarkStart w:id="440" w:name="_Toc72742674"/>
      <w:bookmarkStart w:id="441" w:name="_Toc72881426"/>
      <w:bookmarkStart w:id="442" w:name="_Toc72882508"/>
      <w:bookmarkStart w:id="443" w:name="_Toc75608853"/>
      <w:bookmarkStart w:id="444" w:name="_Toc75611779"/>
      <w:bookmarkStart w:id="445" w:name="_Toc75612625"/>
      <w:bookmarkStart w:id="446" w:name="_Toc75679780"/>
      <w:bookmarkStart w:id="447" w:name="_Toc75702388"/>
    </w:p>
    <w:p w14:paraId="5E2D0841" w14:textId="5F34C15E" w:rsidR="0077235D" w:rsidRPr="00D44506" w:rsidRDefault="0077235D" w:rsidP="00607F84">
      <w:pPr>
        <w:pStyle w:val="Prrafodelista"/>
        <w:numPr>
          <w:ilvl w:val="3"/>
          <w:numId w:val="3"/>
        </w:numPr>
        <w:spacing w:before="360" w:after="360"/>
        <w:ind w:left="1077" w:hanging="1077"/>
        <w:rPr>
          <w:b/>
          <w:bCs/>
        </w:rPr>
      </w:pPr>
      <w:r w:rsidRPr="00D44506">
        <w:rPr>
          <w:b/>
          <w:bCs/>
        </w:rPr>
        <w:t xml:space="preserve">En </w:t>
      </w:r>
      <w:r w:rsidR="00330E8C">
        <w:rPr>
          <w:b/>
          <w:bCs/>
        </w:rPr>
        <w:t>s</w:t>
      </w:r>
      <w:r w:rsidRPr="00D44506">
        <w:rPr>
          <w:b/>
          <w:bCs/>
        </w:rPr>
        <w:t>eco</w:t>
      </w:r>
      <w:bookmarkEnd w:id="438"/>
      <w:bookmarkEnd w:id="439"/>
      <w:bookmarkEnd w:id="440"/>
      <w:bookmarkEnd w:id="441"/>
      <w:bookmarkEnd w:id="442"/>
      <w:bookmarkEnd w:id="443"/>
      <w:bookmarkEnd w:id="444"/>
      <w:bookmarkEnd w:id="445"/>
      <w:bookmarkEnd w:id="446"/>
      <w:bookmarkEnd w:id="447"/>
      <w:r w:rsidRPr="00D44506">
        <w:rPr>
          <w:b/>
          <w:bCs/>
        </w:rPr>
        <w:t xml:space="preserve"> </w:t>
      </w:r>
      <w:r w:rsidR="00D44506" w:rsidRPr="00D44506">
        <w:rPr>
          <w:b/>
          <w:bCs/>
        </w:rPr>
        <w:t xml:space="preserve">o mazorca </w:t>
      </w:r>
    </w:p>
    <w:p w14:paraId="00A280A8" w14:textId="7642DFDF" w:rsidR="0077235D" w:rsidRPr="007E253F" w:rsidRDefault="0077235D" w:rsidP="000E2B3A">
      <w:pPr>
        <w:spacing w:after="0" w:line="360" w:lineRule="auto"/>
        <w:rPr>
          <w:rFonts w:cs="Times New Roman"/>
          <w:szCs w:val="24"/>
        </w:rPr>
      </w:pPr>
      <w:r w:rsidRPr="007E253F">
        <w:rPr>
          <w:rFonts w:cs="Times New Roman"/>
          <w:szCs w:val="24"/>
        </w:rPr>
        <w:t xml:space="preserve">Se realiza la cosecha cuando el grano este en madurez fisiológica (cuando en la base del grano se observa una capa negra), o dejando secar la mazorca en la planta hasta que esté lo suficientemente seca. Si se cosecha con un alto contenido de humedad es necesario poner a secar las mazorcas debido a que los granos con mucha humedad son susceptibles a pudriciones, evitando se produzca un recalentamiento por alta temperatura </w:t>
      </w:r>
      <w:sdt>
        <w:sdtPr>
          <w:rPr>
            <w:rFonts w:cs="Times New Roman"/>
            <w:szCs w:val="24"/>
          </w:rPr>
          <w:id w:val="-1988388023"/>
          <w:citation/>
        </w:sdtPr>
        <w:sdtEndPr/>
        <w:sdtContent>
          <w:r w:rsidR="00D30CE0" w:rsidRPr="007E253F">
            <w:rPr>
              <w:rFonts w:cs="Times New Roman"/>
              <w:szCs w:val="24"/>
            </w:rPr>
            <w:fldChar w:fldCharType="begin"/>
          </w:r>
          <w:r w:rsidR="00D30CE0" w:rsidRPr="007E253F">
            <w:rPr>
              <w:rFonts w:cs="Times New Roman"/>
              <w:szCs w:val="24"/>
            </w:rPr>
            <w:instrText xml:space="preserve"> CITATION INI \l 12298 </w:instrText>
          </w:r>
          <w:r w:rsidR="00D30CE0" w:rsidRPr="007E253F">
            <w:rPr>
              <w:rFonts w:cs="Times New Roman"/>
              <w:szCs w:val="24"/>
            </w:rPr>
            <w:fldChar w:fldCharType="separate"/>
          </w:r>
          <w:r w:rsidR="005106B9" w:rsidRPr="005106B9">
            <w:rPr>
              <w:rFonts w:cs="Times New Roman"/>
              <w:noProof/>
              <w:szCs w:val="24"/>
            </w:rPr>
            <w:t>(INIAP s. , s.f.)</w:t>
          </w:r>
          <w:r w:rsidR="00D30CE0" w:rsidRPr="007E253F">
            <w:rPr>
              <w:rFonts w:cs="Times New Roman"/>
              <w:szCs w:val="24"/>
            </w:rPr>
            <w:fldChar w:fldCharType="end"/>
          </w:r>
        </w:sdtContent>
      </w:sdt>
    </w:p>
    <w:p w14:paraId="0D75E135" w14:textId="693057D4" w:rsidR="0077235D" w:rsidRPr="007E253F" w:rsidRDefault="0077235D" w:rsidP="00FA69C7">
      <w:pPr>
        <w:pStyle w:val="Ttulo2"/>
        <w:spacing w:before="360" w:after="360"/>
        <w:ind w:left="720"/>
      </w:pPr>
      <w:bookmarkStart w:id="448" w:name="_Toc72741079"/>
      <w:bookmarkStart w:id="449" w:name="_Toc72741877"/>
      <w:bookmarkStart w:id="450" w:name="_Toc72742675"/>
      <w:bookmarkStart w:id="451" w:name="_Toc72881427"/>
      <w:bookmarkStart w:id="452" w:name="_Toc72882509"/>
      <w:bookmarkStart w:id="453" w:name="_Toc75608854"/>
      <w:bookmarkStart w:id="454" w:name="_Toc75611780"/>
      <w:bookmarkStart w:id="455" w:name="_Toc75612626"/>
      <w:bookmarkStart w:id="456" w:name="_Toc75679781"/>
      <w:bookmarkStart w:id="457" w:name="_Toc75702389"/>
      <w:bookmarkStart w:id="458" w:name="_Toc80312248"/>
      <w:r w:rsidRPr="007E253F">
        <w:t>Macro nutrientes en el maíz</w:t>
      </w:r>
      <w:bookmarkEnd w:id="448"/>
      <w:bookmarkEnd w:id="449"/>
      <w:bookmarkEnd w:id="450"/>
      <w:bookmarkEnd w:id="451"/>
      <w:bookmarkEnd w:id="452"/>
      <w:bookmarkEnd w:id="453"/>
      <w:bookmarkEnd w:id="454"/>
      <w:bookmarkEnd w:id="455"/>
      <w:bookmarkEnd w:id="456"/>
      <w:bookmarkEnd w:id="457"/>
      <w:bookmarkEnd w:id="458"/>
      <w:r w:rsidRPr="007E253F">
        <w:t xml:space="preserve"> </w:t>
      </w:r>
    </w:p>
    <w:p w14:paraId="3EE7788E" w14:textId="77777777" w:rsidR="00607F84" w:rsidRDefault="0077235D" w:rsidP="00607F84">
      <w:pPr>
        <w:pStyle w:val="Ttulo3"/>
        <w:spacing w:before="360" w:after="360"/>
      </w:pPr>
      <w:bookmarkStart w:id="459" w:name="_Toc72741080"/>
      <w:bookmarkStart w:id="460" w:name="_Toc72741878"/>
      <w:bookmarkStart w:id="461" w:name="_Toc72742676"/>
      <w:bookmarkStart w:id="462" w:name="_Toc72881428"/>
      <w:bookmarkStart w:id="463" w:name="_Toc72882510"/>
      <w:bookmarkStart w:id="464" w:name="_Toc75608855"/>
      <w:bookmarkStart w:id="465" w:name="_Toc75611781"/>
      <w:bookmarkStart w:id="466" w:name="_Toc75612627"/>
      <w:bookmarkStart w:id="467" w:name="_Toc75679782"/>
      <w:bookmarkStart w:id="468" w:name="_Toc75702390"/>
      <w:bookmarkStart w:id="469" w:name="_Toc80312249"/>
      <w:r w:rsidRPr="007E253F">
        <w:t>Nitrógeno (N)</w:t>
      </w:r>
      <w:bookmarkStart w:id="470" w:name="_Toc29312356"/>
      <w:bookmarkStart w:id="471" w:name="_Toc29319395"/>
      <w:bookmarkStart w:id="472" w:name="_Toc35185821"/>
      <w:bookmarkStart w:id="473" w:name="_Toc35186314"/>
      <w:bookmarkStart w:id="474" w:name="_Toc72741081"/>
      <w:bookmarkStart w:id="475" w:name="_Toc72741879"/>
      <w:bookmarkStart w:id="476" w:name="_Toc72742677"/>
      <w:bookmarkStart w:id="477" w:name="_Toc72881429"/>
      <w:bookmarkStart w:id="478" w:name="_Toc72882511"/>
      <w:bookmarkStart w:id="479" w:name="_Toc75608856"/>
      <w:bookmarkStart w:id="480" w:name="_Toc75611782"/>
      <w:bookmarkStart w:id="481" w:name="_Toc75612628"/>
      <w:bookmarkStart w:id="482" w:name="_Toc75679783"/>
      <w:bookmarkStart w:id="483" w:name="_Toc75702391"/>
      <w:bookmarkEnd w:id="459"/>
      <w:bookmarkEnd w:id="460"/>
      <w:bookmarkEnd w:id="461"/>
      <w:bookmarkEnd w:id="462"/>
      <w:bookmarkEnd w:id="463"/>
      <w:bookmarkEnd w:id="464"/>
      <w:bookmarkEnd w:id="465"/>
      <w:bookmarkEnd w:id="466"/>
      <w:bookmarkEnd w:id="467"/>
      <w:bookmarkEnd w:id="468"/>
      <w:bookmarkEnd w:id="469"/>
    </w:p>
    <w:p w14:paraId="7A910A42" w14:textId="347D22FC" w:rsidR="0077235D" w:rsidRPr="00607F84" w:rsidRDefault="0077235D" w:rsidP="00607F84">
      <w:pPr>
        <w:pStyle w:val="Prrafodelista"/>
        <w:numPr>
          <w:ilvl w:val="3"/>
          <w:numId w:val="3"/>
        </w:numPr>
        <w:spacing w:before="360" w:after="360"/>
        <w:ind w:left="1077" w:hanging="1077"/>
        <w:rPr>
          <w:b/>
          <w:bCs/>
        </w:rPr>
      </w:pPr>
      <w:r w:rsidRPr="00607F84">
        <w:rPr>
          <w:b/>
          <w:bCs/>
        </w:rPr>
        <w:t>Origen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48D6FBE8" w14:textId="57EF0A35" w:rsidR="00607F84" w:rsidRDefault="0077235D" w:rsidP="00607F84">
      <w:pPr>
        <w:autoSpaceDE w:val="0"/>
        <w:autoSpaceDN w:val="0"/>
        <w:adjustRightInd w:val="0"/>
        <w:spacing w:after="0" w:line="360" w:lineRule="auto"/>
        <w:rPr>
          <w:rFonts w:cs="Times New Roman"/>
          <w:szCs w:val="24"/>
        </w:rPr>
      </w:pPr>
      <w:r w:rsidRPr="007E253F">
        <w:rPr>
          <w:rFonts w:cs="Times New Roman"/>
          <w:szCs w:val="24"/>
        </w:rPr>
        <w:t xml:space="preserve">Este elemento se presenta muchas veces como un limitante en el desarrollo de las plantas, porque es removido del suelo en cantidades superiores al resto de los nutrientes y el nivel en el suelo es muy bajo.  Los vegetales la emplean en la formación de proteínas, ácidos nucleicos, amino azucares y otras moléculas muy importantes de la célula. Favorece el desarrollo vegetal, el tamaño de los granos, el porcentaje de proteínas y la absorción de fósforo y potasio, modifican la composición química y la calidad de los vegetales.  La fuente principal de nitrógeno proviene de la atmosfera donde está en una proporción del 79%. La mayor reserva de nitrógeno (N) la constituyen las rocas primarias (98% de todo el nitrógeno) la atmosfera, otras rocas y sedimentos. El reservorio más pequeño lo constituye el suelo </w:t>
      </w:r>
      <w:sdt>
        <w:sdtPr>
          <w:rPr>
            <w:rFonts w:cs="Times New Roman"/>
            <w:szCs w:val="24"/>
          </w:rPr>
          <w:id w:val="1914274721"/>
          <w:citation/>
        </w:sdtPr>
        <w:sdtEndPr/>
        <w:sdtContent>
          <w:r w:rsidR="00821A4D" w:rsidRPr="007E253F">
            <w:rPr>
              <w:rFonts w:cs="Times New Roman"/>
              <w:szCs w:val="24"/>
            </w:rPr>
            <w:fldChar w:fldCharType="begin"/>
          </w:r>
          <w:r w:rsidR="00821A4D" w:rsidRPr="007E253F">
            <w:rPr>
              <w:rFonts w:cs="Times New Roman"/>
              <w:szCs w:val="24"/>
            </w:rPr>
            <w:instrText xml:space="preserve">CITATION Aré17 \l 12298 </w:instrText>
          </w:r>
          <w:r w:rsidR="00821A4D" w:rsidRPr="007E253F">
            <w:rPr>
              <w:rFonts w:cs="Times New Roman"/>
              <w:szCs w:val="24"/>
            </w:rPr>
            <w:fldChar w:fldCharType="separate"/>
          </w:r>
          <w:r w:rsidR="005106B9" w:rsidRPr="005106B9">
            <w:rPr>
              <w:rFonts w:cs="Times New Roman"/>
              <w:noProof/>
              <w:szCs w:val="24"/>
            </w:rPr>
            <w:t>(Arévalo, 2017)</w:t>
          </w:r>
          <w:r w:rsidR="00821A4D" w:rsidRPr="007E253F">
            <w:rPr>
              <w:rFonts w:cs="Times New Roman"/>
              <w:szCs w:val="24"/>
            </w:rPr>
            <w:fldChar w:fldCharType="end"/>
          </w:r>
        </w:sdtContent>
      </w:sdt>
      <w:bookmarkStart w:id="484" w:name="_Toc29312357"/>
      <w:bookmarkStart w:id="485" w:name="_Toc29319396"/>
      <w:bookmarkStart w:id="486" w:name="_Toc35185822"/>
      <w:bookmarkStart w:id="487" w:name="_Toc35186315"/>
      <w:bookmarkStart w:id="488" w:name="_Toc72741082"/>
      <w:bookmarkStart w:id="489" w:name="_Toc72741880"/>
      <w:bookmarkStart w:id="490" w:name="_Toc72742678"/>
      <w:bookmarkStart w:id="491" w:name="_Toc72881430"/>
      <w:bookmarkStart w:id="492" w:name="_Toc72882512"/>
      <w:bookmarkStart w:id="493" w:name="_Toc75608857"/>
      <w:bookmarkStart w:id="494" w:name="_Toc75611783"/>
      <w:bookmarkStart w:id="495" w:name="_Toc75612629"/>
      <w:bookmarkStart w:id="496" w:name="_Toc75679784"/>
      <w:bookmarkStart w:id="497" w:name="_Toc75702392"/>
    </w:p>
    <w:p w14:paraId="5DDE1C24" w14:textId="5675F0B5" w:rsidR="00D44506" w:rsidRDefault="00D44506" w:rsidP="00607F84">
      <w:pPr>
        <w:autoSpaceDE w:val="0"/>
        <w:autoSpaceDN w:val="0"/>
        <w:adjustRightInd w:val="0"/>
        <w:spacing w:after="0" w:line="360" w:lineRule="auto"/>
        <w:rPr>
          <w:rFonts w:cs="Times New Roman"/>
          <w:szCs w:val="24"/>
        </w:rPr>
      </w:pPr>
    </w:p>
    <w:p w14:paraId="05A0362F" w14:textId="25296DB6" w:rsidR="00D44506" w:rsidRDefault="00D44506" w:rsidP="00607F84">
      <w:pPr>
        <w:autoSpaceDE w:val="0"/>
        <w:autoSpaceDN w:val="0"/>
        <w:adjustRightInd w:val="0"/>
        <w:spacing w:after="0" w:line="360" w:lineRule="auto"/>
        <w:rPr>
          <w:rFonts w:cs="Times New Roman"/>
          <w:szCs w:val="24"/>
        </w:rPr>
      </w:pPr>
    </w:p>
    <w:p w14:paraId="4162A1A7" w14:textId="7FE068E4" w:rsidR="00D44506" w:rsidRDefault="00D44506" w:rsidP="00607F84">
      <w:pPr>
        <w:autoSpaceDE w:val="0"/>
        <w:autoSpaceDN w:val="0"/>
        <w:adjustRightInd w:val="0"/>
        <w:spacing w:after="0" w:line="360" w:lineRule="auto"/>
        <w:rPr>
          <w:rFonts w:cs="Times New Roman"/>
          <w:szCs w:val="24"/>
        </w:rPr>
      </w:pPr>
    </w:p>
    <w:p w14:paraId="5F25023D" w14:textId="77777777" w:rsidR="00D44506" w:rsidRDefault="00D44506" w:rsidP="00607F84">
      <w:pPr>
        <w:autoSpaceDE w:val="0"/>
        <w:autoSpaceDN w:val="0"/>
        <w:adjustRightInd w:val="0"/>
        <w:spacing w:after="0" w:line="360" w:lineRule="auto"/>
        <w:rPr>
          <w:rFonts w:cs="Times New Roman"/>
          <w:szCs w:val="24"/>
        </w:rPr>
      </w:pPr>
    </w:p>
    <w:p w14:paraId="79452A28" w14:textId="77777777" w:rsidR="00F92103" w:rsidRDefault="00F92103">
      <w:pPr>
        <w:jc w:val="left"/>
        <w:rPr>
          <w:b/>
          <w:bCs/>
          <w:szCs w:val="24"/>
        </w:rPr>
      </w:pPr>
      <w:r>
        <w:rPr>
          <w:b/>
          <w:bCs/>
          <w:szCs w:val="24"/>
        </w:rPr>
        <w:br w:type="page"/>
      </w:r>
    </w:p>
    <w:p w14:paraId="40605825" w14:textId="13532F2A" w:rsidR="00FA69C7" w:rsidRPr="00607F84" w:rsidRDefault="0077235D" w:rsidP="00607F84">
      <w:pPr>
        <w:pStyle w:val="Prrafodelista"/>
        <w:numPr>
          <w:ilvl w:val="3"/>
          <w:numId w:val="3"/>
        </w:numPr>
        <w:autoSpaceDE w:val="0"/>
        <w:autoSpaceDN w:val="0"/>
        <w:adjustRightInd w:val="0"/>
        <w:spacing w:before="360" w:after="360" w:line="360" w:lineRule="auto"/>
        <w:ind w:left="1077" w:hanging="1077"/>
        <w:rPr>
          <w:rFonts w:cs="Times New Roman"/>
          <w:b/>
          <w:bCs/>
          <w:szCs w:val="24"/>
        </w:rPr>
      </w:pPr>
      <w:r w:rsidRPr="00607F84">
        <w:rPr>
          <w:b/>
          <w:bCs/>
          <w:szCs w:val="24"/>
        </w:rPr>
        <w:lastRenderedPageBreak/>
        <w:t>Propiedades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008A3AD8" w:rsidRPr="00607F84">
        <w:rPr>
          <w:b/>
          <w:bCs/>
          <w:szCs w:val="24"/>
        </w:rPr>
        <w:t xml:space="preserve"> del Nitrógeno</w:t>
      </w:r>
    </w:p>
    <w:p w14:paraId="3DC4B4CE" w14:textId="445BFDCA" w:rsidR="00FA69C7" w:rsidRPr="00FA69C7" w:rsidRDefault="00FA69C7" w:rsidP="00FA69C7">
      <w:pPr>
        <w:pStyle w:val="Descripcin"/>
        <w:keepNext/>
        <w:jc w:val="left"/>
        <w:rPr>
          <w:rFonts w:eastAsiaTheme="majorEastAsia" w:cs="Times New Roman"/>
          <w:bCs/>
          <w:i w:val="0"/>
          <w:iCs w:val="0"/>
          <w:color w:val="auto"/>
          <w:sz w:val="24"/>
          <w:szCs w:val="28"/>
          <w:lang w:val="es-ES" w:eastAsia="en-US"/>
        </w:rPr>
      </w:pPr>
      <w:bookmarkStart w:id="498" w:name="_Toc79313997"/>
      <w:r w:rsidRPr="00FA69C7">
        <w:rPr>
          <w:rFonts w:eastAsiaTheme="majorEastAsia" w:cs="Times New Roman"/>
          <w:b/>
          <w:bCs/>
          <w:i w:val="0"/>
          <w:iCs w:val="0"/>
          <w:color w:val="auto"/>
          <w:sz w:val="24"/>
          <w:szCs w:val="28"/>
          <w:lang w:val="es-ES" w:eastAsia="en-US"/>
        </w:rPr>
        <w:t xml:space="preserve">Cuadro </w:t>
      </w:r>
      <w:r w:rsidR="00C26AF2">
        <w:rPr>
          <w:rFonts w:eastAsiaTheme="majorEastAsia" w:cs="Times New Roman"/>
          <w:b/>
          <w:bCs/>
          <w:i w:val="0"/>
          <w:iCs w:val="0"/>
          <w:color w:val="auto"/>
          <w:sz w:val="24"/>
          <w:szCs w:val="28"/>
          <w:lang w:val="es-ES" w:eastAsia="en-US"/>
        </w:rPr>
        <w:fldChar w:fldCharType="begin"/>
      </w:r>
      <w:r w:rsidR="00C26AF2">
        <w:rPr>
          <w:rFonts w:eastAsiaTheme="majorEastAsia" w:cs="Times New Roman"/>
          <w:b/>
          <w:bCs/>
          <w:i w:val="0"/>
          <w:iCs w:val="0"/>
          <w:color w:val="auto"/>
          <w:sz w:val="24"/>
          <w:szCs w:val="28"/>
          <w:lang w:val="es-ES" w:eastAsia="en-US"/>
        </w:rPr>
        <w:instrText xml:space="preserve"> SEQ Cuadro \* ARABIC </w:instrText>
      </w:r>
      <w:r w:rsidR="00C26AF2">
        <w:rPr>
          <w:rFonts w:eastAsiaTheme="majorEastAsia" w:cs="Times New Roman"/>
          <w:b/>
          <w:bCs/>
          <w:i w:val="0"/>
          <w:iCs w:val="0"/>
          <w:color w:val="auto"/>
          <w:sz w:val="24"/>
          <w:szCs w:val="28"/>
          <w:lang w:val="es-ES" w:eastAsia="en-US"/>
        </w:rPr>
        <w:fldChar w:fldCharType="separate"/>
      </w:r>
      <w:r w:rsidR="000D1F55">
        <w:rPr>
          <w:rFonts w:eastAsiaTheme="majorEastAsia" w:cs="Times New Roman"/>
          <w:b/>
          <w:bCs/>
          <w:i w:val="0"/>
          <w:iCs w:val="0"/>
          <w:noProof/>
          <w:color w:val="auto"/>
          <w:sz w:val="24"/>
          <w:szCs w:val="28"/>
          <w:lang w:val="es-ES" w:eastAsia="en-US"/>
        </w:rPr>
        <w:t>5</w:t>
      </w:r>
      <w:r w:rsidR="00C26AF2">
        <w:rPr>
          <w:rFonts w:eastAsiaTheme="majorEastAsia" w:cs="Times New Roman"/>
          <w:b/>
          <w:bCs/>
          <w:i w:val="0"/>
          <w:iCs w:val="0"/>
          <w:color w:val="auto"/>
          <w:sz w:val="24"/>
          <w:szCs w:val="28"/>
          <w:lang w:val="es-ES" w:eastAsia="en-US"/>
        </w:rPr>
        <w:fldChar w:fldCharType="end"/>
      </w:r>
      <w:r w:rsidRPr="00FA69C7">
        <w:rPr>
          <w:rFonts w:eastAsiaTheme="majorEastAsia" w:cs="Times New Roman"/>
          <w:b/>
          <w:bCs/>
          <w:i w:val="0"/>
          <w:iCs w:val="0"/>
          <w:color w:val="auto"/>
          <w:sz w:val="24"/>
          <w:szCs w:val="28"/>
          <w:lang w:val="es-ES" w:eastAsia="en-US"/>
        </w:rPr>
        <w:t>.</w:t>
      </w:r>
      <w:r w:rsidRPr="00FA69C7">
        <w:rPr>
          <w:rFonts w:eastAsiaTheme="majorEastAsia" w:cs="Times New Roman"/>
          <w:bCs/>
          <w:i w:val="0"/>
          <w:iCs w:val="0"/>
          <w:color w:val="auto"/>
          <w:sz w:val="24"/>
          <w:szCs w:val="28"/>
          <w:lang w:val="es-ES" w:eastAsia="en-US"/>
        </w:rPr>
        <w:t xml:space="preserve"> . Propiedades del Nitrógeno</w:t>
      </w:r>
      <w:bookmarkEnd w:id="498"/>
    </w:p>
    <w:tbl>
      <w:tblPr>
        <w:tblStyle w:val="Tablaconcuadrcula"/>
        <w:tblW w:w="7650" w:type="dxa"/>
        <w:jc w:val="center"/>
        <w:tblLook w:val="04A0" w:firstRow="1" w:lastRow="0" w:firstColumn="1" w:lastColumn="0" w:noHBand="0" w:noVBand="1"/>
      </w:tblPr>
      <w:tblGrid>
        <w:gridCol w:w="4673"/>
        <w:gridCol w:w="2977"/>
      </w:tblGrid>
      <w:tr w:rsidR="0077235D" w:rsidRPr="007E253F" w14:paraId="100BFFF7" w14:textId="77777777" w:rsidTr="00607F84">
        <w:trPr>
          <w:trHeight w:val="183"/>
          <w:jc w:val="center"/>
        </w:trPr>
        <w:tc>
          <w:tcPr>
            <w:tcW w:w="4673" w:type="dxa"/>
          </w:tcPr>
          <w:p w14:paraId="31FA8EE1" w14:textId="77777777" w:rsidR="0077235D" w:rsidRPr="007E253F" w:rsidRDefault="0077235D" w:rsidP="00607F84">
            <w:pPr>
              <w:autoSpaceDE w:val="0"/>
              <w:autoSpaceDN w:val="0"/>
              <w:adjustRightInd w:val="0"/>
              <w:rPr>
                <w:rFonts w:cs="Times New Roman"/>
                <w:szCs w:val="24"/>
              </w:rPr>
            </w:pPr>
            <w:r w:rsidRPr="007E253F">
              <w:rPr>
                <w:rFonts w:cs="Times New Roman"/>
                <w:iCs/>
                <w:szCs w:val="24"/>
              </w:rPr>
              <w:t>Número atómico</w:t>
            </w:r>
          </w:p>
        </w:tc>
        <w:tc>
          <w:tcPr>
            <w:tcW w:w="2977" w:type="dxa"/>
          </w:tcPr>
          <w:p w14:paraId="74482DA5" w14:textId="77777777" w:rsidR="0077235D" w:rsidRPr="007E253F" w:rsidRDefault="0077235D" w:rsidP="00607F84">
            <w:pPr>
              <w:autoSpaceDE w:val="0"/>
              <w:autoSpaceDN w:val="0"/>
              <w:adjustRightInd w:val="0"/>
              <w:rPr>
                <w:rFonts w:cs="Times New Roman"/>
                <w:szCs w:val="24"/>
              </w:rPr>
            </w:pPr>
            <w:r w:rsidRPr="007E253F">
              <w:rPr>
                <w:rFonts w:cs="Times New Roman"/>
                <w:szCs w:val="24"/>
              </w:rPr>
              <w:t>7</w:t>
            </w:r>
          </w:p>
        </w:tc>
      </w:tr>
      <w:tr w:rsidR="0077235D" w:rsidRPr="007E253F" w14:paraId="3AD3B94E" w14:textId="77777777" w:rsidTr="00607F84">
        <w:trPr>
          <w:trHeight w:val="183"/>
          <w:jc w:val="center"/>
        </w:trPr>
        <w:tc>
          <w:tcPr>
            <w:tcW w:w="4673" w:type="dxa"/>
          </w:tcPr>
          <w:p w14:paraId="3767654C" w14:textId="77777777" w:rsidR="0077235D" w:rsidRPr="007E253F" w:rsidRDefault="0077235D" w:rsidP="00607F84">
            <w:pPr>
              <w:autoSpaceDE w:val="0"/>
              <w:autoSpaceDN w:val="0"/>
              <w:adjustRightInd w:val="0"/>
              <w:rPr>
                <w:rFonts w:cs="Times New Roman"/>
                <w:szCs w:val="24"/>
              </w:rPr>
            </w:pPr>
            <w:r w:rsidRPr="007E253F">
              <w:rPr>
                <w:rFonts w:cs="Times New Roman"/>
                <w:iCs/>
                <w:szCs w:val="24"/>
              </w:rPr>
              <w:t>Peso atómico</w:t>
            </w:r>
          </w:p>
        </w:tc>
        <w:tc>
          <w:tcPr>
            <w:tcW w:w="2977" w:type="dxa"/>
          </w:tcPr>
          <w:p w14:paraId="14A5E1CA" w14:textId="77777777" w:rsidR="0077235D" w:rsidRPr="007E253F" w:rsidRDefault="0077235D" w:rsidP="00607F84">
            <w:pPr>
              <w:autoSpaceDE w:val="0"/>
              <w:autoSpaceDN w:val="0"/>
              <w:adjustRightInd w:val="0"/>
              <w:rPr>
                <w:rFonts w:cs="Times New Roman"/>
                <w:szCs w:val="24"/>
              </w:rPr>
            </w:pPr>
            <w:r w:rsidRPr="007E253F">
              <w:rPr>
                <w:rFonts w:cs="Times New Roman"/>
                <w:szCs w:val="24"/>
              </w:rPr>
              <w:t>14,008</w:t>
            </w:r>
          </w:p>
        </w:tc>
      </w:tr>
      <w:tr w:rsidR="0077235D" w:rsidRPr="007E253F" w14:paraId="2E6E123A" w14:textId="77777777" w:rsidTr="00607F84">
        <w:trPr>
          <w:trHeight w:val="183"/>
          <w:jc w:val="center"/>
        </w:trPr>
        <w:tc>
          <w:tcPr>
            <w:tcW w:w="4673" w:type="dxa"/>
          </w:tcPr>
          <w:p w14:paraId="6778C4A5" w14:textId="77777777" w:rsidR="0077235D" w:rsidRPr="007E253F" w:rsidRDefault="0077235D" w:rsidP="00607F84">
            <w:pPr>
              <w:autoSpaceDE w:val="0"/>
              <w:autoSpaceDN w:val="0"/>
              <w:adjustRightInd w:val="0"/>
              <w:rPr>
                <w:rFonts w:cs="Times New Roman"/>
                <w:szCs w:val="24"/>
              </w:rPr>
            </w:pPr>
            <w:r w:rsidRPr="007E253F">
              <w:rPr>
                <w:rFonts w:cs="Times New Roman"/>
                <w:iCs/>
                <w:szCs w:val="24"/>
              </w:rPr>
              <w:t>Radio atómico covalente</w:t>
            </w:r>
          </w:p>
        </w:tc>
        <w:tc>
          <w:tcPr>
            <w:tcW w:w="2977" w:type="dxa"/>
          </w:tcPr>
          <w:p w14:paraId="1F1CC995" w14:textId="77777777" w:rsidR="0077235D" w:rsidRPr="007E253F" w:rsidRDefault="0077235D" w:rsidP="00607F84">
            <w:pPr>
              <w:autoSpaceDE w:val="0"/>
              <w:autoSpaceDN w:val="0"/>
              <w:adjustRightInd w:val="0"/>
              <w:rPr>
                <w:rFonts w:cs="Times New Roman"/>
                <w:szCs w:val="24"/>
              </w:rPr>
            </w:pPr>
            <w:r w:rsidRPr="007E253F">
              <w:rPr>
                <w:rFonts w:cs="Times New Roman"/>
                <w:szCs w:val="24"/>
              </w:rPr>
              <w:t>0,70 A</w:t>
            </w:r>
          </w:p>
        </w:tc>
      </w:tr>
      <w:tr w:rsidR="0077235D" w:rsidRPr="007E253F" w14:paraId="574911D5" w14:textId="77777777" w:rsidTr="00607F84">
        <w:trPr>
          <w:trHeight w:val="183"/>
          <w:jc w:val="center"/>
        </w:trPr>
        <w:tc>
          <w:tcPr>
            <w:tcW w:w="4673" w:type="dxa"/>
          </w:tcPr>
          <w:p w14:paraId="4FBDFE48" w14:textId="77777777" w:rsidR="0077235D" w:rsidRPr="007E253F" w:rsidRDefault="0077235D" w:rsidP="00607F84">
            <w:pPr>
              <w:autoSpaceDE w:val="0"/>
              <w:autoSpaceDN w:val="0"/>
              <w:adjustRightInd w:val="0"/>
              <w:rPr>
                <w:rFonts w:cs="Times New Roman"/>
                <w:szCs w:val="24"/>
              </w:rPr>
            </w:pPr>
            <w:r w:rsidRPr="007E253F">
              <w:rPr>
                <w:rFonts w:cs="Times New Roman"/>
                <w:iCs/>
                <w:szCs w:val="24"/>
              </w:rPr>
              <w:t>Radio del ion N3-</w:t>
            </w:r>
          </w:p>
        </w:tc>
        <w:tc>
          <w:tcPr>
            <w:tcW w:w="2977" w:type="dxa"/>
          </w:tcPr>
          <w:p w14:paraId="46D0E75F" w14:textId="77777777" w:rsidR="0077235D" w:rsidRPr="007E253F" w:rsidRDefault="0077235D" w:rsidP="00607F84">
            <w:pPr>
              <w:autoSpaceDE w:val="0"/>
              <w:autoSpaceDN w:val="0"/>
              <w:adjustRightInd w:val="0"/>
              <w:rPr>
                <w:rFonts w:cs="Times New Roman"/>
                <w:szCs w:val="24"/>
              </w:rPr>
            </w:pPr>
            <w:r w:rsidRPr="007E253F">
              <w:rPr>
                <w:rFonts w:cs="Times New Roman"/>
                <w:szCs w:val="24"/>
              </w:rPr>
              <w:t>1,71 A</w:t>
            </w:r>
          </w:p>
        </w:tc>
      </w:tr>
      <w:tr w:rsidR="0077235D" w:rsidRPr="007E253F" w14:paraId="3E6B7EF8" w14:textId="77777777" w:rsidTr="00607F84">
        <w:trPr>
          <w:trHeight w:val="183"/>
          <w:jc w:val="center"/>
        </w:trPr>
        <w:tc>
          <w:tcPr>
            <w:tcW w:w="4673" w:type="dxa"/>
          </w:tcPr>
          <w:p w14:paraId="293E0EEB" w14:textId="77777777" w:rsidR="0077235D" w:rsidRPr="007E253F" w:rsidRDefault="0077235D" w:rsidP="00607F84">
            <w:pPr>
              <w:autoSpaceDE w:val="0"/>
              <w:autoSpaceDN w:val="0"/>
              <w:adjustRightInd w:val="0"/>
              <w:rPr>
                <w:rFonts w:cs="Times New Roman"/>
                <w:b/>
                <w:szCs w:val="24"/>
              </w:rPr>
            </w:pPr>
            <w:r w:rsidRPr="007E253F">
              <w:rPr>
                <w:rFonts w:cs="Times New Roman"/>
                <w:iCs/>
                <w:szCs w:val="24"/>
              </w:rPr>
              <w:t>Abundancia de los isótopos</w:t>
            </w:r>
          </w:p>
        </w:tc>
        <w:tc>
          <w:tcPr>
            <w:tcW w:w="2977" w:type="dxa"/>
          </w:tcPr>
          <w:p w14:paraId="4CCF0E7C" w14:textId="77777777" w:rsidR="0077235D" w:rsidRPr="007E253F" w:rsidRDefault="0077235D" w:rsidP="00607F84">
            <w:pPr>
              <w:autoSpaceDE w:val="0"/>
              <w:autoSpaceDN w:val="0"/>
              <w:adjustRightInd w:val="0"/>
              <w:rPr>
                <w:rFonts w:cs="Times New Roman"/>
                <w:b/>
                <w:szCs w:val="24"/>
              </w:rPr>
            </w:pPr>
            <w:r w:rsidRPr="007E253F">
              <w:rPr>
                <w:rFonts w:cs="Times New Roman"/>
                <w:iCs/>
                <w:szCs w:val="24"/>
              </w:rPr>
              <w:t>N14, 99,62%; N15, 0,38%</w:t>
            </w:r>
          </w:p>
        </w:tc>
      </w:tr>
      <w:tr w:rsidR="0077235D" w:rsidRPr="007E253F" w14:paraId="34A46C04" w14:textId="77777777" w:rsidTr="00607F84">
        <w:trPr>
          <w:trHeight w:val="183"/>
          <w:jc w:val="center"/>
        </w:trPr>
        <w:tc>
          <w:tcPr>
            <w:tcW w:w="4673" w:type="dxa"/>
          </w:tcPr>
          <w:p w14:paraId="3CF2B45B" w14:textId="77777777" w:rsidR="0077235D" w:rsidRPr="007E253F" w:rsidRDefault="0077235D" w:rsidP="00607F84">
            <w:pPr>
              <w:autoSpaceDE w:val="0"/>
              <w:autoSpaceDN w:val="0"/>
              <w:adjustRightInd w:val="0"/>
              <w:rPr>
                <w:rFonts w:cs="Times New Roman"/>
                <w:b/>
                <w:szCs w:val="24"/>
              </w:rPr>
            </w:pPr>
            <w:r w:rsidRPr="007E253F">
              <w:rPr>
                <w:rFonts w:cs="Times New Roman"/>
                <w:iCs/>
                <w:szCs w:val="24"/>
              </w:rPr>
              <w:t>Notación espectral</w:t>
            </w:r>
          </w:p>
        </w:tc>
        <w:tc>
          <w:tcPr>
            <w:tcW w:w="2977" w:type="dxa"/>
          </w:tcPr>
          <w:p w14:paraId="45FDCCBE" w14:textId="77777777" w:rsidR="0077235D" w:rsidRPr="007E253F" w:rsidRDefault="0077235D" w:rsidP="00607F84">
            <w:pPr>
              <w:autoSpaceDE w:val="0"/>
              <w:autoSpaceDN w:val="0"/>
              <w:adjustRightInd w:val="0"/>
              <w:rPr>
                <w:rFonts w:cs="Times New Roman"/>
                <w:b/>
                <w:szCs w:val="24"/>
              </w:rPr>
            </w:pPr>
            <w:r w:rsidRPr="007E253F">
              <w:rPr>
                <w:rFonts w:cs="Times New Roman"/>
                <w:iCs/>
                <w:szCs w:val="24"/>
              </w:rPr>
              <w:t>1s2; 2s2, 2p3</w:t>
            </w:r>
          </w:p>
        </w:tc>
      </w:tr>
      <w:tr w:rsidR="0077235D" w:rsidRPr="007E253F" w14:paraId="12D32637" w14:textId="77777777" w:rsidTr="00607F84">
        <w:trPr>
          <w:trHeight w:val="183"/>
          <w:jc w:val="center"/>
        </w:trPr>
        <w:tc>
          <w:tcPr>
            <w:tcW w:w="4673" w:type="dxa"/>
          </w:tcPr>
          <w:p w14:paraId="22D0AAE0" w14:textId="77777777" w:rsidR="0077235D" w:rsidRPr="007E253F" w:rsidRDefault="0077235D" w:rsidP="00607F84">
            <w:pPr>
              <w:autoSpaceDE w:val="0"/>
              <w:autoSpaceDN w:val="0"/>
              <w:adjustRightInd w:val="0"/>
              <w:rPr>
                <w:rFonts w:cs="Times New Roman"/>
                <w:b/>
                <w:szCs w:val="24"/>
              </w:rPr>
            </w:pPr>
            <w:r w:rsidRPr="007E253F">
              <w:rPr>
                <w:rFonts w:cs="Times New Roman"/>
                <w:iCs/>
                <w:szCs w:val="24"/>
              </w:rPr>
              <w:t>Estado físico</w:t>
            </w:r>
          </w:p>
        </w:tc>
        <w:tc>
          <w:tcPr>
            <w:tcW w:w="2977" w:type="dxa"/>
          </w:tcPr>
          <w:p w14:paraId="3A38098D" w14:textId="77777777" w:rsidR="0077235D" w:rsidRPr="007E253F" w:rsidRDefault="0077235D" w:rsidP="00607F84">
            <w:pPr>
              <w:autoSpaceDE w:val="0"/>
              <w:autoSpaceDN w:val="0"/>
              <w:adjustRightInd w:val="0"/>
              <w:rPr>
                <w:rFonts w:cs="Times New Roman"/>
                <w:b/>
                <w:szCs w:val="24"/>
              </w:rPr>
            </w:pPr>
            <w:r w:rsidRPr="007E253F">
              <w:rPr>
                <w:rFonts w:cs="Times New Roman"/>
                <w:iCs/>
                <w:szCs w:val="24"/>
              </w:rPr>
              <w:t>Gas incoloro, inodoro e insípido</w:t>
            </w:r>
          </w:p>
        </w:tc>
      </w:tr>
      <w:tr w:rsidR="0077235D" w:rsidRPr="007E253F" w14:paraId="59B1E5F5" w14:textId="77777777" w:rsidTr="00607F84">
        <w:trPr>
          <w:trHeight w:val="183"/>
          <w:jc w:val="center"/>
        </w:trPr>
        <w:tc>
          <w:tcPr>
            <w:tcW w:w="4673" w:type="dxa"/>
          </w:tcPr>
          <w:p w14:paraId="496DC41A" w14:textId="77777777" w:rsidR="0077235D" w:rsidRPr="007E253F" w:rsidRDefault="0077235D" w:rsidP="00607F84">
            <w:pPr>
              <w:autoSpaceDE w:val="0"/>
              <w:autoSpaceDN w:val="0"/>
              <w:adjustRightInd w:val="0"/>
              <w:rPr>
                <w:rFonts w:cs="Times New Roman"/>
                <w:b/>
                <w:szCs w:val="24"/>
              </w:rPr>
            </w:pPr>
            <w:r w:rsidRPr="007E253F">
              <w:rPr>
                <w:rFonts w:cs="Times New Roman"/>
                <w:iCs/>
                <w:szCs w:val="24"/>
              </w:rPr>
              <w:t>Fórmula molecular</w:t>
            </w:r>
          </w:p>
        </w:tc>
        <w:tc>
          <w:tcPr>
            <w:tcW w:w="2977" w:type="dxa"/>
          </w:tcPr>
          <w:p w14:paraId="1308F529" w14:textId="77777777" w:rsidR="0077235D" w:rsidRPr="007E253F" w:rsidRDefault="0077235D" w:rsidP="00607F84">
            <w:pPr>
              <w:autoSpaceDE w:val="0"/>
              <w:autoSpaceDN w:val="0"/>
              <w:adjustRightInd w:val="0"/>
              <w:rPr>
                <w:rFonts w:cs="Times New Roman"/>
                <w:b/>
                <w:szCs w:val="24"/>
              </w:rPr>
            </w:pPr>
            <w:r w:rsidRPr="007E253F">
              <w:rPr>
                <w:rFonts w:cs="Times New Roman"/>
                <w:iCs/>
                <w:szCs w:val="24"/>
              </w:rPr>
              <w:t>N</w:t>
            </w:r>
            <w:r w:rsidRPr="00330E8C">
              <w:rPr>
                <w:rFonts w:cs="Times New Roman"/>
                <w:iCs/>
                <w:szCs w:val="24"/>
                <w:vertAlign w:val="subscript"/>
              </w:rPr>
              <w:t>2</w:t>
            </w:r>
          </w:p>
        </w:tc>
      </w:tr>
      <w:tr w:rsidR="0077235D" w:rsidRPr="007E253F" w14:paraId="4FDA5485" w14:textId="77777777" w:rsidTr="00607F84">
        <w:trPr>
          <w:trHeight w:val="183"/>
          <w:jc w:val="center"/>
        </w:trPr>
        <w:tc>
          <w:tcPr>
            <w:tcW w:w="4673" w:type="dxa"/>
          </w:tcPr>
          <w:p w14:paraId="18CFCD76"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Densidad absoluta (en c. n.).</w:t>
            </w:r>
          </w:p>
        </w:tc>
        <w:tc>
          <w:tcPr>
            <w:tcW w:w="2977" w:type="dxa"/>
          </w:tcPr>
          <w:p w14:paraId="7709D918" w14:textId="666F224C" w:rsidR="0077235D" w:rsidRPr="007E253F" w:rsidRDefault="0077235D" w:rsidP="00330E8C">
            <w:pPr>
              <w:autoSpaceDE w:val="0"/>
              <w:autoSpaceDN w:val="0"/>
              <w:adjustRightInd w:val="0"/>
              <w:rPr>
                <w:rFonts w:cs="Times New Roman"/>
                <w:iCs/>
                <w:szCs w:val="24"/>
              </w:rPr>
            </w:pPr>
            <w:r w:rsidRPr="007E253F">
              <w:rPr>
                <w:rFonts w:cs="Times New Roman"/>
                <w:iCs/>
                <w:szCs w:val="24"/>
              </w:rPr>
              <w:t>1,2506 g/</w:t>
            </w:r>
            <w:r w:rsidR="00330E8C">
              <w:rPr>
                <w:rFonts w:cs="Times New Roman"/>
                <w:iCs/>
                <w:szCs w:val="24"/>
              </w:rPr>
              <w:t>l</w:t>
            </w:r>
          </w:p>
        </w:tc>
      </w:tr>
      <w:tr w:rsidR="0077235D" w:rsidRPr="007E253F" w14:paraId="56C78C78" w14:textId="77777777" w:rsidTr="00607F84">
        <w:trPr>
          <w:trHeight w:val="183"/>
          <w:jc w:val="center"/>
        </w:trPr>
        <w:tc>
          <w:tcPr>
            <w:tcW w:w="4673" w:type="dxa"/>
          </w:tcPr>
          <w:p w14:paraId="05E95440"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Densidad relativa, (aire = I)</w:t>
            </w:r>
          </w:p>
        </w:tc>
        <w:tc>
          <w:tcPr>
            <w:tcW w:w="2977" w:type="dxa"/>
          </w:tcPr>
          <w:p w14:paraId="6351DE3C"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0,9672</w:t>
            </w:r>
          </w:p>
        </w:tc>
      </w:tr>
      <w:tr w:rsidR="0077235D" w:rsidRPr="007E253F" w14:paraId="20990FEF" w14:textId="77777777" w:rsidTr="00607F84">
        <w:trPr>
          <w:trHeight w:val="368"/>
          <w:jc w:val="center"/>
        </w:trPr>
        <w:tc>
          <w:tcPr>
            <w:tcW w:w="4673" w:type="dxa"/>
          </w:tcPr>
          <w:p w14:paraId="4064CE48"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Densidad del N2 líquido</w:t>
            </w:r>
          </w:p>
        </w:tc>
        <w:tc>
          <w:tcPr>
            <w:tcW w:w="2977" w:type="dxa"/>
          </w:tcPr>
          <w:p w14:paraId="764A6F34" w14:textId="77777777" w:rsidR="0077235D" w:rsidRPr="007E253F" w:rsidRDefault="0077235D" w:rsidP="00607F84">
            <w:pPr>
              <w:tabs>
                <w:tab w:val="center" w:pos="1947"/>
              </w:tabs>
              <w:autoSpaceDE w:val="0"/>
              <w:autoSpaceDN w:val="0"/>
              <w:adjustRightInd w:val="0"/>
              <w:rPr>
                <w:rFonts w:cs="Times New Roman"/>
                <w:iCs/>
                <w:szCs w:val="24"/>
              </w:rPr>
            </w:pPr>
            <w:r w:rsidRPr="007E253F">
              <w:rPr>
                <w:rFonts w:cs="Times New Roman"/>
                <w:iCs/>
                <w:szCs w:val="24"/>
              </w:rPr>
              <w:t>8,808</w:t>
            </w:r>
          </w:p>
        </w:tc>
      </w:tr>
      <w:tr w:rsidR="0077235D" w:rsidRPr="007E253F" w14:paraId="094B2809" w14:textId="77777777" w:rsidTr="00607F84">
        <w:trPr>
          <w:trHeight w:val="657"/>
          <w:jc w:val="center"/>
        </w:trPr>
        <w:tc>
          <w:tcPr>
            <w:tcW w:w="4673" w:type="dxa"/>
          </w:tcPr>
          <w:p w14:paraId="2B0508FC"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Solubilidad en agua (cm3 en c. n. por litro):</w:t>
            </w:r>
          </w:p>
        </w:tc>
        <w:tc>
          <w:tcPr>
            <w:tcW w:w="2977" w:type="dxa"/>
          </w:tcPr>
          <w:p w14:paraId="7B36781F"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 xml:space="preserve">a 0 ºC.......23,54 </w:t>
            </w:r>
          </w:p>
          <w:p w14:paraId="73AB2F86"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 xml:space="preserve">a 25 ºC.....14,34 </w:t>
            </w:r>
          </w:p>
        </w:tc>
      </w:tr>
      <w:tr w:rsidR="0077235D" w:rsidRPr="007E253F" w14:paraId="27F29D50" w14:textId="77777777" w:rsidTr="00607F84">
        <w:trPr>
          <w:trHeight w:val="371"/>
          <w:jc w:val="center"/>
        </w:trPr>
        <w:tc>
          <w:tcPr>
            <w:tcW w:w="4673" w:type="dxa"/>
          </w:tcPr>
          <w:p w14:paraId="234B9A97"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Punto de ebullición</w:t>
            </w:r>
          </w:p>
        </w:tc>
        <w:tc>
          <w:tcPr>
            <w:tcW w:w="2977" w:type="dxa"/>
          </w:tcPr>
          <w:p w14:paraId="26766AF9"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-195,8 ºC</w:t>
            </w:r>
          </w:p>
        </w:tc>
      </w:tr>
      <w:tr w:rsidR="0077235D" w:rsidRPr="007E253F" w14:paraId="338B5088" w14:textId="77777777" w:rsidTr="00607F84">
        <w:trPr>
          <w:trHeight w:val="378"/>
          <w:jc w:val="center"/>
        </w:trPr>
        <w:tc>
          <w:tcPr>
            <w:tcW w:w="4673" w:type="dxa"/>
          </w:tcPr>
          <w:p w14:paraId="2189CB26"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Punto de congelación</w:t>
            </w:r>
          </w:p>
        </w:tc>
        <w:tc>
          <w:tcPr>
            <w:tcW w:w="2977" w:type="dxa"/>
          </w:tcPr>
          <w:p w14:paraId="3E43366A"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-209,86 ºC</w:t>
            </w:r>
          </w:p>
        </w:tc>
      </w:tr>
      <w:tr w:rsidR="0077235D" w:rsidRPr="007E253F" w14:paraId="29C97CC8" w14:textId="77777777" w:rsidTr="00607F84">
        <w:trPr>
          <w:trHeight w:val="370"/>
          <w:jc w:val="center"/>
        </w:trPr>
        <w:tc>
          <w:tcPr>
            <w:tcW w:w="4673" w:type="dxa"/>
          </w:tcPr>
          <w:p w14:paraId="029D4AF3"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Temperatura crítica</w:t>
            </w:r>
          </w:p>
        </w:tc>
        <w:tc>
          <w:tcPr>
            <w:tcW w:w="2977" w:type="dxa"/>
          </w:tcPr>
          <w:p w14:paraId="67510213"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-147,1 ºC</w:t>
            </w:r>
          </w:p>
        </w:tc>
      </w:tr>
      <w:tr w:rsidR="0077235D" w:rsidRPr="007E253F" w14:paraId="0CE6D324" w14:textId="77777777" w:rsidTr="00607F84">
        <w:trPr>
          <w:trHeight w:val="233"/>
          <w:jc w:val="center"/>
        </w:trPr>
        <w:tc>
          <w:tcPr>
            <w:tcW w:w="4673" w:type="dxa"/>
          </w:tcPr>
          <w:p w14:paraId="31C4C206"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Presión crítica</w:t>
            </w:r>
          </w:p>
        </w:tc>
        <w:tc>
          <w:tcPr>
            <w:tcW w:w="2977" w:type="dxa"/>
          </w:tcPr>
          <w:p w14:paraId="645430F3" w14:textId="77777777" w:rsidR="0077235D" w:rsidRPr="007E253F" w:rsidRDefault="0077235D" w:rsidP="00607F84">
            <w:pPr>
              <w:autoSpaceDE w:val="0"/>
              <w:autoSpaceDN w:val="0"/>
              <w:adjustRightInd w:val="0"/>
              <w:rPr>
                <w:rFonts w:cs="Times New Roman"/>
                <w:iCs/>
                <w:szCs w:val="24"/>
              </w:rPr>
            </w:pPr>
            <w:r w:rsidRPr="007E253F">
              <w:rPr>
                <w:rFonts w:cs="Times New Roman"/>
                <w:iCs/>
                <w:szCs w:val="24"/>
              </w:rPr>
              <w:t>33,5 atm</w:t>
            </w:r>
          </w:p>
        </w:tc>
      </w:tr>
    </w:tbl>
    <w:p w14:paraId="0E3EBF08" w14:textId="53CA90C3" w:rsidR="0077235D" w:rsidRPr="00607F84" w:rsidRDefault="00D44506" w:rsidP="000E2B3A">
      <w:pPr>
        <w:autoSpaceDE w:val="0"/>
        <w:autoSpaceDN w:val="0"/>
        <w:adjustRightInd w:val="0"/>
        <w:spacing w:after="0" w:line="360" w:lineRule="auto"/>
        <w:rPr>
          <w:rFonts w:cs="Times New Roman"/>
          <w:iCs/>
          <w:sz w:val="20"/>
          <w:szCs w:val="20"/>
        </w:rPr>
      </w:pPr>
      <w:r>
        <w:rPr>
          <w:rFonts w:cs="Times New Roman"/>
          <w:b/>
          <w:iCs/>
          <w:sz w:val="20"/>
          <w:szCs w:val="20"/>
        </w:rPr>
        <w:t xml:space="preserve">  </w:t>
      </w:r>
      <w:r w:rsidR="0077235D" w:rsidRPr="00607F84">
        <w:rPr>
          <w:rFonts w:cs="Times New Roman"/>
          <w:b/>
          <w:iCs/>
          <w:sz w:val="20"/>
          <w:szCs w:val="20"/>
        </w:rPr>
        <w:t>Fuente</w:t>
      </w:r>
      <w:r w:rsidR="0077235D" w:rsidRPr="00607F84">
        <w:rPr>
          <w:rFonts w:cs="Times New Roman"/>
          <w:b/>
          <w:i/>
          <w:sz w:val="20"/>
          <w:szCs w:val="20"/>
        </w:rPr>
        <w:t>:</w:t>
      </w:r>
      <w:r w:rsidR="0077235D" w:rsidRPr="00607F84">
        <w:rPr>
          <w:rFonts w:cs="Times New Roman"/>
          <w:iCs/>
          <w:sz w:val="20"/>
          <w:szCs w:val="20"/>
        </w:rPr>
        <w:t xml:space="preserve"> </w:t>
      </w:r>
      <w:sdt>
        <w:sdtPr>
          <w:rPr>
            <w:rFonts w:cs="Times New Roman"/>
            <w:iCs/>
            <w:sz w:val="20"/>
            <w:szCs w:val="20"/>
          </w:rPr>
          <w:id w:val="-2107417101"/>
          <w:citation/>
        </w:sdtPr>
        <w:sdtEndPr/>
        <w:sdtContent>
          <w:r w:rsidR="00B84691" w:rsidRPr="00607F84">
            <w:rPr>
              <w:rFonts w:cs="Times New Roman"/>
              <w:iCs/>
              <w:sz w:val="20"/>
              <w:szCs w:val="20"/>
            </w:rPr>
            <w:fldChar w:fldCharType="begin"/>
          </w:r>
          <w:r w:rsidR="00B84691" w:rsidRPr="00607F84">
            <w:rPr>
              <w:rFonts w:cs="Times New Roman"/>
              <w:iCs/>
              <w:sz w:val="20"/>
              <w:szCs w:val="20"/>
            </w:rPr>
            <w:instrText xml:space="preserve">CITATION Tri13 \l 12298 </w:instrText>
          </w:r>
          <w:r w:rsidR="00B84691" w:rsidRPr="00607F84">
            <w:rPr>
              <w:rFonts w:cs="Times New Roman"/>
              <w:iCs/>
              <w:sz w:val="20"/>
              <w:szCs w:val="20"/>
            </w:rPr>
            <w:fldChar w:fldCharType="separate"/>
          </w:r>
          <w:r w:rsidR="005106B9" w:rsidRPr="005106B9">
            <w:rPr>
              <w:rFonts w:cs="Times New Roman"/>
              <w:noProof/>
              <w:sz w:val="20"/>
              <w:szCs w:val="20"/>
            </w:rPr>
            <w:t>(Trinidad, 2013)</w:t>
          </w:r>
          <w:r w:rsidR="00B84691" w:rsidRPr="00607F84">
            <w:rPr>
              <w:rFonts w:cs="Times New Roman"/>
              <w:iCs/>
              <w:sz w:val="20"/>
              <w:szCs w:val="20"/>
            </w:rPr>
            <w:fldChar w:fldCharType="end"/>
          </w:r>
        </w:sdtContent>
      </w:sdt>
    </w:p>
    <w:p w14:paraId="0589E423" w14:textId="288C6DF8" w:rsidR="0077235D" w:rsidRPr="006B5661" w:rsidRDefault="0077235D" w:rsidP="006B5661">
      <w:pPr>
        <w:pStyle w:val="Prrafodelista"/>
        <w:numPr>
          <w:ilvl w:val="3"/>
          <w:numId w:val="3"/>
        </w:numPr>
        <w:spacing w:before="360" w:after="360"/>
        <w:rPr>
          <w:b/>
          <w:bCs/>
        </w:rPr>
      </w:pPr>
      <w:bookmarkStart w:id="499" w:name="_Toc29312358"/>
      <w:bookmarkStart w:id="500" w:name="_Toc29319397"/>
      <w:bookmarkStart w:id="501" w:name="_Toc35185823"/>
      <w:bookmarkStart w:id="502" w:name="_Toc35186316"/>
      <w:bookmarkStart w:id="503" w:name="_Toc72741084"/>
      <w:bookmarkStart w:id="504" w:name="_Toc72741882"/>
      <w:bookmarkStart w:id="505" w:name="_Toc72742680"/>
      <w:bookmarkStart w:id="506" w:name="_Toc72881432"/>
      <w:bookmarkStart w:id="507" w:name="_Toc72882514"/>
      <w:bookmarkStart w:id="508" w:name="_Toc75608859"/>
      <w:bookmarkStart w:id="509" w:name="_Toc75611785"/>
      <w:bookmarkStart w:id="510" w:name="_Toc75612631"/>
      <w:bookmarkStart w:id="511" w:name="_Toc75679786"/>
      <w:bookmarkStart w:id="512" w:name="_Toc75702394"/>
      <w:r w:rsidRPr="006B5661">
        <w:rPr>
          <w:b/>
          <w:bCs/>
        </w:rPr>
        <w:t>Ciclo del nitrógeno</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313F9841" w14:textId="47C2938A" w:rsidR="008A3AD8" w:rsidRDefault="0077235D" w:rsidP="000E2B3A">
      <w:pPr>
        <w:autoSpaceDE w:val="0"/>
        <w:autoSpaceDN w:val="0"/>
        <w:adjustRightInd w:val="0"/>
        <w:spacing w:after="0" w:line="360" w:lineRule="auto"/>
        <w:rPr>
          <w:rFonts w:cs="Times New Roman"/>
          <w:szCs w:val="24"/>
        </w:rPr>
      </w:pPr>
      <w:r w:rsidRPr="007E253F">
        <w:rPr>
          <w:rFonts w:cs="Times New Roman"/>
          <w:szCs w:val="24"/>
        </w:rPr>
        <w:t xml:space="preserve">El ciclo del nitrógeno es particularmente complejo y dinámico, ya que en él se dan una serie de cambios y transformaciones, de las cuales un gran número de ellas dependen netamente de procesos microbiales, que a su vez se ven afectados por diferentes factores como: temperatura, humedad, aireación y pH del suelo entre otros </w:t>
      </w:r>
      <w:sdt>
        <w:sdtPr>
          <w:rPr>
            <w:rFonts w:cs="Times New Roman"/>
            <w:szCs w:val="24"/>
          </w:rPr>
          <w:id w:val="-1153831403"/>
          <w:citation/>
        </w:sdtPr>
        <w:sdtEndPr/>
        <w:sdtContent>
          <w:r w:rsidR="000E59DD" w:rsidRPr="007E253F">
            <w:rPr>
              <w:rFonts w:cs="Times New Roman"/>
              <w:szCs w:val="24"/>
            </w:rPr>
            <w:fldChar w:fldCharType="begin"/>
          </w:r>
          <w:r w:rsidR="000E59DD" w:rsidRPr="007E253F">
            <w:rPr>
              <w:rFonts w:cs="Times New Roman"/>
              <w:szCs w:val="24"/>
            </w:rPr>
            <w:instrText xml:space="preserve">CITATION Eli06 \l 12298 </w:instrText>
          </w:r>
          <w:r w:rsidR="000E59DD" w:rsidRPr="007E253F">
            <w:rPr>
              <w:rFonts w:cs="Times New Roman"/>
              <w:szCs w:val="24"/>
            </w:rPr>
            <w:fldChar w:fldCharType="separate"/>
          </w:r>
          <w:r w:rsidR="005106B9" w:rsidRPr="005106B9">
            <w:rPr>
              <w:rFonts w:cs="Times New Roman"/>
              <w:noProof/>
              <w:szCs w:val="24"/>
            </w:rPr>
            <w:t>(Elizondo, 2006)</w:t>
          </w:r>
          <w:r w:rsidR="000E59DD" w:rsidRPr="007E253F">
            <w:rPr>
              <w:rFonts w:cs="Times New Roman"/>
              <w:szCs w:val="24"/>
            </w:rPr>
            <w:fldChar w:fldCharType="end"/>
          </w:r>
        </w:sdtContent>
      </w:sdt>
    </w:p>
    <w:p w14:paraId="5ACBDC08" w14:textId="7D376638" w:rsidR="0077235D" w:rsidRPr="006B5661" w:rsidRDefault="0077235D" w:rsidP="006B5661">
      <w:pPr>
        <w:autoSpaceDE w:val="0"/>
        <w:autoSpaceDN w:val="0"/>
        <w:adjustRightInd w:val="0"/>
        <w:spacing w:before="240" w:after="360" w:line="360" w:lineRule="auto"/>
        <w:rPr>
          <w:rFonts w:cs="Times New Roman"/>
          <w:i/>
          <w:szCs w:val="24"/>
        </w:rPr>
      </w:pPr>
      <w:r w:rsidRPr="007E253F">
        <w:rPr>
          <w:rFonts w:cs="Times New Roman"/>
          <w:szCs w:val="24"/>
        </w:rPr>
        <w:t>Los organismos autótrofos requieren típicamente un suministro de nitrógeno en forma de nitrato (NO</w:t>
      </w:r>
      <w:r w:rsidRPr="00330E8C">
        <w:rPr>
          <w:rFonts w:cs="Times New Roman"/>
          <w:szCs w:val="24"/>
          <w:vertAlign w:val="subscript"/>
        </w:rPr>
        <w:t>3</w:t>
      </w:r>
      <w:r w:rsidRPr="007E253F">
        <w:rPr>
          <w:rFonts w:cs="Times New Roman"/>
          <w:szCs w:val="24"/>
        </w:rPr>
        <w:t xml:space="preserve"> -), mientras que los heterótrofos lo necesitan en forma de grupos amino (-NH</w:t>
      </w:r>
      <w:r w:rsidRPr="00330E8C">
        <w:rPr>
          <w:rFonts w:cs="Times New Roman"/>
          <w:szCs w:val="24"/>
          <w:vertAlign w:val="subscript"/>
        </w:rPr>
        <w:t>2</w:t>
      </w:r>
      <w:r w:rsidRPr="007E253F">
        <w:rPr>
          <w:rFonts w:cs="Times New Roman"/>
          <w:szCs w:val="24"/>
        </w:rPr>
        <w:t>), y lo toman en sus alimentos formando parte de la composición de distintas biomoléculas. Los autótrofos reducen el nitrógeno oxidado que reciben como nitrato (NO</w:t>
      </w:r>
      <w:r w:rsidRPr="00330E8C">
        <w:rPr>
          <w:rFonts w:cs="Times New Roman"/>
          <w:szCs w:val="24"/>
          <w:vertAlign w:val="subscript"/>
        </w:rPr>
        <w:t>3</w:t>
      </w:r>
      <w:r w:rsidRPr="007E253F">
        <w:rPr>
          <w:rFonts w:cs="Times New Roman"/>
          <w:szCs w:val="24"/>
        </w:rPr>
        <w:t xml:space="preserve"> -) a grupos amino, reducidos (asimilación). Para volver a contar con nitrato hace falta que los descomponedores lo extraigan de la biomasa dejándolo en la forma reducida de i</w:t>
      </w:r>
      <w:r w:rsidR="00330E8C">
        <w:rPr>
          <w:rFonts w:cs="Times New Roman"/>
          <w:szCs w:val="24"/>
        </w:rPr>
        <w:t>o</w:t>
      </w:r>
      <w:r w:rsidRPr="007E253F">
        <w:rPr>
          <w:rFonts w:cs="Times New Roman"/>
          <w:szCs w:val="24"/>
        </w:rPr>
        <w:t>n amonio (NH</w:t>
      </w:r>
      <w:r w:rsidRPr="00330E8C">
        <w:rPr>
          <w:rFonts w:cs="Times New Roman"/>
          <w:szCs w:val="24"/>
          <w:vertAlign w:val="subscript"/>
        </w:rPr>
        <w:t>4</w:t>
      </w:r>
      <w:r w:rsidRPr="007E253F">
        <w:rPr>
          <w:rFonts w:cs="Times New Roman"/>
          <w:szCs w:val="24"/>
        </w:rPr>
        <w:t xml:space="preserve"> +), proceso llamado </w:t>
      </w:r>
      <w:r w:rsidRPr="007E253F">
        <w:rPr>
          <w:rFonts w:cs="Times New Roman"/>
          <w:szCs w:val="24"/>
        </w:rPr>
        <w:lastRenderedPageBreak/>
        <w:t>amonificación; y que luego el amonio sea oxidado a nitrato, proceso llamado nitrificación. El ciclo se completa con los procesos de fijación de nitrógeno, que origina compuestos solubles a partir del N</w:t>
      </w:r>
      <w:r w:rsidRPr="00330E8C">
        <w:rPr>
          <w:rFonts w:cs="Times New Roman"/>
          <w:szCs w:val="24"/>
          <w:vertAlign w:val="subscript"/>
        </w:rPr>
        <w:t>2</w:t>
      </w:r>
      <w:r w:rsidRPr="007E253F">
        <w:rPr>
          <w:rFonts w:cs="Times New Roman"/>
          <w:szCs w:val="24"/>
        </w:rPr>
        <w:t>, y la desnitrificación que es una forma de respiración anaerobia que devuelve N</w:t>
      </w:r>
      <w:r w:rsidRPr="00330E8C">
        <w:rPr>
          <w:rFonts w:cs="Times New Roman"/>
          <w:szCs w:val="24"/>
          <w:vertAlign w:val="subscript"/>
        </w:rPr>
        <w:t>2</w:t>
      </w:r>
      <w:r w:rsidRPr="007E253F">
        <w:rPr>
          <w:rFonts w:cs="Times New Roman"/>
          <w:szCs w:val="24"/>
        </w:rPr>
        <w:t xml:space="preserve"> a la </w:t>
      </w:r>
      <w:r w:rsidR="00AA4042" w:rsidRPr="007E253F">
        <w:rPr>
          <w:rFonts w:cs="Times New Roman"/>
          <w:szCs w:val="24"/>
        </w:rPr>
        <w:t xml:space="preserve">atmósfera completando el ciclo </w:t>
      </w:r>
      <w:sdt>
        <w:sdtPr>
          <w:rPr>
            <w:rFonts w:cs="Times New Roman"/>
            <w:szCs w:val="24"/>
          </w:rPr>
          <w:id w:val="580874852"/>
          <w:citation/>
        </w:sdtPr>
        <w:sdtEndPr/>
        <w:sdtContent>
          <w:r w:rsidR="00AA4042" w:rsidRPr="007E253F">
            <w:rPr>
              <w:rFonts w:cs="Times New Roman"/>
              <w:szCs w:val="24"/>
            </w:rPr>
            <w:fldChar w:fldCharType="begin"/>
          </w:r>
          <w:r w:rsidR="00AA4042" w:rsidRPr="007E253F">
            <w:rPr>
              <w:rFonts w:cs="Times New Roman"/>
              <w:szCs w:val="24"/>
            </w:rPr>
            <w:instrText xml:space="preserve"> CITATION Iñó18 \l 12298 </w:instrText>
          </w:r>
          <w:r w:rsidR="00AA4042" w:rsidRPr="007E253F">
            <w:rPr>
              <w:rFonts w:cs="Times New Roman"/>
              <w:szCs w:val="24"/>
            </w:rPr>
            <w:fldChar w:fldCharType="separate"/>
          </w:r>
          <w:r w:rsidR="005106B9" w:rsidRPr="005106B9">
            <w:rPr>
              <w:rFonts w:cs="Times New Roman"/>
              <w:noProof/>
              <w:szCs w:val="24"/>
            </w:rPr>
            <w:t>(Iñón, 2018)</w:t>
          </w:r>
          <w:r w:rsidR="00AA4042" w:rsidRPr="007E253F">
            <w:rPr>
              <w:rFonts w:cs="Times New Roman"/>
              <w:szCs w:val="24"/>
            </w:rPr>
            <w:fldChar w:fldCharType="end"/>
          </w:r>
        </w:sdtContent>
      </w:sdt>
    </w:p>
    <w:p w14:paraId="6D1595AE" w14:textId="354FC345" w:rsidR="0077235D" w:rsidRPr="006B5661" w:rsidRDefault="0077235D" w:rsidP="00135DE8">
      <w:pPr>
        <w:pStyle w:val="Prrafodelista"/>
        <w:numPr>
          <w:ilvl w:val="0"/>
          <w:numId w:val="42"/>
        </w:numPr>
        <w:autoSpaceDE w:val="0"/>
        <w:autoSpaceDN w:val="0"/>
        <w:adjustRightInd w:val="0"/>
        <w:spacing w:before="360" w:after="360" w:line="360" w:lineRule="auto"/>
        <w:rPr>
          <w:rFonts w:cs="Times New Roman"/>
          <w:b/>
          <w:szCs w:val="24"/>
        </w:rPr>
      </w:pPr>
      <w:r w:rsidRPr="006B5661">
        <w:rPr>
          <w:rFonts w:cs="Times New Roman"/>
          <w:b/>
          <w:szCs w:val="24"/>
        </w:rPr>
        <w:t xml:space="preserve">Fijación </w:t>
      </w:r>
    </w:p>
    <w:p w14:paraId="701C371C" w14:textId="4B04D95B" w:rsidR="0077235D" w:rsidRPr="007E253F" w:rsidRDefault="0077235D" w:rsidP="000E2B3A">
      <w:pPr>
        <w:autoSpaceDE w:val="0"/>
        <w:autoSpaceDN w:val="0"/>
        <w:adjustRightInd w:val="0"/>
        <w:spacing w:after="0" w:line="360" w:lineRule="auto"/>
        <w:rPr>
          <w:rFonts w:cs="Times New Roman"/>
          <w:b/>
          <w:szCs w:val="24"/>
        </w:rPr>
      </w:pPr>
      <w:r w:rsidRPr="007E253F">
        <w:rPr>
          <w:rFonts w:cs="Times New Roman"/>
          <w:szCs w:val="24"/>
        </w:rPr>
        <w:t xml:space="preserve">Es la fase del ciclo donde el nitrógeno que se encuentra en la atmósfera terrestre se integra en la vegetación, por medio de unos microorganismos que están en el suelo y en medios acuáticos. Esto sucede porque el nitrógeno gaseoso se transforma en amoniaco, ya que las bacterias lo transforman y lo descomponen absorbiendo los nutrientes que estas utilizan para subsistir, y de esta manera se fijan al suelo, estas bacterias son precavidas ya que viven en las raíces de las plantas para que el oxígeno no llegue a ellas y pueda transformar el nitrógeno y no hacerles daño </w:t>
      </w:r>
      <w:sdt>
        <w:sdtPr>
          <w:rPr>
            <w:rFonts w:cs="Times New Roman"/>
            <w:szCs w:val="24"/>
          </w:rPr>
          <w:id w:val="450987538"/>
          <w:citation/>
        </w:sdtPr>
        <w:sdtEndPr/>
        <w:sdtContent>
          <w:r w:rsidR="00B84691" w:rsidRPr="007E253F">
            <w:rPr>
              <w:rFonts w:cs="Times New Roman"/>
              <w:szCs w:val="24"/>
            </w:rPr>
            <w:fldChar w:fldCharType="begin"/>
          </w:r>
          <w:r w:rsidR="00B84691" w:rsidRPr="007E253F">
            <w:rPr>
              <w:rFonts w:cs="Times New Roman"/>
              <w:szCs w:val="24"/>
            </w:rPr>
            <w:instrText xml:space="preserve">CITATION Lar16 \l 12298 </w:instrText>
          </w:r>
          <w:r w:rsidR="00B84691" w:rsidRPr="007E253F">
            <w:rPr>
              <w:rFonts w:cs="Times New Roman"/>
              <w:szCs w:val="24"/>
            </w:rPr>
            <w:fldChar w:fldCharType="separate"/>
          </w:r>
          <w:r w:rsidR="005106B9" w:rsidRPr="005106B9">
            <w:rPr>
              <w:rFonts w:cs="Times New Roman"/>
              <w:noProof/>
              <w:szCs w:val="24"/>
            </w:rPr>
            <w:t>(Lara, 2016)</w:t>
          </w:r>
          <w:r w:rsidR="00B84691" w:rsidRPr="007E253F">
            <w:rPr>
              <w:rFonts w:cs="Times New Roman"/>
              <w:szCs w:val="24"/>
            </w:rPr>
            <w:fldChar w:fldCharType="end"/>
          </w:r>
        </w:sdtContent>
      </w:sdt>
    </w:p>
    <w:p w14:paraId="5DABBA1C" w14:textId="7BBA9708" w:rsidR="0077235D" w:rsidRPr="006B5661" w:rsidRDefault="0077235D" w:rsidP="00135DE8">
      <w:pPr>
        <w:pStyle w:val="Prrafodelista"/>
        <w:numPr>
          <w:ilvl w:val="0"/>
          <w:numId w:val="42"/>
        </w:numPr>
        <w:spacing w:before="360" w:after="360"/>
        <w:ind w:left="714" w:hanging="357"/>
        <w:rPr>
          <w:b/>
          <w:bCs/>
        </w:rPr>
      </w:pPr>
      <w:r w:rsidRPr="006B5661">
        <w:rPr>
          <w:b/>
          <w:bCs/>
        </w:rPr>
        <w:t>Nitrificación</w:t>
      </w:r>
    </w:p>
    <w:p w14:paraId="200FA2BC" w14:textId="09441A4E"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 xml:space="preserve">La nitrificación es el proceso por el cual varias especies de bacterias comunes en los suelos son capaces de oxidar el amoníaco o el ión amonio. Es un proceso generador de energía, y la energía liberada es utilizada por estas bacterias como fuente de energía primaria. Un grupo de bacterias oxida el amoníaco o ión amonio a nitrito y luego otro grupo lo oxida a nitrato </w:t>
      </w:r>
      <w:sdt>
        <w:sdtPr>
          <w:rPr>
            <w:rFonts w:cs="Times New Roman"/>
            <w:szCs w:val="24"/>
          </w:rPr>
          <w:id w:val="-1902595942"/>
          <w:citation/>
        </w:sdtPr>
        <w:sdtEndPr/>
        <w:sdtContent>
          <w:r w:rsidR="000E59DD" w:rsidRPr="007E253F">
            <w:rPr>
              <w:rFonts w:cs="Times New Roman"/>
              <w:szCs w:val="24"/>
            </w:rPr>
            <w:fldChar w:fldCharType="begin"/>
          </w:r>
          <w:r w:rsidR="000E59DD" w:rsidRPr="007E253F">
            <w:rPr>
              <w:rFonts w:cs="Times New Roman"/>
              <w:szCs w:val="24"/>
            </w:rPr>
            <w:instrText xml:space="preserve">CITATION Iñó18 \l 12298 </w:instrText>
          </w:r>
          <w:r w:rsidR="000E59DD" w:rsidRPr="007E253F">
            <w:rPr>
              <w:rFonts w:cs="Times New Roman"/>
              <w:szCs w:val="24"/>
            </w:rPr>
            <w:fldChar w:fldCharType="separate"/>
          </w:r>
          <w:r w:rsidR="005106B9" w:rsidRPr="005106B9">
            <w:rPr>
              <w:rFonts w:cs="Times New Roman"/>
              <w:noProof/>
              <w:szCs w:val="24"/>
            </w:rPr>
            <w:t>(Iñón, 2018)</w:t>
          </w:r>
          <w:r w:rsidR="000E59DD" w:rsidRPr="007E253F">
            <w:rPr>
              <w:rFonts w:cs="Times New Roman"/>
              <w:szCs w:val="24"/>
            </w:rPr>
            <w:fldChar w:fldCharType="end"/>
          </w:r>
        </w:sdtContent>
      </w:sdt>
    </w:p>
    <w:p w14:paraId="3D87DC7A" w14:textId="77777777" w:rsidR="00330E8C" w:rsidRDefault="00330E8C" w:rsidP="000E2B3A">
      <w:pPr>
        <w:autoSpaceDE w:val="0"/>
        <w:autoSpaceDN w:val="0"/>
        <w:adjustRightInd w:val="0"/>
        <w:spacing w:after="0" w:line="360" w:lineRule="auto"/>
        <w:rPr>
          <w:rFonts w:cs="Times New Roman"/>
          <w:szCs w:val="24"/>
        </w:rPr>
      </w:pPr>
    </w:p>
    <w:p w14:paraId="12E2C29E" w14:textId="6267A73E" w:rsidR="0077235D" w:rsidRDefault="0077235D" w:rsidP="000E2B3A">
      <w:pPr>
        <w:autoSpaceDE w:val="0"/>
        <w:autoSpaceDN w:val="0"/>
        <w:adjustRightInd w:val="0"/>
        <w:spacing w:after="0" w:line="360" w:lineRule="auto"/>
        <w:rPr>
          <w:rFonts w:cs="Times New Roman"/>
          <w:szCs w:val="24"/>
        </w:rPr>
      </w:pPr>
      <w:r w:rsidRPr="007E253F">
        <w:rPr>
          <w:rFonts w:cs="Times New Roman"/>
          <w:szCs w:val="24"/>
        </w:rPr>
        <w:t>Es una fase donde otras bacterias que están en el suelo oxidan el amoniaco y lo convierten en amonio, generando energía, después otras bacterias la vuelven a oxidar y el amonio lo transforma en nitrato, esto también va a depender de la temperatura del suelo y de su PH, en esta parte de la fase es la oxidación de las bacterias de nitrógeno por otras que las oxidan transformándolas en amonio y otras en nitratos, siendo el segundo paso</w:t>
      </w:r>
      <w:r w:rsidR="000E59DD" w:rsidRPr="007E253F">
        <w:rPr>
          <w:rFonts w:cs="Times New Roman"/>
          <w:szCs w:val="24"/>
        </w:rPr>
        <w:t xml:space="preserve"> de la fase </w:t>
      </w:r>
      <w:sdt>
        <w:sdtPr>
          <w:rPr>
            <w:rFonts w:cs="Times New Roman"/>
            <w:szCs w:val="24"/>
          </w:rPr>
          <w:id w:val="-638568615"/>
          <w:citation/>
        </w:sdtPr>
        <w:sdtEndPr/>
        <w:sdtContent>
          <w:r w:rsidR="000E59DD" w:rsidRPr="007E253F">
            <w:rPr>
              <w:rFonts w:cs="Times New Roman"/>
              <w:szCs w:val="24"/>
            </w:rPr>
            <w:fldChar w:fldCharType="begin"/>
          </w:r>
          <w:r w:rsidR="000E59DD" w:rsidRPr="007E253F">
            <w:rPr>
              <w:rFonts w:cs="Times New Roman"/>
              <w:szCs w:val="24"/>
            </w:rPr>
            <w:instrText xml:space="preserve"> CITATION Lar16 \l 12298 </w:instrText>
          </w:r>
          <w:r w:rsidR="000E59DD" w:rsidRPr="007E253F">
            <w:rPr>
              <w:rFonts w:cs="Times New Roman"/>
              <w:szCs w:val="24"/>
            </w:rPr>
            <w:fldChar w:fldCharType="separate"/>
          </w:r>
          <w:r w:rsidR="005106B9" w:rsidRPr="005106B9">
            <w:rPr>
              <w:rFonts w:cs="Times New Roman"/>
              <w:noProof/>
              <w:szCs w:val="24"/>
            </w:rPr>
            <w:t>(Lara, 2016)</w:t>
          </w:r>
          <w:r w:rsidR="000E59DD" w:rsidRPr="007E253F">
            <w:rPr>
              <w:rFonts w:cs="Times New Roman"/>
              <w:szCs w:val="24"/>
            </w:rPr>
            <w:fldChar w:fldCharType="end"/>
          </w:r>
        </w:sdtContent>
      </w:sdt>
    </w:p>
    <w:p w14:paraId="568F34C3" w14:textId="4EE7EF43" w:rsidR="00D44506" w:rsidRDefault="00D44506" w:rsidP="000E2B3A">
      <w:pPr>
        <w:autoSpaceDE w:val="0"/>
        <w:autoSpaceDN w:val="0"/>
        <w:adjustRightInd w:val="0"/>
        <w:spacing w:after="0" w:line="360" w:lineRule="auto"/>
        <w:rPr>
          <w:rFonts w:cs="Times New Roman"/>
          <w:szCs w:val="24"/>
        </w:rPr>
      </w:pPr>
    </w:p>
    <w:p w14:paraId="32D2AFB0" w14:textId="57AABE50" w:rsidR="00D44506" w:rsidRDefault="00D44506" w:rsidP="000E2B3A">
      <w:pPr>
        <w:autoSpaceDE w:val="0"/>
        <w:autoSpaceDN w:val="0"/>
        <w:adjustRightInd w:val="0"/>
        <w:spacing w:after="0" w:line="360" w:lineRule="auto"/>
        <w:rPr>
          <w:rFonts w:cs="Times New Roman"/>
          <w:szCs w:val="24"/>
        </w:rPr>
      </w:pPr>
    </w:p>
    <w:p w14:paraId="4C53F8ED" w14:textId="77777777" w:rsidR="00D44506" w:rsidRPr="007E253F" w:rsidRDefault="00D44506" w:rsidP="000E2B3A">
      <w:pPr>
        <w:autoSpaceDE w:val="0"/>
        <w:autoSpaceDN w:val="0"/>
        <w:adjustRightInd w:val="0"/>
        <w:spacing w:after="0" w:line="360" w:lineRule="auto"/>
        <w:rPr>
          <w:rFonts w:cs="Times New Roman"/>
          <w:i/>
          <w:szCs w:val="24"/>
        </w:rPr>
      </w:pPr>
    </w:p>
    <w:p w14:paraId="5A2E666F" w14:textId="193E0001" w:rsidR="0077235D" w:rsidRPr="006B5661" w:rsidRDefault="0077235D" w:rsidP="00135DE8">
      <w:pPr>
        <w:pStyle w:val="Prrafodelista"/>
        <w:numPr>
          <w:ilvl w:val="0"/>
          <w:numId w:val="42"/>
        </w:numPr>
        <w:spacing w:before="360" w:after="360"/>
        <w:rPr>
          <w:b/>
          <w:bCs/>
        </w:rPr>
      </w:pPr>
      <w:r w:rsidRPr="006B5661">
        <w:rPr>
          <w:b/>
          <w:bCs/>
        </w:rPr>
        <w:lastRenderedPageBreak/>
        <w:t>Asimilación</w:t>
      </w:r>
    </w:p>
    <w:p w14:paraId="411C8465" w14:textId="6B227DC5" w:rsidR="0077235D" w:rsidRPr="007E253F" w:rsidRDefault="0077235D" w:rsidP="000E2B3A">
      <w:pPr>
        <w:autoSpaceDE w:val="0"/>
        <w:autoSpaceDN w:val="0"/>
        <w:adjustRightInd w:val="0"/>
        <w:spacing w:after="0" w:line="360" w:lineRule="auto"/>
        <w:rPr>
          <w:rFonts w:cs="Times New Roman"/>
          <w:iCs/>
          <w:noProof/>
          <w:szCs w:val="24"/>
        </w:rPr>
      </w:pPr>
      <w:r w:rsidRPr="007E253F">
        <w:rPr>
          <w:rFonts w:cs="Times New Roman"/>
          <w:iCs/>
          <w:szCs w:val="24"/>
        </w:rPr>
        <w:t xml:space="preserve">Los vegetales absorben el nitrato del suelo y lo utilizan para fabricar proteínas, las que pasan a los animales a través de la cadena alimentaria. El ciclo se reinicia con los desechos de animales o cuando animales y vegetales mueren </w:t>
      </w:r>
      <w:sdt>
        <w:sdtPr>
          <w:rPr>
            <w:rFonts w:cs="Times New Roman"/>
            <w:iCs/>
            <w:szCs w:val="24"/>
          </w:rPr>
          <w:id w:val="707842232"/>
          <w:citation/>
        </w:sdtPr>
        <w:sdtEndPr/>
        <w:sdtContent>
          <w:r w:rsidR="00AA4042" w:rsidRPr="007E253F">
            <w:rPr>
              <w:rFonts w:cs="Times New Roman"/>
              <w:iCs/>
              <w:szCs w:val="24"/>
            </w:rPr>
            <w:fldChar w:fldCharType="begin"/>
          </w:r>
          <w:r w:rsidR="00AA4042" w:rsidRPr="007E253F">
            <w:rPr>
              <w:rFonts w:cs="Times New Roman"/>
              <w:iCs/>
              <w:szCs w:val="24"/>
            </w:rPr>
            <w:instrText xml:space="preserve">CITATION Ros11 \l 12298 </w:instrText>
          </w:r>
          <w:r w:rsidR="00AA4042" w:rsidRPr="007E253F">
            <w:rPr>
              <w:rFonts w:cs="Times New Roman"/>
              <w:iCs/>
              <w:szCs w:val="24"/>
            </w:rPr>
            <w:fldChar w:fldCharType="separate"/>
          </w:r>
          <w:r w:rsidR="005106B9" w:rsidRPr="005106B9">
            <w:rPr>
              <w:rFonts w:cs="Times New Roman"/>
              <w:noProof/>
              <w:szCs w:val="24"/>
            </w:rPr>
            <w:t>(Rosales, 2011)</w:t>
          </w:r>
          <w:r w:rsidR="00AA4042" w:rsidRPr="007E253F">
            <w:rPr>
              <w:rFonts w:cs="Times New Roman"/>
              <w:iCs/>
              <w:szCs w:val="24"/>
            </w:rPr>
            <w:fldChar w:fldCharType="end"/>
          </w:r>
        </w:sdtContent>
      </w:sdt>
    </w:p>
    <w:p w14:paraId="42569ECF" w14:textId="154D0759" w:rsidR="0077235D" w:rsidRPr="006B5661" w:rsidRDefault="0077235D" w:rsidP="00135DE8">
      <w:pPr>
        <w:pStyle w:val="Prrafodelista"/>
        <w:numPr>
          <w:ilvl w:val="0"/>
          <w:numId w:val="42"/>
        </w:numPr>
        <w:spacing w:before="360" w:after="360"/>
        <w:rPr>
          <w:b/>
          <w:bCs/>
        </w:rPr>
      </w:pPr>
      <w:r w:rsidRPr="006B5661">
        <w:rPr>
          <w:b/>
          <w:bCs/>
        </w:rPr>
        <w:t>Amonificación</w:t>
      </w:r>
    </w:p>
    <w:p w14:paraId="10173994" w14:textId="702B7290" w:rsidR="0077235D" w:rsidRPr="007E253F" w:rsidRDefault="0077235D" w:rsidP="000E2B3A">
      <w:pPr>
        <w:autoSpaceDE w:val="0"/>
        <w:autoSpaceDN w:val="0"/>
        <w:adjustRightInd w:val="0"/>
        <w:spacing w:after="0" w:line="360" w:lineRule="auto"/>
        <w:rPr>
          <w:rFonts w:cs="Times New Roman"/>
          <w:b/>
          <w:szCs w:val="24"/>
        </w:rPr>
      </w:pPr>
      <w:r w:rsidRPr="007E253F">
        <w:rPr>
          <w:rFonts w:cs="Times New Roman"/>
          <w:szCs w:val="24"/>
        </w:rPr>
        <w:t>Es el proceso por el cual los compuestos nitrogenados encontrados en el suelo, productos de la descomposición de materiales orgánicos complejos tales como proteínas, aminoácidos, ácidos nucleicos y nucleótidos son degradados a compuestos simples por organismos que habitan el suelo, principalmente bacterias y hongos. Estos microorganismos metabolizan estos compuestos y liberan el exceso de nitrógeno en forma de amoníaco o ion amonio. La amonificación es la conversión del nitrógeno que en la materia viva aparece principalmente como grupos amino (-NH</w:t>
      </w:r>
      <w:r w:rsidR="00AA4042" w:rsidRPr="00330E8C">
        <w:rPr>
          <w:rFonts w:cs="Times New Roman"/>
          <w:szCs w:val="24"/>
          <w:vertAlign w:val="subscript"/>
        </w:rPr>
        <w:t>2</w:t>
      </w:r>
      <w:r w:rsidR="00AA4042" w:rsidRPr="007E253F">
        <w:rPr>
          <w:rFonts w:cs="Times New Roman"/>
          <w:szCs w:val="24"/>
        </w:rPr>
        <w:t xml:space="preserve">) o imino (-NH-) a ion amonio </w:t>
      </w:r>
      <w:sdt>
        <w:sdtPr>
          <w:rPr>
            <w:rFonts w:cs="Times New Roman"/>
            <w:szCs w:val="24"/>
          </w:rPr>
          <w:id w:val="-1533348154"/>
          <w:citation/>
        </w:sdtPr>
        <w:sdtEndPr/>
        <w:sdtContent>
          <w:r w:rsidR="00AA4042" w:rsidRPr="007E253F">
            <w:rPr>
              <w:rFonts w:cs="Times New Roman"/>
              <w:szCs w:val="24"/>
            </w:rPr>
            <w:fldChar w:fldCharType="begin"/>
          </w:r>
          <w:r w:rsidR="00AA4042" w:rsidRPr="007E253F">
            <w:rPr>
              <w:rFonts w:cs="Times New Roman"/>
              <w:szCs w:val="24"/>
            </w:rPr>
            <w:instrText xml:space="preserve"> CITATION Iñó18 \l 12298 </w:instrText>
          </w:r>
          <w:r w:rsidR="00AA4042" w:rsidRPr="007E253F">
            <w:rPr>
              <w:rFonts w:cs="Times New Roman"/>
              <w:szCs w:val="24"/>
            </w:rPr>
            <w:fldChar w:fldCharType="separate"/>
          </w:r>
          <w:r w:rsidR="005106B9" w:rsidRPr="005106B9">
            <w:rPr>
              <w:rFonts w:cs="Times New Roman"/>
              <w:noProof/>
              <w:szCs w:val="24"/>
            </w:rPr>
            <w:t>(Iñón, 2018)</w:t>
          </w:r>
          <w:r w:rsidR="00AA4042" w:rsidRPr="007E253F">
            <w:rPr>
              <w:rFonts w:cs="Times New Roman"/>
              <w:szCs w:val="24"/>
            </w:rPr>
            <w:fldChar w:fldCharType="end"/>
          </w:r>
        </w:sdtContent>
      </w:sdt>
      <w:r w:rsidRPr="007E253F">
        <w:rPr>
          <w:rFonts w:cs="Times New Roman"/>
          <w:szCs w:val="24"/>
        </w:rPr>
        <w:t xml:space="preserve"> </w:t>
      </w:r>
    </w:p>
    <w:p w14:paraId="7272DA74" w14:textId="36AA334D" w:rsidR="0077235D" w:rsidRPr="006B5661" w:rsidRDefault="0077235D" w:rsidP="00135DE8">
      <w:pPr>
        <w:pStyle w:val="Prrafodelista"/>
        <w:numPr>
          <w:ilvl w:val="0"/>
          <w:numId w:val="42"/>
        </w:numPr>
        <w:spacing w:before="360" w:after="360"/>
        <w:rPr>
          <w:b/>
          <w:bCs/>
        </w:rPr>
      </w:pPr>
      <w:r w:rsidRPr="006B5661">
        <w:rPr>
          <w:b/>
          <w:bCs/>
        </w:rPr>
        <w:t xml:space="preserve">Inmovilización </w:t>
      </w:r>
    </w:p>
    <w:p w14:paraId="3B3375C6" w14:textId="5DBC3D56" w:rsidR="0077235D" w:rsidRPr="007E253F" w:rsidRDefault="0077235D" w:rsidP="000E2B3A">
      <w:pPr>
        <w:autoSpaceDE w:val="0"/>
        <w:autoSpaceDN w:val="0"/>
        <w:adjustRightInd w:val="0"/>
        <w:spacing w:after="0" w:line="360" w:lineRule="auto"/>
        <w:rPr>
          <w:rFonts w:cs="Times New Roman"/>
          <w:noProof/>
          <w:szCs w:val="24"/>
        </w:rPr>
      </w:pPr>
      <w:r w:rsidRPr="007E253F">
        <w:rPr>
          <w:rFonts w:cs="Times New Roman"/>
          <w:szCs w:val="24"/>
          <w:lang w:val="es-PA"/>
        </w:rPr>
        <w:t>En esta fase del ciclo aquello que no es inorgánico se le incorpora el nitrógeno formando un nitrógeno orgánico, siendo lo contrario de la nitrificación, por lo que las plantas no lo absorben porque no hay una descomposi</w:t>
      </w:r>
      <w:r w:rsidR="003A4FF6" w:rsidRPr="007E253F">
        <w:rPr>
          <w:rFonts w:cs="Times New Roman"/>
          <w:szCs w:val="24"/>
          <w:lang w:val="es-PA"/>
        </w:rPr>
        <w:t>ción previa y no lo pueden usar</w:t>
      </w:r>
      <w:sdt>
        <w:sdtPr>
          <w:rPr>
            <w:rFonts w:cs="Times New Roman"/>
            <w:szCs w:val="24"/>
            <w:lang w:val="es-PA"/>
          </w:rPr>
          <w:id w:val="-1797597587"/>
          <w:citation/>
        </w:sdtPr>
        <w:sdtEndPr/>
        <w:sdtContent>
          <w:r w:rsidR="003A4FF6" w:rsidRPr="007E253F">
            <w:rPr>
              <w:rFonts w:cs="Times New Roman"/>
              <w:szCs w:val="24"/>
              <w:lang w:val="es-PA"/>
            </w:rPr>
            <w:fldChar w:fldCharType="begin"/>
          </w:r>
          <w:r w:rsidR="003A4FF6" w:rsidRPr="007E253F">
            <w:rPr>
              <w:rFonts w:cs="Times New Roman"/>
              <w:szCs w:val="24"/>
            </w:rPr>
            <w:instrText xml:space="preserve">CITATION Mon18 \l 12298 </w:instrText>
          </w:r>
          <w:r w:rsidR="003A4FF6" w:rsidRPr="007E253F">
            <w:rPr>
              <w:rFonts w:cs="Times New Roman"/>
              <w:szCs w:val="24"/>
              <w:lang w:val="es-PA"/>
            </w:rPr>
            <w:fldChar w:fldCharType="separate"/>
          </w:r>
          <w:r w:rsidR="005106B9">
            <w:rPr>
              <w:rFonts w:cs="Times New Roman"/>
              <w:noProof/>
              <w:szCs w:val="24"/>
            </w:rPr>
            <w:t xml:space="preserve"> </w:t>
          </w:r>
          <w:r w:rsidR="005106B9" w:rsidRPr="005106B9">
            <w:rPr>
              <w:rFonts w:cs="Times New Roman"/>
              <w:noProof/>
              <w:szCs w:val="24"/>
            </w:rPr>
            <w:t>(Montenegro, 2018)</w:t>
          </w:r>
          <w:r w:rsidR="003A4FF6" w:rsidRPr="007E253F">
            <w:rPr>
              <w:rFonts w:cs="Times New Roman"/>
              <w:szCs w:val="24"/>
              <w:lang w:val="es-PA"/>
            </w:rPr>
            <w:fldChar w:fldCharType="end"/>
          </w:r>
        </w:sdtContent>
      </w:sdt>
    </w:p>
    <w:p w14:paraId="0B4B1A74" w14:textId="4F71F67F" w:rsidR="0077235D" w:rsidRPr="006B5661" w:rsidRDefault="0077235D" w:rsidP="00135DE8">
      <w:pPr>
        <w:pStyle w:val="Prrafodelista"/>
        <w:numPr>
          <w:ilvl w:val="0"/>
          <w:numId w:val="42"/>
        </w:numPr>
        <w:spacing w:before="360" w:after="360"/>
        <w:rPr>
          <w:b/>
          <w:bCs/>
          <w:lang w:val="es-PA"/>
        </w:rPr>
      </w:pPr>
      <w:r w:rsidRPr="006B5661">
        <w:rPr>
          <w:b/>
          <w:bCs/>
        </w:rPr>
        <w:t>Desnitrificación</w:t>
      </w:r>
    </w:p>
    <w:p w14:paraId="5B42787B" w14:textId="73F6F646" w:rsidR="0077235D" w:rsidRPr="007E253F" w:rsidRDefault="0077235D" w:rsidP="000E2B3A">
      <w:pPr>
        <w:autoSpaceDE w:val="0"/>
        <w:autoSpaceDN w:val="0"/>
        <w:adjustRightInd w:val="0"/>
        <w:spacing w:after="0" w:line="360" w:lineRule="auto"/>
        <w:rPr>
          <w:rFonts w:cs="Times New Roman"/>
          <w:iCs/>
          <w:noProof/>
          <w:szCs w:val="24"/>
        </w:rPr>
      </w:pPr>
      <w:r w:rsidRPr="007E253F">
        <w:rPr>
          <w:rFonts w:cs="Times New Roman"/>
          <w:iCs/>
          <w:szCs w:val="24"/>
        </w:rPr>
        <w:t xml:space="preserve">Aquí es donde otras bacterias llamadas Desnitrificadoras desoxidan los nitratos y el amoniaco y lo regresan a la atmósfera en forma de nitrógeno gaseoso, en la mayoría de los casos esto no sucede por las alteraciones que el hombre le ocasiona al suelo por que utilizamos fertilizantes y otros químicos para que las plantas y vegetales crezcan rápido y ya no se deja que el proceso sea completado de la manera correcta, y no se puede llevar a cabo por que los pesticidas, fertilizantes y productos que a los productores les dé mayor ganancia a las plantas y bacterias del suelo las daña </w:t>
      </w:r>
      <w:r w:rsidRPr="007E253F">
        <w:rPr>
          <w:rFonts w:cs="Times New Roman"/>
          <w:iCs/>
          <w:szCs w:val="24"/>
        </w:rPr>
        <w:lastRenderedPageBreak/>
        <w:t>no permitiendo reproducirse y regresando el nitrógeno a</w:t>
      </w:r>
      <w:r w:rsidR="003A4FF6" w:rsidRPr="007E253F">
        <w:rPr>
          <w:rFonts w:cs="Times New Roman"/>
          <w:iCs/>
          <w:szCs w:val="24"/>
        </w:rPr>
        <w:t xml:space="preserve"> la atmósfera de manera limpia </w:t>
      </w:r>
      <w:sdt>
        <w:sdtPr>
          <w:rPr>
            <w:rFonts w:cs="Times New Roman"/>
            <w:iCs/>
            <w:szCs w:val="24"/>
          </w:rPr>
          <w:id w:val="1089114614"/>
          <w:citation/>
        </w:sdtPr>
        <w:sdtEndPr/>
        <w:sdtContent>
          <w:r w:rsidR="003A4FF6" w:rsidRPr="007E253F">
            <w:rPr>
              <w:rFonts w:cs="Times New Roman"/>
              <w:iCs/>
              <w:szCs w:val="24"/>
            </w:rPr>
            <w:fldChar w:fldCharType="begin"/>
          </w:r>
          <w:r w:rsidR="003A4FF6" w:rsidRPr="007E253F">
            <w:rPr>
              <w:rFonts w:cs="Times New Roman"/>
              <w:iCs/>
              <w:szCs w:val="24"/>
            </w:rPr>
            <w:instrText xml:space="preserve">CITATION Sot17 \l 12298 </w:instrText>
          </w:r>
          <w:r w:rsidR="003A4FF6" w:rsidRPr="007E253F">
            <w:rPr>
              <w:rFonts w:cs="Times New Roman"/>
              <w:iCs/>
              <w:szCs w:val="24"/>
            </w:rPr>
            <w:fldChar w:fldCharType="separate"/>
          </w:r>
          <w:r w:rsidR="005106B9" w:rsidRPr="005106B9">
            <w:rPr>
              <w:rFonts w:cs="Times New Roman"/>
              <w:noProof/>
              <w:szCs w:val="24"/>
            </w:rPr>
            <w:t>(Soto, 2017)</w:t>
          </w:r>
          <w:r w:rsidR="003A4FF6" w:rsidRPr="007E253F">
            <w:rPr>
              <w:rFonts w:cs="Times New Roman"/>
              <w:iCs/>
              <w:szCs w:val="24"/>
            </w:rPr>
            <w:fldChar w:fldCharType="end"/>
          </w:r>
        </w:sdtContent>
      </w:sdt>
    </w:p>
    <w:p w14:paraId="5C832003" w14:textId="7284A25E" w:rsidR="0077235D" w:rsidRPr="006B5661" w:rsidRDefault="0077235D" w:rsidP="009A4D68">
      <w:pPr>
        <w:pStyle w:val="Prrafodelista"/>
        <w:numPr>
          <w:ilvl w:val="3"/>
          <w:numId w:val="3"/>
        </w:numPr>
        <w:spacing w:before="360" w:after="360"/>
        <w:ind w:left="1077" w:hanging="1077"/>
        <w:rPr>
          <w:b/>
          <w:bCs/>
        </w:rPr>
      </w:pPr>
      <w:bookmarkStart w:id="513" w:name="_Toc29312360"/>
      <w:bookmarkStart w:id="514" w:name="_Toc29319399"/>
      <w:bookmarkStart w:id="515" w:name="_Toc35185824"/>
      <w:bookmarkStart w:id="516" w:name="_Toc35186317"/>
      <w:bookmarkStart w:id="517" w:name="_Toc72741085"/>
      <w:bookmarkStart w:id="518" w:name="_Toc72741883"/>
      <w:bookmarkStart w:id="519" w:name="_Toc72742681"/>
      <w:bookmarkStart w:id="520" w:name="_Toc72881433"/>
      <w:bookmarkStart w:id="521" w:name="_Toc72882515"/>
      <w:bookmarkStart w:id="522" w:name="_Toc75608860"/>
      <w:bookmarkStart w:id="523" w:name="_Toc75611786"/>
      <w:bookmarkStart w:id="524" w:name="_Toc75612632"/>
      <w:bookmarkStart w:id="525" w:name="_Toc75679787"/>
      <w:bookmarkStart w:id="526" w:name="_Toc75702395"/>
      <w:r w:rsidRPr="006B5661">
        <w:rPr>
          <w:b/>
          <w:bCs/>
        </w:rPr>
        <w:t>Formas del nitrógeno</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76A58E04" w14:textId="49528EB4" w:rsidR="008A3AD8" w:rsidRPr="00331DB7" w:rsidRDefault="0077235D" w:rsidP="00331DB7">
      <w:pPr>
        <w:autoSpaceDE w:val="0"/>
        <w:autoSpaceDN w:val="0"/>
        <w:adjustRightInd w:val="0"/>
        <w:spacing w:before="360" w:after="0" w:line="360" w:lineRule="auto"/>
        <w:rPr>
          <w:rFonts w:cs="Times New Roman"/>
          <w:szCs w:val="24"/>
        </w:rPr>
      </w:pPr>
      <w:r w:rsidRPr="007E253F">
        <w:rPr>
          <w:rFonts w:cs="Times New Roman"/>
          <w:szCs w:val="24"/>
        </w:rPr>
        <w:t>Las únicas fuentes de nitrógenos son la materia orgánica y el nitrógeno de la atmosfera del suelo. Este elemento se encuentra en forma de </w:t>
      </w:r>
      <w:r w:rsidRPr="007E253F">
        <w:rPr>
          <w:rFonts w:cs="Times New Roman"/>
          <w:bCs/>
          <w:szCs w:val="24"/>
        </w:rPr>
        <w:t>Nitrógeno orgánico</w:t>
      </w:r>
      <w:r w:rsidRPr="007E253F">
        <w:rPr>
          <w:rFonts w:cs="Times New Roman"/>
          <w:szCs w:val="24"/>
        </w:rPr>
        <w:t>, en forma de </w:t>
      </w:r>
      <w:r w:rsidRPr="007E253F">
        <w:rPr>
          <w:rFonts w:cs="Times New Roman"/>
          <w:bCs/>
          <w:szCs w:val="24"/>
        </w:rPr>
        <w:t>Nitrógeno amoniacal </w:t>
      </w:r>
      <w:r w:rsidRPr="007E253F">
        <w:rPr>
          <w:rFonts w:cs="Times New Roman"/>
          <w:szCs w:val="24"/>
        </w:rPr>
        <w:t>y en forma de </w:t>
      </w:r>
      <w:r w:rsidRPr="007E253F">
        <w:rPr>
          <w:rFonts w:cs="Times New Roman"/>
          <w:bCs/>
          <w:szCs w:val="24"/>
        </w:rPr>
        <w:t xml:space="preserve">Nitratos </w:t>
      </w:r>
      <w:r w:rsidR="009A4D68" w:rsidRPr="007E253F">
        <w:rPr>
          <w:rFonts w:cs="Times New Roman"/>
          <w:bCs/>
          <w:szCs w:val="24"/>
        </w:rPr>
        <w:t>(NO</w:t>
      </w:r>
      <w:r w:rsidR="009A4D68" w:rsidRPr="00330E8C">
        <w:rPr>
          <w:rFonts w:cs="Times New Roman"/>
          <w:bCs/>
          <w:szCs w:val="24"/>
          <w:vertAlign w:val="subscript"/>
        </w:rPr>
        <w:t>3</w:t>
      </w:r>
      <w:r w:rsidR="009A4D68" w:rsidRPr="007E253F">
        <w:rPr>
          <w:rFonts w:cs="Times New Roman"/>
          <w:bCs/>
          <w:szCs w:val="24"/>
        </w:rPr>
        <w:t xml:space="preserve">) </w:t>
      </w:r>
      <w:r w:rsidRPr="007E253F">
        <w:rPr>
          <w:rFonts w:cs="Times New Roman"/>
          <w:bCs/>
          <w:szCs w:val="24"/>
        </w:rPr>
        <w:t>y amonio (NH</w:t>
      </w:r>
      <w:r w:rsidRPr="00330E8C">
        <w:rPr>
          <w:rFonts w:cs="Times New Roman"/>
          <w:bCs/>
          <w:szCs w:val="24"/>
          <w:vertAlign w:val="subscript"/>
        </w:rPr>
        <w:t>4</w:t>
      </w:r>
      <w:r w:rsidR="003A4FF6" w:rsidRPr="007E253F">
        <w:rPr>
          <w:rFonts w:cs="Times New Roman"/>
          <w:szCs w:val="24"/>
        </w:rPr>
        <w:t xml:space="preserve">+) </w:t>
      </w:r>
      <w:sdt>
        <w:sdtPr>
          <w:rPr>
            <w:rFonts w:cs="Times New Roman"/>
            <w:szCs w:val="24"/>
          </w:rPr>
          <w:id w:val="733901059"/>
          <w:citation/>
        </w:sdtPr>
        <w:sdtEndPr/>
        <w:sdtContent>
          <w:r w:rsidR="003A4FF6" w:rsidRPr="007E253F">
            <w:rPr>
              <w:rFonts w:cs="Times New Roman"/>
              <w:szCs w:val="24"/>
            </w:rPr>
            <w:fldChar w:fldCharType="begin"/>
          </w:r>
          <w:r w:rsidR="003A4FF6" w:rsidRPr="007E253F">
            <w:rPr>
              <w:rFonts w:cs="Times New Roman"/>
              <w:szCs w:val="24"/>
            </w:rPr>
            <w:instrText xml:space="preserve"> CITATION Mol18 \l 12298 </w:instrText>
          </w:r>
          <w:r w:rsidR="003A4FF6" w:rsidRPr="007E253F">
            <w:rPr>
              <w:rFonts w:cs="Times New Roman"/>
              <w:szCs w:val="24"/>
            </w:rPr>
            <w:fldChar w:fldCharType="separate"/>
          </w:r>
          <w:r w:rsidR="005106B9" w:rsidRPr="005106B9">
            <w:rPr>
              <w:rFonts w:cs="Times New Roman"/>
              <w:noProof/>
              <w:szCs w:val="24"/>
            </w:rPr>
            <w:t>(Molina, 2018)</w:t>
          </w:r>
          <w:r w:rsidR="003A4FF6" w:rsidRPr="007E253F">
            <w:rPr>
              <w:rFonts w:cs="Times New Roman"/>
              <w:szCs w:val="24"/>
            </w:rPr>
            <w:fldChar w:fldCharType="end"/>
          </w:r>
        </w:sdtContent>
      </w:sdt>
    </w:p>
    <w:p w14:paraId="3E0BA827" w14:textId="0150B32C" w:rsidR="0077235D" w:rsidRPr="007E253F" w:rsidRDefault="0077235D" w:rsidP="00331DB7">
      <w:pPr>
        <w:autoSpaceDE w:val="0"/>
        <w:autoSpaceDN w:val="0"/>
        <w:adjustRightInd w:val="0"/>
        <w:spacing w:before="360" w:after="360" w:line="360" w:lineRule="auto"/>
        <w:rPr>
          <w:rFonts w:cs="Times New Roman"/>
          <w:szCs w:val="24"/>
        </w:rPr>
      </w:pPr>
      <w:r w:rsidRPr="007E253F">
        <w:rPr>
          <w:rFonts w:cs="Times New Roman"/>
          <w:bCs/>
          <w:szCs w:val="24"/>
        </w:rPr>
        <w:t>Nitrógeno orgánico:</w:t>
      </w:r>
      <w:r w:rsidRPr="007E253F">
        <w:rPr>
          <w:rFonts w:cs="Times New Roman"/>
          <w:b/>
          <w:bCs/>
          <w:szCs w:val="24"/>
        </w:rPr>
        <w:t> </w:t>
      </w:r>
      <w:r w:rsidRPr="007E253F">
        <w:rPr>
          <w:rFonts w:cs="Times New Roman"/>
          <w:szCs w:val="24"/>
        </w:rPr>
        <w:t xml:space="preserve">Ingresa al suelo por restos orgánicos en descomposición. Representa el 83% de N total del suelo. Para que las plantas puedan aprovechar el nitrógeno que proviene de la materia orgánica, primero, éste debe ser mineralizado en nitrógeno inorgánico que las plantas puedan absorber. </w:t>
      </w:r>
      <w:r w:rsidRPr="007E253F">
        <w:rPr>
          <w:rFonts w:cs="Times New Roman"/>
          <w:bCs/>
          <w:szCs w:val="24"/>
        </w:rPr>
        <w:t>Nitrógeno amoniacal:</w:t>
      </w:r>
      <w:r w:rsidRPr="007E253F">
        <w:rPr>
          <w:rFonts w:cs="Times New Roman"/>
          <w:b/>
          <w:bCs/>
          <w:szCs w:val="24"/>
        </w:rPr>
        <w:t> </w:t>
      </w:r>
      <w:r w:rsidRPr="007E253F">
        <w:rPr>
          <w:rFonts w:cs="Times New Roman"/>
          <w:szCs w:val="24"/>
        </w:rPr>
        <w:t xml:space="preserve">Se encuentra retenido en las arcillas del suelo. Es lentamente disponible para las plantas. </w:t>
      </w:r>
      <w:r w:rsidRPr="007E253F">
        <w:rPr>
          <w:rFonts w:cs="Times New Roman"/>
          <w:bCs/>
          <w:szCs w:val="24"/>
        </w:rPr>
        <w:t>Nitratos</w:t>
      </w:r>
      <w:r w:rsidR="009A4D68">
        <w:rPr>
          <w:rFonts w:cs="Times New Roman"/>
          <w:bCs/>
          <w:szCs w:val="24"/>
        </w:rPr>
        <w:t xml:space="preserve"> </w:t>
      </w:r>
      <w:r w:rsidR="009A4D68" w:rsidRPr="007E253F">
        <w:rPr>
          <w:rFonts w:cs="Times New Roman"/>
          <w:bCs/>
          <w:szCs w:val="24"/>
        </w:rPr>
        <w:t>(NO</w:t>
      </w:r>
      <w:r w:rsidR="009A4D68" w:rsidRPr="00330E8C">
        <w:rPr>
          <w:rFonts w:cs="Times New Roman"/>
          <w:bCs/>
          <w:szCs w:val="24"/>
          <w:vertAlign w:val="subscript"/>
        </w:rPr>
        <w:t>3</w:t>
      </w:r>
      <w:r w:rsidR="009A4D68" w:rsidRPr="007E253F">
        <w:rPr>
          <w:rFonts w:cs="Times New Roman"/>
          <w:bCs/>
          <w:szCs w:val="24"/>
        </w:rPr>
        <w:t>) y</w:t>
      </w:r>
      <w:r w:rsidRPr="007E253F">
        <w:rPr>
          <w:rFonts w:cs="Times New Roman"/>
          <w:bCs/>
          <w:szCs w:val="24"/>
        </w:rPr>
        <w:t xml:space="preserve"> amonio (NH</w:t>
      </w:r>
      <w:r w:rsidRPr="00330E8C">
        <w:rPr>
          <w:rFonts w:cs="Times New Roman"/>
          <w:bCs/>
          <w:szCs w:val="24"/>
          <w:vertAlign w:val="subscript"/>
        </w:rPr>
        <w:t>4</w:t>
      </w:r>
      <w:r w:rsidRPr="007E253F">
        <w:rPr>
          <w:rFonts w:cs="Times New Roman"/>
          <w:szCs w:val="24"/>
        </w:rPr>
        <w:t xml:space="preserve">+): aprovechable inmediatamente por las plantas. </w:t>
      </w:r>
      <w:sdt>
        <w:sdtPr>
          <w:rPr>
            <w:rFonts w:cs="Times New Roman"/>
            <w:szCs w:val="24"/>
          </w:rPr>
          <w:id w:val="-325676257"/>
          <w:citation/>
        </w:sdtPr>
        <w:sdtEndPr/>
        <w:sdtContent>
          <w:r w:rsidR="003A4FF6" w:rsidRPr="007E253F">
            <w:rPr>
              <w:rFonts w:cs="Times New Roman"/>
              <w:szCs w:val="24"/>
            </w:rPr>
            <w:fldChar w:fldCharType="begin"/>
          </w:r>
          <w:r w:rsidR="003A4FF6" w:rsidRPr="007E253F">
            <w:rPr>
              <w:rFonts w:cs="Times New Roman"/>
              <w:szCs w:val="24"/>
            </w:rPr>
            <w:instrText xml:space="preserve">CITATION Mol18 \l 12298 </w:instrText>
          </w:r>
          <w:r w:rsidR="003A4FF6" w:rsidRPr="007E253F">
            <w:rPr>
              <w:rFonts w:cs="Times New Roman"/>
              <w:szCs w:val="24"/>
            </w:rPr>
            <w:fldChar w:fldCharType="separate"/>
          </w:r>
          <w:r w:rsidR="005106B9" w:rsidRPr="005106B9">
            <w:rPr>
              <w:rFonts w:cs="Times New Roman"/>
              <w:noProof/>
              <w:szCs w:val="24"/>
            </w:rPr>
            <w:t>(Molina, 2018)</w:t>
          </w:r>
          <w:r w:rsidR="003A4FF6" w:rsidRPr="007E253F">
            <w:rPr>
              <w:rFonts w:cs="Times New Roman"/>
              <w:szCs w:val="24"/>
            </w:rPr>
            <w:fldChar w:fldCharType="end"/>
          </w:r>
        </w:sdtContent>
      </w:sdt>
    </w:p>
    <w:p w14:paraId="65061831" w14:textId="411E960D" w:rsidR="006B5661" w:rsidRPr="00331DB7" w:rsidRDefault="0077235D" w:rsidP="00331DB7">
      <w:pPr>
        <w:pStyle w:val="Prrafodelista"/>
        <w:numPr>
          <w:ilvl w:val="3"/>
          <w:numId w:val="3"/>
        </w:numPr>
        <w:spacing w:before="360" w:after="360"/>
        <w:ind w:left="1077" w:hanging="1077"/>
        <w:contextualSpacing w:val="0"/>
        <w:rPr>
          <w:b/>
          <w:bCs/>
        </w:rPr>
      </w:pPr>
      <w:bookmarkStart w:id="527" w:name="_Toc29312361"/>
      <w:bookmarkStart w:id="528" w:name="_Toc29319400"/>
      <w:bookmarkStart w:id="529" w:name="_Toc35185825"/>
      <w:bookmarkStart w:id="530" w:name="_Toc35186318"/>
      <w:bookmarkStart w:id="531" w:name="_Toc72741086"/>
      <w:bookmarkStart w:id="532" w:name="_Toc72741884"/>
      <w:bookmarkStart w:id="533" w:name="_Toc72742682"/>
      <w:bookmarkStart w:id="534" w:name="_Toc72881434"/>
      <w:bookmarkStart w:id="535" w:name="_Toc72882516"/>
      <w:bookmarkStart w:id="536" w:name="_Toc75608861"/>
      <w:bookmarkStart w:id="537" w:name="_Toc75611787"/>
      <w:bookmarkStart w:id="538" w:name="_Toc75612633"/>
      <w:bookmarkStart w:id="539" w:name="_Toc75679788"/>
      <w:bookmarkStart w:id="540" w:name="_Toc75702396"/>
      <w:r w:rsidRPr="006B5661">
        <w:rPr>
          <w:b/>
          <w:bCs/>
        </w:rPr>
        <w:t>Fijación del nitrógeno en el suelo</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40E09CE6" w14:textId="4B0DDDAE" w:rsidR="0077235D" w:rsidRPr="006B5661" w:rsidRDefault="0077235D" w:rsidP="00135DE8">
      <w:pPr>
        <w:pStyle w:val="Prrafodelista"/>
        <w:numPr>
          <w:ilvl w:val="0"/>
          <w:numId w:val="42"/>
        </w:numPr>
        <w:spacing w:before="360" w:after="360"/>
        <w:ind w:left="714" w:hanging="357"/>
        <w:contextualSpacing w:val="0"/>
        <w:rPr>
          <w:b/>
          <w:bCs/>
        </w:rPr>
      </w:pPr>
      <w:r w:rsidRPr="006B5661">
        <w:rPr>
          <w:b/>
          <w:bCs/>
        </w:rPr>
        <w:t>Fijación por Rhizobia</w:t>
      </w:r>
    </w:p>
    <w:p w14:paraId="03F00BA2" w14:textId="6BCDC399" w:rsidR="0077235D" w:rsidRPr="007E253F" w:rsidRDefault="0077235D" w:rsidP="000E2B3A">
      <w:pPr>
        <w:autoSpaceDE w:val="0"/>
        <w:autoSpaceDN w:val="0"/>
        <w:adjustRightInd w:val="0"/>
        <w:spacing w:after="0" w:line="360" w:lineRule="auto"/>
        <w:rPr>
          <w:rFonts w:cs="Times New Roman"/>
          <w:iCs/>
          <w:szCs w:val="24"/>
        </w:rPr>
      </w:pPr>
      <w:r w:rsidRPr="007E253F">
        <w:rPr>
          <w:rFonts w:cs="Times New Roman"/>
          <w:szCs w:val="24"/>
        </w:rPr>
        <w:t xml:space="preserve">Se denominan Rizobios. A este grupo pertenecen </w:t>
      </w:r>
      <w:r w:rsidRPr="00697442">
        <w:rPr>
          <w:rFonts w:cs="Times New Roman"/>
          <w:iCs/>
          <w:szCs w:val="24"/>
        </w:rPr>
        <w:t>Rhizobium</w:t>
      </w:r>
      <w:r w:rsidRPr="007E253F">
        <w:rPr>
          <w:rFonts w:cs="Times New Roman"/>
          <w:iCs/>
          <w:szCs w:val="24"/>
        </w:rPr>
        <w:t xml:space="preserve"> </w:t>
      </w:r>
      <w:r w:rsidRPr="007E253F">
        <w:rPr>
          <w:rFonts w:cs="Times New Roman"/>
          <w:szCs w:val="24"/>
        </w:rPr>
        <w:t xml:space="preserve">(nodulan en raíces de leguminosas de climas templados y subtropicales), </w:t>
      </w:r>
      <w:r w:rsidRPr="00697442">
        <w:rPr>
          <w:rFonts w:cs="Times New Roman"/>
          <w:iCs/>
          <w:szCs w:val="24"/>
        </w:rPr>
        <w:t xml:space="preserve">Azorhizobium </w:t>
      </w:r>
      <w:r w:rsidRPr="00697442">
        <w:rPr>
          <w:rFonts w:cs="Times New Roman"/>
          <w:szCs w:val="24"/>
        </w:rPr>
        <w:t xml:space="preserve">(nódulos en tallos y raíces) </w:t>
      </w:r>
      <w:r w:rsidRPr="00697442">
        <w:rPr>
          <w:rFonts w:cs="Times New Roman"/>
          <w:iCs/>
          <w:szCs w:val="24"/>
        </w:rPr>
        <w:t xml:space="preserve">y Bradyrhizobium </w:t>
      </w:r>
      <w:r w:rsidRPr="00697442">
        <w:rPr>
          <w:rFonts w:cs="Times New Roman"/>
          <w:szCs w:val="24"/>
        </w:rPr>
        <w:t xml:space="preserve">(nodula raíces de soja). Existen otros formadores de nódulos de fijación dudosa de nitrógeno como son: </w:t>
      </w:r>
      <w:r w:rsidRPr="00697442">
        <w:rPr>
          <w:rFonts w:cs="Times New Roman"/>
          <w:iCs/>
          <w:szCs w:val="24"/>
        </w:rPr>
        <w:t xml:space="preserve">Phyllobacterium </w:t>
      </w:r>
      <w:r w:rsidRPr="00697442">
        <w:rPr>
          <w:rFonts w:cs="Times New Roman"/>
          <w:szCs w:val="24"/>
        </w:rPr>
        <w:t xml:space="preserve">(forma nódulos en tallos y hojas de mirsináceas y rubiáceas) y </w:t>
      </w:r>
      <w:r w:rsidRPr="00697442">
        <w:rPr>
          <w:rFonts w:cs="Times New Roman"/>
          <w:iCs/>
          <w:szCs w:val="24"/>
        </w:rPr>
        <w:t>Agrobacterium</w:t>
      </w:r>
      <w:r w:rsidR="003A4FF6" w:rsidRPr="00697442">
        <w:rPr>
          <w:rFonts w:cs="Times New Roman"/>
          <w:iCs/>
          <w:szCs w:val="24"/>
        </w:rPr>
        <w:t xml:space="preserve"> </w:t>
      </w:r>
      <w:sdt>
        <w:sdtPr>
          <w:rPr>
            <w:rFonts w:cs="Times New Roman"/>
            <w:iCs/>
            <w:szCs w:val="24"/>
          </w:rPr>
          <w:id w:val="1735505449"/>
          <w:citation/>
        </w:sdtPr>
        <w:sdtEndPr/>
        <w:sdtContent>
          <w:r w:rsidR="003A4FF6" w:rsidRPr="007E253F">
            <w:rPr>
              <w:rFonts w:cs="Times New Roman"/>
              <w:iCs/>
              <w:szCs w:val="24"/>
            </w:rPr>
            <w:fldChar w:fldCharType="begin"/>
          </w:r>
          <w:r w:rsidR="003A4FF6" w:rsidRPr="007E253F">
            <w:rPr>
              <w:rFonts w:cs="Times New Roman"/>
              <w:iCs/>
              <w:szCs w:val="24"/>
            </w:rPr>
            <w:instrText xml:space="preserve">CITATION Cal12 \l 12298 </w:instrText>
          </w:r>
          <w:r w:rsidR="003A4FF6" w:rsidRPr="007E253F">
            <w:rPr>
              <w:rFonts w:cs="Times New Roman"/>
              <w:iCs/>
              <w:szCs w:val="24"/>
            </w:rPr>
            <w:fldChar w:fldCharType="separate"/>
          </w:r>
          <w:r w:rsidR="005106B9" w:rsidRPr="005106B9">
            <w:rPr>
              <w:rFonts w:cs="Times New Roman"/>
              <w:noProof/>
              <w:szCs w:val="24"/>
            </w:rPr>
            <w:t>(Calva, 2012)</w:t>
          </w:r>
          <w:r w:rsidR="003A4FF6" w:rsidRPr="007E253F">
            <w:rPr>
              <w:rFonts w:cs="Times New Roman"/>
              <w:iCs/>
              <w:szCs w:val="24"/>
            </w:rPr>
            <w:fldChar w:fldCharType="end"/>
          </w:r>
        </w:sdtContent>
      </w:sdt>
      <w:r w:rsidR="008A3AD8">
        <w:rPr>
          <w:rFonts w:cs="Times New Roman"/>
          <w:iCs/>
          <w:szCs w:val="24"/>
        </w:rPr>
        <w:t>.</w:t>
      </w:r>
    </w:p>
    <w:p w14:paraId="2AFB04CB" w14:textId="5C2886C8" w:rsidR="0077235D" w:rsidRPr="007E253F" w:rsidRDefault="0077235D" w:rsidP="00AB2D0F">
      <w:pPr>
        <w:autoSpaceDE w:val="0"/>
        <w:autoSpaceDN w:val="0"/>
        <w:adjustRightInd w:val="0"/>
        <w:spacing w:before="360" w:after="0" w:line="360" w:lineRule="auto"/>
        <w:rPr>
          <w:rFonts w:cs="Times New Roman"/>
          <w:iCs/>
          <w:szCs w:val="24"/>
        </w:rPr>
      </w:pPr>
      <w:r w:rsidRPr="007E253F">
        <w:rPr>
          <w:rFonts w:cs="Times New Roman"/>
          <w:iCs/>
          <w:szCs w:val="24"/>
        </w:rPr>
        <w:t xml:space="preserve">El </w:t>
      </w:r>
      <w:r w:rsidRPr="00697442">
        <w:rPr>
          <w:rFonts w:cs="Times New Roman"/>
          <w:i/>
          <w:iCs/>
          <w:szCs w:val="24"/>
        </w:rPr>
        <w:t>Rhizobium</w:t>
      </w:r>
      <w:r w:rsidRPr="007E253F">
        <w:rPr>
          <w:rFonts w:cs="Times New Roman"/>
          <w:b/>
          <w:i/>
          <w:iCs/>
          <w:szCs w:val="24"/>
        </w:rPr>
        <w:t xml:space="preserve"> </w:t>
      </w:r>
      <w:r w:rsidRPr="007E253F">
        <w:rPr>
          <w:rFonts w:cs="Times New Roman"/>
          <w:iCs/>
          <w:szCs w:val="24"/>
        </w:rPr>
        <w:t xml:space="preserve">es una de las bacterias del suelo más conocidas por la simbiosis que establecen con las leguminosas. El proceso de establecimiento del nódulo no es sencillo y es necesario que se den unas condiciones muy específicas. Presencia de elementos minerales en el suelo. Ciertas deficiencias o excesos de algunos minerales afectan directa o indirectamente a la nodulación. La presencia de </w:t>
      </w:r>
      <w:r w:rsidRPr="007E253F">
        <w:rPr>
          <w:rFonts w:cs="Times New Roman"/>
          <w:iCs/>
          <w:szCs w:val="24"/>
        </w:rPr>
        <w:lastRenderedPageBreak/>
        <w:t xml:space="preserve">molibdeno en cantidad suficiente es necesaria ya que es un constituyente de la nitrogenasa. Otros elementos como el calcio, fósforo, azufre, cobre o zinc tienen efectos en el pH del suelo y afectan directamente en la fijación. Todas las estirpes bacterianas necesitan valores de pH del suelo superiores a 5, a excepción del </w:t>
      </w:r>
      <w:r w:rsidRPr="007E253F">
        <w:rPr>
          <w:rFonts w:cs="Times New Roman"/>
          <w:b/>
          <w:i/>
          <w:iCs/>
          <w:szCs w:val="24"/>
        </w:rPr>
        <w:t>R. lupini</w:t>
      </w:r>
      <w:r w:rsidRPr="007E253F">
        <w:rPr>
          <w:rFonts w:cs="Times New Roman"/>
          <w:iCs/>
          <w:szCs w:val="24"/>
        </w:rPr>
        <w:t xml:space="preserve"> (pH 3,2) y </w:t>
      </w:r>
      <w:r w:rsidRPr="007E253F">
        <w:rPr>
          <w:rFonts w:cs="Times New Roman"/>
          <w:b/>
          <w:i/>
          <w:iCs/>
          <w:szCs w:val="24"/>
        </w:rPr>
        <w:t>R. japonicum</w:t>
      </w:r>
      <w:r w:rsidRPr="007E253F">
        <w:rPr>
          <w:rFonts w:cs="Times New Roman"/>
          <w:iCs/>
          <w:szCs w:val="24"/>
        </w:rPr>
        <w:t xml:space="preserve"> (pH 4,2)</w:t>
      </w:r>
      <w:r w:rsidRPr="007E253F">
        <w:rPr>
          <w:rFonts w:cs="Times New Roman"/>
          <w:i/>
          <w:iCs/>
          <w:szCs w:val="24"/>
        </w:rPr>
        <w:t xml:space="preserve"> </w:t>
      </w:r>
      <w:sdt>
        <w:sdtPr>
          <w:rPr>
            <w:rFonts w:cs="Times New Roman"/>
            <w:i/>
            <w:iCs/>
            <w:szCs w:val="24"/>
          </w:rPr>
          <w:id w:val="-629710832"/>
          <w:citation/>
        </w:sdtPr>
        <w:sdtEndPr/>
        <w:sdtContent>
          <w:r w:rsidR="003A4FF6" w:rsidRPr="007E253F">
            <w:rPr>
              <w:rFonts w:cs="Times New Roman"/>
              <w:i/>
              <w:iCs/>
              <w:szCs w:val="24"/>
            </w:rPr>
            <w:fldChar w:fldCharType="begin"/>
          </w:r>
          <w:r w:rsidR="00DC0851" w:rsidRPr="007E253F">
            <w:rPr>
              <w:rFonts w:cs="Times New Roman"/>
              <w:szCs w:val="24"/>
            </w:rPr>
            <w:instrText xml:space="preserve">CITATION Vid15 \l 12298 </w:instrText>
          </w:r>
          <w:r w:rsidR="003A4FF6" w:rsidRPr="007E253F">
            <w:rPr>
              <w:rFonts w:cs="Times New Roman"/>
              <w:i/>
              <w:iCs/>
              <w:szCs w:val="24"/>
            </w:rPr>
            <w:fldChar w:fldCharType="separate"/>
          </w:r>
          <w:r w:rsidR="005106B9" w:rsidRPr="005106B9">
            <w:rPr>
              <w:rFonts w:cs="Times New Roman"/>
              <w:noProof/>
              <w:szCs w:val="24"/>
            </w:rPr>
            <w:t>(Vida, 2015)</w:t>
          </w:r>
          <w:r w:rsidR="003A4FF6" w:rsidRPr="007E253F">
            <w:rPr>
              <w:rFonts w:cs="Times New Roman"/>
              <w:i/>
              <w:iCs/>
              <w:szCs w:val="24"/>
            </w:rPr>
            <w:fldChar w:fldCharType="end"/>
          </w:r>
        </w:sdtContent>
      </w:sdt>
    </w:p>
    <w:p w14:paraId="7AF3A966" w14:textId="06132191" w:rsidR="0077235D" w:rsidRPr="007E253F" w:rsidRDefault="0077235D" w:rsidP="00AB2D0F">
      <w:pPr>
        <w:autoSpaceDE w:val="0"/>
        <w:autoSpaceDN w:val="0"/>
        <w:adjustRightInd w:val="0"/>
        <w:spacing w:before="360" w:after="0" w:line="360" w:lineRule="auto"/>
        <w:rPr>
          <w:rFonts w:cs="Times New Roman"/>
          <w:i/>
          <w:noProof/>
          <w:szCs w:val="24"/>
        </w:rPr>
      </w:pPr>
      <w:r w:rsidRPr="007E253F">
        <w:rPr>
          <w:rFonts w:cs="Times New Roman"/>
          <w:szCs w:val="24"/>
        </w:rPr>
        <w:t>Algunos fijadores libres, como </w:t>
      </w:r>
      <w:r w:rsidRPr="00697442">
        <w:rPr>
          <w:rFonts w:cs="Times New Roman"/>
          <w:szCs w:val="24"/>
        </w:rPr>
        <w:t>Azotobacter, requieren hasta 100 unidades de equivalentes de glucosa por unidad de nitrógeno fijado. Por ello su significación agrícola es baja, que se incrementa considerablemente en el caso de la fijación simbiótica, como la establecida entre Rhizobium y la leguminosa, donde la relación disminuye de 6 a 12 unidades d</w:t>
      </w:r>
      <w:r w:rsidRPr="007E253F">
        <w:rPr>
          <w:rFonts w:cs="Times New Roman"/>
          <w:szCs w:val="24"/>
        </w:rPr>
        <w:t>e glucosa consumidas por unidad de nitrógeno reducido. En este caso, además, la fuente de energía son los compuestos carbonados suministrados directamente por la planta derivados de la fotosíntesis, mientras que los fijadores libres han de tomarlos del suelo donde no existen en la cantidad y forma necesarias. Así de hecho, </w:t>
      </w:r>
      <w:r w:rsidRPr="00697442">
        <w:rPr>
          <w:rFonts w:cs="Times New Roman"/>
          <w:szCs w:val="24"/>
        </w:rPr>
        <w:t>Azotobacter proporciona al suelo unos cientos de gramos de nitrógeno por hectárea/año y, en cambio, este valor sube en la asociación de Rhizobium con alfalfa, trébol</w:t>
      </w:r>
      <w:r w:rsidRPr="007E253F">
        <w:rPr>
          <w:rFonts w:cs="Times New Roman"/>
          <w:szCs w:val="24"/>
        </w:rPr>
        <w:t>, guisante o soja, a unos cientos de kilos. A pesar de estas diferencias, la fijación libre por sí sola representa a nivel global algo menos de la mitad del total de N</w:t>
      </w:r>
      <w:r w:rsidRPr="00697442">
        <w:rPr>
          <w:rFonts w:cs="Times New Roman"/>
          <w:szCs w:val="24"/>
          <w:vertAlign w:val="subscript"/>
        </w:rPr>
        <w:t>2</w:t>
      </w:r>
      <w:r w:rsidRPr="007E253F">
        <w:rPr>
          <w:rFonts w:cs="Times New Roman"/>
          <w:szCs w:val="24"/>
        </w:rPr>
        <w:t xml:space="preserve"> fijado por año (Fig. 2), ya que la simbiótica, aunque sea más alta, está limitada a unas pocas especies vegetales, entre ellas, las leguminosas de gran importancia económica y social </w:t>
      </w:r>
      <w:sdt>
        <w:sdtPr>
          <w:rPr>
            <w:rFonts w:cs="Times New Roman"/>
            <w:szCs w:val="24"/>
          </w:rPr>
          <w:id w:val="-802456397"/>
          <w:citation/>
        </w:sdtPr>
        <w:sdtEndPr/>
        <w:sdtContent>
          <w:r w:rsidR="000D6A3C" w:rsidRPr="007E253F">
            <w:rPr>
              <w:rFonts w:cs="Times New Roman"/>
              <w:szCs w:val="24"/>
            </w:rPr>
            <w:fldChar w:fldCharType="begin"/>
          </w:r>
          <w:r w:rsidR="000D6A3C" w:rsidRPr="007E253F">
            <w:rPr>
              <w:rFonts w:cs="Times New Roman"/>
              <w:szCs w:val="24"/>
            </w:rPr>
            <w:instrText xml:space="preserve">CITATION Oli08 \l 12298 </w:instrText>
          </w:r>
          <w:r w:rsidR="000D6A3C" w:rsidRPr="007E253F">
            <w:rPr>
              <w:rFonts w:cs="Times New Roman"/>
              <w:szCs w:val="24"/>
            </w:rPr>
            <w:fldChar w:fldCharType="separate"/>
          </w:r>
          <w:r w:rsidR="005106B9" w:rsidRPr="005106B9">
            <w:rPr>
              <w:rFonts w:cs="Times New Roman"/>
              <w:noProof/>
              <w:szCs w:val="24"/>
            </w:rPr>
            <w:t>(Olivares, 2008)</w:t>
          </w:r>
          <w:r w:rsidR="000D6A3C" w:rsidRPr="007E253F">
            <w:rPr>
              <w:rFonts w:cs="Times New Roman"/>
              <w:szCs w:val="24"/>
            </w:rPr>
            <w:fldChar w:fldCharType="end"/>
          </w:r>
        </w:sdtContent>
      </w:sdt>
    </w:p>
    <w:p w14:paraId="28B5A96A" w14:textId="77777777" w:rsidR="0077235D" w:rsidRPr="007E253F" w:rsidRDefault="0077235D" w:rsidP="00135DE8">
      <w:pPr>
        <w:pStyle w:val="Prrafodelista"/>
        <w:numPr>
          <w:ilvl w:val="0"/>
          <w:numId w:val="5"/>
        </w:numPr>
        <w:spacing w:before="360" w:after="360" w:line="360" w:lineRule="auto"/>
        <w:ind w:left="714" w:hanging="357"/>
        <w:rPr>
          <w:rFonts w:cs="Times New Roman"/>
          <w:b/>
          <w:szCs w:val="24"/>
        </w:rPr>
      </w:pPr>
      <w:r w:rsidRPr="007E253F">
        <w:rPr>
          <w:rFonts w:cs="Times New Roman"/>
          <w:b/>
          <w:szCs w:val="24"/>
        </w:rPr>
        <w:t>Fijación por microorganismos</w:t>
      </w:r>
    </w:p>
    <w:p w14:paraId="5C311F8C" w14:textId="15DF4EBC"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 xml:space="preserve">Los microorganismos fijadores de nitrógeno de vida libre, abarcan una gama morfológica que va desde los organismos unicelulares como las bacterias y algunas cianobacterias, hasta multicelulares como las cianobacterias filamentosas y los actinomicetes, que habitan diferentes ambientes, incluyendo los extremos, todos procarióticos; comprendiendo así microorganismos pertenecientes a los Dominios Archaea y Bacteria, los cuales pueden formar asociaciones con organismos pertenecientes al Dominio Eucaria.  Estas asociaciones pueden ser de tipo no simbiótico, ocurriendo principalmente en la filósfera o la rizósfera de algunas plantas, o de tipo simbiótico, dándose en briofitas (musgos, hepáticas y </w:t>
      </w:r>
      <w:r w:rsidRPr="007E253F">
        <w:rPr>
          <w:rFonts w:cs="Times New Roman"/>
          <w:szCs w:val="24"/>
        </w:rPr>
        <w:lastRenderedPageBreak/>
        <w:t>antocerotas), helechos (</w:t>
      </w:r>
      <w:r w:rsidRPr="007E253F">
        <w:rPr>
          <w:rFonts w:cs="Times New Roman"/>
          <w:iCs/>
          <w:szCs w:val="24"/>
        </w:rPr>
        <w:t>Azolla</w:t>
      </w:r>
      <w:r w:rsidRPr="007E253F">
        <w:rPr>
          <w:rFonts w:cs="Times New Roman"/>
          <w:szCs w:val="24"/>
        </w:rPr>
        <w:t>), gimnospermas (cícadas) y angiospermas (</w:t>
      </w:r>
      <w:r w:rsidRPr="007E253F">
        <w:rPr>
          <w:rFonts w:cs="Times New Roman"/>
          <w:iCs/>
          <w:szCs w:val="24"/>
        </w:rPr>
        <w:t>Gunnera</w:t>
      </w:r>
      <w:r w:rsidRPr="007E253F">
        <w:rPr>
          <w:rFonts w:cs="Times New Roman"/>
          <w:szCs w:val="24"/>
        </w:rPr>
        <w:t>, leguminosas y </w:t>
      </w:r>
      <w:r w:rsidRPr="007E253F">
        <w:rPr>
          <w:rFonts w:cs="Times New Roman"/>
          <w:iCs/>
          <w:szCs w:val="24"/>
        </w:rPr>
        <w:t>Parasponia</w:t>
      </w:r>
      <w:r w:rsidRPr="007E253F">
        <w:rPr>
          <w:rFonts w:cs="Times New Roman"/>
          <w:szCs w:val="24"/>
        </w:rPr>
        <w:t>) y en zonas de la planta que incluyen</w:t>
      </w:r>
      <w:r w:rsidR="00CD725A" w:rsidRPr="007E253F">
        <w:rPr>
          <w:rFonts w:cs="Times New Roman"/>
          <w:szCs w:val="24"/>
        </w:rPr>
        <w:t xml:space="preserve"> la raíz, el tallo y las hojas </w:t>
      </w:r>
      <w:sdt>
        <w:sdtPr>
          <w:rPr>
            <w:rFonts w:cs="Times New Roman"/>
            <w:szCs w:val="24"/>
          </w:rPr>
          <w:id w:val="2014649694"/>
          <w:citation/>
        </w:sdtPr>
        <w:sdtEndPr/>
        <w:sdtContent>
          <w:r w:rsidR="00CD725A" w:rsidRPr="007E253F">
            <w:rPr>
              <w:rFonts w:cs="Times New Roman"/>
              <w:szCs w:val="24"/>
            </w:rPr>
            <w:fldChar w:fldCharType="begin"/>
          </w:r>
          <w:r w:rsidR="00CD725A" w:rsidRPr="007E253F">
            <w:rPr>
              <w:rFonts w:cs="Times New Roman"/>
              <w:szCs w:val="24"/>
            </w:rPr>
            <w:instrText xml:space="preserve">CITATION May04 \l 12298 </w:instrText>
          </w:r>
          <w:r w:rsidR="00CD725A" w:rsidRPr="007E253F">
            <w:rPr>
              <w:rFonts w:cs="Times New Roman"/>
              <w:szCs w:val="24"/>
            </w:rPr>
            <w:fldChar w:fldCharType="separate"/>
          </w:r>
          <w:r w:rsidR="005106B9" w:rsidRPr="005106B9">
            <w:rPr>
              <w:rFonts w:cs="Times New Roman"/>
              <w:noProof/>
              <w:szCs w:val="24"/>
            </w:rPr>
            <w:t>(Mayz, 2004)</w:t>
          </w:r>
          <w:r w:rsidR="00CD725A" w:rsidRPr="007E253F">
            <w:rPr>
              <w:rFonts w:cs="Times New Roman"/>
              <w:szCs w:val="24"/>
            </w:rPr>
            <w:fldChar w:fldCharType="end"/>
          </w:r>
        </w:sdtContent>
      </w:sdt>
    </w:p>
    <w:p w14:paraId="45D38360" w14:textId="58E06294" w:rsidR="0077235D" w:rsidRPr="007E253F" w:rsidRDefault="0077235D" w:rsidP="00AB2D0F">
      <w:pPr>
        <w:autoSpaceDE w:val="0"/>
        <w:autoSpaceDN w:val="0"/>
        <w:adjustRightInd w:val="0"/>
        <w:spacing w:before="360" w:after="0" w:line="360" w:lineRule="auto"/>
        <w:rPr>
          <w:rFonts w:cs="Times New Roman"/>
          <w:noProof/>
          <w:szCs w:val="24"/>
        </w:rPr>
      </w:pPr>
      <w:r w:rsidRPr="007E253F">
        <w:rPr>
          <w:rFonts w:cs="Times New Roman"/>
          <w:szCs w:val="24"/>
        </w:rPr>
        <w:t xml:space="preserve">En el medio acuático, los microorganismos encargados de la fijación de nitrógeno son las cianobacterias. Algunas especies de helechos de agua, como la Azorella, tienen cavidades en donde viven cianobacterias, encargadas de aportarle nitrógeno a la planta. La cantidad anual de nitrógeno fijado por bacterias es muy grande, aproximadamente de 200 millones de toneladas anuales. Este nitrógeno, en forma de nitratos y amonio, es asimilable por las plantas, que lo utilizan para sintetizar aminoácidos, proteínas y ácidos nucleicos. Luego los animales herbívoros obtienen el nitrógeno alimentándose de estas plantas, y así este elemento comienza a recorrer toda la cadena alimenticia </w:t>
      </w:r>
      <w:bookmarkStart w:id="541" w:name="_Toc29312362"/>
      <w:bookmarkStart w:id="542" w:name="_Toc29319401"/>
      <w:bookmarkStart w:id="543" w:name="_Toc35185826"/>
      <w:bookmarkStart w:id="544" w:name="_Toc35186319"/>
      <w:sdt>
        <w:sdtPr>
          <w:rPr>
            <w:rFonts w:cs="Times New Roman"/>
            <w:szCs w:val="24"/>
          </w:rPr>
          <w:id w:val="-1147045335"/>
          <w:citation/>
        </w:sdtPr>
        <w:sdtEndPr/>
        <w:sdtContent>
          <w:r w:rsidR="000D6A3C" w:rsidRPr="007E253F">
            <w:rPr>
              <w:rFonts w:cs="Times New Roman"/>
              <w:szCs w:val="24"/>
            </w:rPr>
            <w:fldChar w:fldCharType="begin"/>
          </w:r>
          <w:r w:rsidR="000D6A3C" w:rsidRPr="007E253F">
            <w:rPr>
              <w:rFonts w:cs="Times New Roman"/>
              <w:szCs w:val="24"/>
            </w:rPr>
            <w:instrText xml:space="preserve">CITATION Qui10 \l 12298 </w:instrText>
          </w:r>
          <w:r w:rsidR="000D6A3C" w:rsidRPr="007E253F">
            <w:rPr>
              <w:rFonts w:cs="Times New Roman"/>
              <w:szCs w:val="24"/>
            </w:rPr>
            <w:fldChar w:fldCharType="separate"/>
          </w:r>
          <w:r w:rsidR="005106B9" w:rsidRPr="005106B9">
            <w:rPr>
              <w:rFonts w:cs="Times New Roman"/>
              <w:noProof/>
              <w:szCs w:val="24"/>
            </w:rPr>
            <w:t>(Quimica, 2010)</w:t>
          </w:r>
          <w:r w:rsidR="000D6A3C" w:rsidRPr="007E253F">
            <w:rPr>
              <w:rFonts w:cs="Times New Roman"/>
              <w:szCs w:val="24"/>
            </w:rPr>
            <w:fldChar w:fldCharType="end"/>
          </w:r>
        </w:sdtContent>
      </w:sdt>
    </w:p>
    <w:p w14:paraId="5E63E578" w14:textId="00E7052A" w:rsidR="0077235D" w:rsidRPr="00AB2D0F" w:rsidRDefault="0077235D" w:rsidP="009A4D68">
      <w:pPr>
        <w:pStyle w:val="Prrafodelista"/>
        <w:numPr>
          <w:ilvl w:val="3"/>
          <w:numId w:val="43"/>
        </w:numPr>
        <w:spacing w:before="360" w:after="360"/>
        <w:ind w:left="1077" w:hanging="1077"/>
        <w:contextualSpacing w:val="0"/>
        <w:rPr>
          <w:b/>
          <w:bCs/>
        </w:rPr>
      </w:pPr>
      <w:bookmarkStart w:id="545" w:name="_Toc72741087"/>
      <w:bookmarkStart w:id="546" w:name="_Toc72741885"/>
      <w:bookmarkStart w:id="547" w:name="_Toc72742683"/>
      <w:bookmarkStart w:id="548" w:name="_Toc72881435"/>
      <w:bookmarkStart w:id="549" w:name="_Toc72882517"/>
      <w:bookmarkStart w:id="550" w:name="_Toc75608862"/>
      <w:bookmarkStart w:id="551" w:name="_Toc75611788"/>
      <w:bookmarkStart w:id="552" w:name="_Toc75612634"/>
      <w:bookmarkStart w:id="553" w:name="_Toc75679789"/>
      <w:bookmarkStart w:id="554" w:name="_Toc75702397"/>
      <w:r w:rsidRPr="00AB2D0F">
        <w:rPr>
          <w:b/>
          <w:bCs/>
        </w:rPr>
        <w:t>Pérdidas del nitrógeno</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453CEAA5" w14:textId="77777777" w:rsidR="0077235D" w:rsidRPr="00AB2D0F" w:rsidRDefault="0077235D" w:rsidP="009A4D68">
      <w:pPr>
        <w:pStyle w:val="Prrafodelista"/>
        <w:numPr>
          <w:ilvl w:val="0"/>
          <w:numId w:val="42"/>
        </w:numPr>
        <w:spacing w:before="360" w:after="360"/>
        <w:contextualSpacing w:val="0"/>
        <w:rPr>
          <w:b/>
          <w:bCs/>
        </w:rPr>
      </w:pPr>
      <w:r w:rsidRPr="00AB2D0F">
        <w:rPr>
          <w:b/>
          <w:bCs/>
        </w:rPr>
        <w:t xml:space="preserve">Volatilización </w:t>
      </w:r>
    </w:p>
    <w:p w14:paraId="4D02963B" w14:textId="50306DF1"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Mediante la volatilización se da la pérdida de aproximadamente el 20% del nitrógeno de los suelos. Los nitratos y nitritos pasan a hiponitritos (HNO) que es volátil o bien a óxido nitroso (N</w:t>
      </w:r>
      <w:r w:rsidRPr="00697442">
        <w:rPr>
          <w:rFonts w:cs="Times New Roman"/>
          <w:szCs w:val="24"/>
          <w:vertAlign w:val="subscript"/>
        </w:rPr>
        <w:t>2</w:t>
      </w:r>
      <w:r w:rsidRPr="007E253F">
        <w:rPr>
          <w:rFonts w:cs="Times New Roman"/>
          <w:szCs w:val="24"/>
        </w:rPr>
        <w:t xml:space="preserve">O) en presencia de pH mayores de 7 y a óxido nítrico (2NO) en presencia de suelos con pH menores de 6 </w:t>
      </w:r>
      <w:sdt>
        <w:sdtPr>
          <w:rPr>
            <w:rFonts w:cs="Times New Roman"/>
            <w:szCs w:val="24"/>
          </w:rPr>
          <w:id w:val="-566339789"/>
          <w:citation/>
        </w:sdtPr>
        <w:sdtEndPr/>
        <w:sdtContent>
          <w:r w:rsidR="000D6A3C" w:rsidRPr="007E253F">
            <w:rPr>
              <w:rFonts w:cs="Times New Roman"/>
              <w:szCs w:val="24"/>
            </w:rPr>
            <w:fldChar w:fldCharType="begin"/>
          </w:r>
          <w:r w:rsidR="000D6A3C" w:rsidRPr="007E253F">
            <w:rPr>
              <w:rFonts w:cs="Times New Roman"/>
              <w:szCs w:val="24"/>
            </w:rPr>
            <w:instrText xml:space="preserve">CITATION Mar11 \l 12298 </w:instrText>
          </w:r>
          <w:r w:rsidR="000D6A3C" w:rsidRPr="007E253F">
            <w:rPr>
              <w:rFonts w:cs="Times New Roman"/>
              <w:szCs w:val="24"/>
            </w:rPr>
            <w:fldChar w:fldCharType="separate"/>
          </w:r>
          <w:r w:rsidR="005106B9" w:rsidRPr="005106B9">
            <w:rPr>
              <w:rFonts w:cs="Times New Roman"/>
              <w:noProof/>
              <w:szCs w:val="24"/>
            </w:rPr>
            <w:t>(Marin, 2011)</w:t>
          </w:r>
          <w:r w:rsidR="000D6A3C" w:rsidRPr="007E253F">
            <w:rPr>
              <w:rFonts w:cs="Times New Roman"/>
              <w:szCs w:val="24"/>
            </w:rPr>
            <w:fldChar w:fldCharType="end"/>
          </w:r>
        </w:sdtContent>
      </w:sdt>
    </w:p>
    <w:p w14:paraId="734F4A3F" w14:textId="77777777" w:rsidR="0077235D" w:rsidRPr="007E253F" w:rsidRDefault="0077235D" w:rsidP="00135DE8">
      <w:pPr>
        <w:pStyle w:val="Prrafodelista"/>
        <w:numPr>
          <w:ilvl w:val="0"/>
          <w:numId w:val="5"/>
        </w:numPr>
        <w:autoSpaceDE w:val="0"/>
        <w:autoSpaceDN w:val="0"/>
        <w:adjustRightInd w:val="0"/>
        <w:spacing w:before="360" w:after="360" w:line="360" w:lineRule="auto"/>
        <w:ind w:left="714" w:hanging="357"/>
        <w:rPr>
          <w:rFonts w:cs="Times New Roman"/>
          <w:b/>
          <w:bCs/>
          <w:szCs w:val="24"/>
        </w:rPr>
      </w:pPr>
      <w:r w:rsidRPr="007E253F">
        <w:rPr>
          <w:rFonts w:cs="Times New Roman"/>
          <w:b/>
          <w:bCs/>
          <w:szCs w:val="24"/>
        </w:rPr>
        <w:t>Desnitrificación</w:t>
      </w:r>
    </w:p>
    <w:p w14:paraId="05C7ED5D" w14:textId="3BB02234" w:rsidR="00AB2D0F" w:rsidRPr="007E253F" w:rsidRDefault="0077235D" w:rsidP="00AB2D0F">
      <w:pPr>
        <w:autoSpaceDE w:val="0"/>
        <w:autoSpaceDN w:val="0"/>
        <w:adjustRightInd w:val="0"/>
        <w:spacing w:before="360" w:after="360" w:line="360" w:lineRule="auto"/>
        <w:rPr>
          <w:rFonts w:cs="Times New Roman"/>
          <w:szCs w:val="24"/>
        </w:rPr>
      </w:pPr>
      <w:r w:rsidRPr="007E253F">
        <w:rPr>
          <w:rFonts w:cs="Times New Roman"/>
          <w:szCs w:val="24"/>
        </w:rPr>
        <w:t>A través de la desnitrificación, las formas oxidadas de nitrógeno como el nitrato y el nitrito (NO</w:t>
      </w:r>
      <w:r w:rsidRPr="00697442">
        <w:rPr>
          <w:rFonts w:cs="Times New Roman"/>
          <w:szCs w:val="24"/>
          <w:vertAlign w:val="subscript"/>
        </w:rPr>
        <w:t>2</w:t>
      </w:r>
      <w:r w:rsidRPr="007E253F">
        <w:rPr>
          <w:rFonts w:cs="Times New Roman"/>
          <w:szCs w:val="24"/>
        </w:rPr>
        <w:t>-) se convierte en N</w:t>
      </w:r>
      <w:r w:rsidRPr="00697442">
        <w:rPr>
          <w:rFonts w:cs="Times New Roman"/>
          <w:szCs w:val="24"/>
          <w:vertAlign w:val="subscript"/>
        </w:rPr>
        <w:t>2</w:t>
      </w:r>
      <w:r w:rsidRPr="007E253F">
        <w:rPr>
          <w:rFonts w:cs="Times New Roman"/>
          <w:szCs w:val="24"/>
        </w:rPr>
        <w:t xml:space="preserve"> y, en menor medida, en gas óxido nitroso (N</w:t>
      </w:r>
      <w:r w:rsidRPr="00697442">
        <w:rPr>
          <w:rFonts w:cs="Times New Roman"/>
          <w:szCs w:val="24"/>
          <w:vertAlign w:val="subscript"/>
        </w:rPr>
        <w:t>2</w:t>
      </w:r>
      <w:r w:rsidRPr="007E253F">
        <w:rPr>
          <w:rFonts w:cs="Times New Roman"/>
          <w:szCs w:val="24"/>
        </w:rPr>
        <w:t>O) y óxido nítrico (NO). La desnitrificación es un proceso anaeróbico realizado por bacterias desnitrificantes como algunos bacilos y ps</w:t>
      </w:r>
      <w:r w:rsidR="00CD725A" w:rsidRPr="007E253F">
        <w:rPr>
          <w:rFonts w:cs="Times New Roman"/>
          <w:szCs w:val="24"/>
        </w:rPr>
        <w:t xml:space="preserve">eudomonas </w:t>
      </w:r>
      <w:sdt>
        <w:sdtPr>
          <w:rPr>
            <w:rFonts w:cs="Times New Roman"/>
            <w:szCs w:val="24"/>
          </w:rPr>
          <w:id w:val="1353153282"/>
          <w:citation/>
        </w:sdtPr>
        <w:sdtEndPr/>
        <w:sdtContent>
          <w:r w:rsidR="00CD725A" w:rsidRPr="007E253F">
            <w:rPr>
              <w:rFonts w:cs="Times New Roman"/>
              <w:szCs w:val="24"/>
            </w:rPr>
            <w:fldChar w:fldCharType="begin"/>
          </w:r>
          <w:r w:rsidR="00CD725A" w:rsidRPr="007E253F">
            <w:rPr>
              <w:rFonts w:cs="Times New Roman"/>
              <w:szCs w:val="24"/>
            </w:rPr>
            <w:instrText xml:space="preserve"> CITATION Mar11 \l 12298 </w:instrText>
          </w:r>
          <w:r w:rsidR="00CD725A" w:rsidRPr="007E253F">
            <w:rPr>
              <w:rFonts w:cs="Times New Roman"/>
              <w:szCs w:val="24"/>
            </w:rPr>
            <w:fldChar w:fldCharType="separate"/>
          </w:r>
          <w:r w:rsidR="005106B9" w:rsidRPr="005106B9">
            <w:rPr>
              <w:rFonts w:cs="Times New Roman"/>
              <w:noProof/>
              <w:szCs w:val="24"/>
            </w:rPr>
            <w:t>(Marin, 2011)</w:t>
          </w:r>
          <w:r w:rsidR="00CD725A" w:rsidRPr="007E253F">
            <w:rPr>
              <w:rFonts w:cs="Times New Roman"/>
              <w:szCs w:val="24"/>
            </w:rPr>
            <w:fldChar w:fldCharType="end"/>
          </w:r>
        </w:sdtContent>
      </w:sdt>
    </w:p>
    <w:p w14:paraId="455E5A5C" w14:textId="77777777" w:rsidR="0077235D" w:rsidRPr="007E253F" w:rsidRDefault="0077235D" w:rsidP="00135DE8">
      <w:pPr>
        <w:pStyle w:val="Prrafodelista"/>
        <w:numPr>
          <w:ilvl w:val="0"/>
          <w:numId w:val="5"/>
        </w:numPr>
        <w:autoSpaceDE w:val="0"/>
        <w:autoSpaceDN w:val="0"/>
        <w:adjustRightInd w:val="0"/>
        <w:spacing w:before="360" w:after="360" w:line="360" w:lineRule="auto"/>
        <w:ind w:left="714" w:hanging="357"/>
        <w:rPr>
          <w:rFonts w:cs="Times New Roman"/>
          <w:b/>
          <w:szCs w:val="24"/>
        </w:rPr>
      </w:pPr>
      <w:r w:rsidRPr="007E253F">
        <w:rPr>
          <w:rFonts w:cs="Times New Roman"/>
          <w:b/>
          <w:bCs/>
          <w:szCs w:val="24"/>
        </w:rPr>
        <w:t>Lixiviación</w:t>
      </w:r>
    </w:p>
    <w:p w14:paraId="31EDCCF3" w14:textId="12E15AD1" w:rsidR="001B453E" w:rsidRDefault="0077235D" w:rsidP="000E2B3A">
      <w:pPr>
        <w:autoSpaceDE w:val="0"/>
        <w:autoSpaceDN w:val="0"/>
        <w:adjustRightInd w:val="0"/>
        <w:spacing w:after="0" w:line="360" w:lineRule="auto"/>
        <w:rPr>
          <w:rFonts w:cs="Times New Roman"/>
          <w:szCs w:val="24"/>
        </w:rPr>
      </w:pPr>
      <w:r w:rsidRPr="007E253F">
        <w:rPr>
          <w:rFonts w:cs="Times New Roman"/>
          <w:szCs w:val="24"/>
        </w:rPr>
        <w:t xml:space="preserve">La concentración de nitratos en el suelo decrece con la profundidad, por lo tanto, es un fenómeno general en la región pampeana encontrar mayor concentración cerca </w:t>
      </w:r>
      <w:r w:rsidRPr="007E253F">
        <w:rPr>
          <w:rFonts w:cs="Times New Roman"/>
          <w:szCs w:val="24"/>
        </w:rPr>
        <w:lastRenderedPageBreak/>
        <w:t xml:space="preserve">de la superficie del suelo. Por otro lado, en la región pampeana se ha establecido para los distintos cultivos (maíz, trigo girasol) que pueden absorber agua de 0.80 m hasta 2 m de profundidad (suelos arcillosos a arenosos) durante la floración, momento de máxima biomasa y profundidad de raíces. En general, las mayores pérdidas por lixiviación de nitratos podrían ocurrir con altas fertilizaciones y precipitaciones y bajo consumos de los cultivos (estados iniciales) </w:t>
      </w:r>
      <w:sdt>
        <w:sdtPr>
          <w:rPr>
            <w:rFonts w:cs="Times New Roman"/>
            <w:szCs w:val="24"/>
          </w:rPr>
          <w:id w:val="911045462"/>
          <w:citation/>
        </w:sdtPr>
        <w:sdtEndPr/>
        <w:sdtContent>
          <w:r w:rsidR="00654B12" w:rsidRPr="007E253F">
            <w:rPr>
              <w:rFonts w:cs="Times New Roman"/>
              <w:szCs w:val="24"/>
            </w:rPr>
            <w:fldChar w:fldCharType="begin"/>
          </w:r>
          <w:r w:rsidR="00A93AE8" w:rsidRPr="007E253F">
            <w:rPr>
              <w:rFonts w:cs="Times New Roman"/>
              <w:szCs w:val="24"/>
            </w:rPr>
            <w:instrText xml:space="preserve">CITATION Qui12 \l 12298 </w:instrText>
          </w:r>
          <w:r w:rsidR="00654B12" w:rsidRPr="007E253F">
            <w:rPr>
              <w:rFonts w:cs="Times New Roman"/>
              <w:szCs w:val="24"/>
            </w:rPr>
            <w:fldChar w:fldCharType="separate"/>
          </w:r>
          <w:r w:rsidR="005106B9" w:rsidRPr="005106B9">
            <w:rPr>
              <w:rFonts w:cs="Times New Roman"/>
              <w:noProof/>
              <w:szCs w:val="24"/>
            </w:rPr>
            <w:t>(Bono, 2012)</w:t>
          </w:r>
          <w:r w:rsidR="00654B12" w:rsidRPr="007E253F">
            <w:rPr>
              <w:rFonts w:cs="Times New Roman"/>
              <w:szCs w:val="24"/>
            </w:rPr>
            <w:fldChar w:fldCharType="end"/>
          </w:r>
        </w:sdtContent>
      </w:sdt>
      <w:r w:rsidR="003B3C1B">
        <w:rPr>
          <w:rFonts w:cs="Times New Roman"/>
          <w:szCs w:val="24"/>
        </w:rPr>
        <w:t>.</w:t>
      </w:r>
    </w:p>
    <w:p w14:paraId="3D95AD40" w14:textId="185D6FBC" w:rsidR="00E05BB6" w:rsidRPr="00E05BB6" w:rsidRDefault="0077235D" w:rsidP="00135DE8">
      <w:pPr>
        <w:pStyle w:val="Prrafodelista"/>
        <w:numPr>
          <w:ilvl w:val="3"/>
          <w:numId w:val="43"/>
        </w:numPr>
        <w:spacing w:before="360" w:after="360" w:line="360" w:lineRule="auto"/>
        <w:ind w:left="1077" w:hanging="1077"/>
        <w:contextualSpacing w:val="0"/>
        <w:rPr>
          <w:b/>
          <w:bCs/>
        </w:rPr>
      </w:pPr>
      <w:bookmarkStart w:id="555" w:name="_Toc29312363"/>
      <w:bookmarkStart w:id="556" w:name="_Toc29319402"/>
      <w:bookmarkStart w:id="557" w:name="_Toc35185827"/>
      <w:bookmarkStart w:id="558" w:name="_Toc35186320"/>
      <w:bookmarkStart w:id="559" w:name="_Toc72741088"/>
      <w:bookmarkStart w:id="560" w:name="_Toc72741886"/>
      <w:bookmarkStart w:id="561" w:name="_Toc72742684"/>
      <w:bookmarkStart w:id="562" w:name="_Toc72881436"/>
      <w:bookmarkStart w:id="563" w:name="_Toc72882518"/>
      <w:bookmarkStart w:id="564" w:name="_Toc75608863"/>
      <w:bookmarkStart w:id="565" w:name="_Toc75611789"/>
      <w:bookmarkStart w:id="566" w:name="_Toc75612635"/>
      <w:bookmarkStart w:id="567" w:name="_Toc75679790"/>
      <w:bookmarkStart w:id="568" w:name="_Toc75702398"/>
      <w:r w:rsidRPr="00AB2D0F">
        <w:rPr>
          <w:b/>
          <w:bCs/>
        </w:rPr>
        <w:t>El nitrógeno en la planta</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36C83445" w14:textId="3E2F1D98" w:rsidR="0077235D" w:rsidRPr="00E05BB6" w:rsidRDefault="0077235D" w:rsidP="00135DE8">
      <w:pPr>
        <w:pStyle w:val="Prrafodelista"/>
        <w:numPr>
          <w:ilvl w:val="0"/>
          <w:numId w:val="42"/>
        </w:numPr>
        <w:spacing w:before="360" w:after="360"/>
        <w:ind w:left="714" w:hanging="357"/>
        <w:contextualSpacing w:val="0"/>
        <w:rPr>
          <w:b/>
          <w:bCs/>
        </w:rPr>
      </w:pPr>
      <w:r w:rsidRPr="00E05BB6">
        <w:rPr>
          <w:b/>
          <w:bCs/>
        </w:rPr>
        <w:t>Funciones</w:t>
      </w:r>
    </w:p>
    <w:p w14:paraId="2657BA34" w14:textId="42987793" w:rsidR="00F71C74" w:rsidRDefault="0077235D" w:rsidP="000E2B3A">
      <w:pPr>
        <w:autoSpaceDE w:val="0"/>
        <w:autoSpaceDN w:val="0"/>
        <w:adjustRightInd w:val="0"/>
        <w:spacing w:after="0" w:line="360" w:lineRule="auto"/>
        <w:rPr>
          <w:rFonts w:cs="Times New Roman"/>
          <w:i/>
          <w:szCs w:val="24"/>
        </w:rPr>
      </w:pPr>
      <w:r w:rsidRPr="007E253F">
        <w:rPr>
          <w:rFonts w:cs="Times New Roman"/>
          <w:szCs w:val="24"/>
        </w:rPr>
        <w:t>El nitrógeno tiene un papel en la alimentación de las plantas como factor de crecimiento y desarrollo vegetativo. El nitrógeno es uno de los constituyentes de los compuestos orgánicos de los vegetales. Interviene en la multiplicación celular y se considera factor de crecimiento. Es necesario para la formación de los aminoácidos, proteínas, enzimas, etc.</w:t>
      </w:r>
      <w:sdt>
        <w:sdtPr>
          <w:rPr>
            <w:rFonts w:cs="Times New Roman"/>
            <w:szCs w:val="24"/>
          </w:rPr>
          <w:id w:val="1122577836"/>
          <w:citation/>
        </w:sdtPr>
        <w:sdtEndPr/>
        <w:sdtContent>
          <w:r w:rsidR="008D43CA" w:rsidRPr="007E253F">
            <w:rPr>
              <w:rFonts w:cs="Times New Roman"/>
              <w:szCs w:val="24"/>
            </w:rPr>
            <w:fldChar w:fldCharType="begin"/>
          </w:r>
          <w:r w:rsidR="008D43CA" w:rsidRPr="007E253F">
            <w:rPr>
              <w:rFonts w:cs="Times New Roman"/>
              <w:szCs w:val="24"/>
            </w:rPr>
            <w:instrText xml:space="preserve">CITATION Agr18 \l 12298 </w:instrText>
          </w:r>
          <w:r w:rsidR="008D43CA" w:rsidRPr="007E253F">
            <w:rPr>
              <w:rFonts w:cs="Times New Roman"/>
              <w:szCs w:val="24"/>
            </w:rPr>
            <w:fldChar w:fldCharType="separate"/>
          </w:r>
          <w:r w:rsidR="005106B9">
            <w:rPr>
              <w:rFonts w:cs="Times New Roman"/>
              <w:noProof/>
              <w:szCs w:val="24"/>
            </w:rPr>
            <w:t xml:space="preserve"> </w:t>
          </w:r>
          <w:r w:rsidR="005106B9" w:rsidRPr="005106B9">
            <w:rPr>
              <w:rFonts w:cs="Times New Roman"/>
              <w:noProof/>
              <w:szCs w:val="24"/>
            </w:rPr>
            <w:t>(AgroEs, 2018)</w:t>
          </w:r>
          <w:r w:rsidR="008D43CA" w:rsidRPr="007E253F">
            <w:rPr>
              <w:rFonts w:cs="Times New Roman"/>
              <w:szCs w:val="24"/>
            </w:rPr>
            <w:fldChar w:fldCharType="end"/>
          </w:r>
        </w:sdtContent>
      </w:sdt>
    </w:p>
    <w:p w14:paraId="2D2ECF51" w14:textId="716321B6" w:rsidR="00E05BB6" w:rsidRDefault="0077235D" w:rsidP="00E05BB6">
      <w:pPr>
        <w:autoSpaceDE w:val="0"/>
        <w:autoSpaceDN w:val="0"/>
        <w:adjustRightInd w:val="0"/>
        <w:spacing w:before="360" w:after="360" w:line="360" w:lineRule="auto"/>
        <w:rPr>
          <w:rFonts w:cs="Times New Roman"/>
          <w:bCs/>
          <w:szCs w:val="24"/>
        </w:rPr>
      </w:pPr>
      <w:r w:rsidRPr="007E253F">
        <w:rPr>
          <w:rFonts w:cs="Times New Roman"/>
          <w:bCs/>
          <w:szCs w:val="24"/>
        </w:rPr>
        <w:t>El nitrógeno es el principal responsable del crecimiento del tallo, hojas, ramas y vigor en general. También se puede encontrar en diferentes formatos: orgánico, amoniacal y nítrico. La diferencia básica entre estos formatos está en la velocidad de absorción del nitrógeno por parte de la planta, siendo el formato amoniacal el de más rápida absorción y en consecuencia el que puede llegar a producir un exceso de es</w:t>
      </w:r>
      <w:r w:rsidR="008D43CA" w:rsidRPr="007E253F">
        <w:rPr>
          <w:rFonts w:cs="Times New Roman"/>
          <w:bCs/>
          <w:szCs w:val="24"/>
        </w:rPr>
        <w:t xml:space="preserve">te nutriente con más facilidad </w:t>
      </w:r>
      <w:sdt>
        <w:sdtPr>
          <w:rPr>
            <w:rFonts w:cs="Times New Roman"/>
            <w:bCs/>
            <w:szCs w:val="24"/>
          </w:rPr>
          <w:id w:val="-959174966"/>
          <w:citation/>
        </w:sdtPr>
        <w:sdtEndPr/>
        <w:sdtContent>
          <w:r w:rsidR="008D43CA" w:rsidRPr="007E253F">
            <w:rPr>
              <w:rFonts w:cs="Times New Roman"/>
              <w:bCs/>
              <w:szCs w:val="24"/>
            </w:rPr>
            <w:fldChar w:fldCharType="begin"/>
          </w:r>
          <w:r w:rsidR="008D43CA" w:rsidRPr="007E253F">
            <w:rPr>
              <w:rFonts w:cs="Times New Roman"/>
              <w:bCs/>
              <w:szCs w:val="24"/>
            </w:rPr>
            <w:instrText xml:space="preserve">CITATION Mon14 \l 12298 </w:instrText>
          </w:r>
          <w:r w:rsidR="008D43CA" w:rsidRPr="007E253F">
            <w:rPr>
              <w:rFonts w:cs="Times New Roman"/>
              <w:bCs/>
              <w:szCs w:val="24"/>
            </w:rPr>
            <w:fldChar w:fldCharType="separate"/>
          </w:r>
          <w:r w:rsidR="005106B9" w:rsidRPr="005106B9">
            <w:rPr>
              <w:rFonts w:cs="Times New Roman"/>
              <w:noProof/>
              <w:szCs w:val="24"/>
            </w:rPr>
            <w:t>(Montalvan, 2014)</w:t>
          </w:r>
          <w:r w:rsidR="008D43CA" w:rsidRPr="007E253F">
            <w:rPr>
              <w:rFonts w:cs="Times New Roman"/>
              <w:bCs/>
              <w:szCs w:val="24"/>
            </w:rPr>
            <w:fldChar w:fldCharType="end"/>
          </w:r>
        </w:sdtContent>
      </w:sdt>
    </w:p>
    <w:p w14:paraId="1028E3FD" w14:textId="67CF7D08" w:rsidR="00A93AE8" w:rsidRPr="00E05BB6" w:rsidRDefault="0077235D" w:rsidP="00135DE8">
      <w:pPr>
        <w:pStyle w:val="Prrafodelista"/>
        <w:numPr>
          <w:ilvl w:val="0"/>
          <w:numId w:val="42"/>
        </w:numPr>
        <w:autoSpaceDE w:val="0"/>
        <w:autoSpaceDN w:val="0"/>
        <w:adjustRightInd w:val="0"/>
        <w:spacing w:before="360" w:after="360" w:line="360" w:lineRule="auto"/>
        <w:rPr>
          <w:rFonts w:cs="Times New Roman"/>
          <w:bCs/>
          <w:szCs w:val="24"/>
        </w:rPr>
      </w:pPr>
      <w:r w:rsidRPr="00E05BB6">
        <w:rPr>
          <w:rFonts w:cs="Times New Roman"/>
          <w:b/>
          <w:szCs w:val="24"/>
        </w:rPr>
        <w:t>Deficiencia de nitrógeno en la planta</w:t>
      </w:r>
    </w:p>
    <w:p w14:paraId="0BBF1058" w14:textId="77777777"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Las plantas con carencias de nitrógeno presentan los siguientes síntomas:</w:t>
      </w:r>
    </w:p>
    <w:p w14:paraId="02EB4F83"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Menor tamaño de lo normal.</w:t>
      </w:r>
    </w:p>
    <w:p w14:paraId="18560E96"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Clorosis en las hojas adultas.</w:t>
      </w:r>
    </w:p>
    <w:p w14:paraId="387A5A99"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Algunas plantas como el maíz muestran una coloración purpúrea causada por la acumulación de pigmentos antocianos.</w:t>
      </w:r>
    </w:p>
    <w:p w14:paraId="48F282B6"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Mayor concentración de azúcares.</w:t>
      </w:r>
    </w:p>
    <w:p w14:paraId="1A8D65DF"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Menor crecimiento foliar frente al desarrollo radicular.</w:t>
      </w:r>
    </w:p>
    <w:p w14:paraId="3D89E91D"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lastRenderedPageBreak/>
        <w:t>Disminución de tamaño celular.</w:t>
      </w:r>
    </w:p>
    <w:p w14:paraId="6EC0D3DA"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Disminución de síntesis de proteínas.</w:t>
      </w:r>
    </w:p>
    <w:p w14:paraId="768C359F"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La floración queda muy restringida con notable reflejo en la fructificación.</w:t>
      </w:r>
    </w:p>
    <w:p w14:paraId="7BF21676"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Las enfermedades, heladas y granizadas producen mayores efectos.</w:t>
      </w:r>
    </w:p>
    <w:p w14:paraId="115496E5" w14:textId="77777777"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El crecimiento se hace lento e incluso puede paralizarse.</w:t>
      </w:r>
    </w:p>
    <w:p w14:paraId="752D8390" w14:textId="4A8CCC0C" w:rsidR="0077235D" w:rsidRPr="007E253F" w:rsidRDefault="0077235D" w:rsidP="00135DE8">
      <w:pPr>
        <w:numPr>
          <w:ilvl w:val="0"/>
          <w:numId w:val="6"/>
        </w:numPr>
        <w:autoSpaceDE w:val="0"/>
        <w:autoSpaceDN w:val="0"/>
        <w:adjustRightInd w:val="0"/>
        <w:spacing w:after="0" w:line="360" w:lineRule="auto"/>
        <w:rPr>
          <w:rFonts w:cs="Times New Roman"/>
          <w:szCs w:val="24"/>
        </w:rPr>
      </w:pPr>
      <w:r w:rsidRPr="007E253F">
        <w:rPr>
          <w:rFonts w:cs="Times New Roman"/>
          <w:szCs w:val="24"/>
        </w:rPr>
        <w:t>Se adelant</w:t>
      </w:r>
      <w:r w:rsidR="008D43CA" w:rsidRPr="007E253F">
        <w:rPr>
          <w:rFonts w:cs="Times New Roman"/>
          <w:szCs w:val="24"/>
        </w:rPr>
        <w:t xml:space="preserve">a la floración y la maduración </w:t>
      </w:r>
      <w:sdt>
        <w:sdtPr>
          <w:rPr>
            <w:rFonts w:cs="Times New Roman"/>
            <w:szCs w:val="24"/>
          </w:rPr>
          <w:id w:val="269739831"/>
          <w:citation/>
        </w:sdtPr>
        <w:sdtEndPr/>
        <w:sdtContent>
          <w:r w:rsidR="008D43CA" w:rsidRPr="007E253F">
            <w:rPr>
              <w:rFonts w:cs="Times New Roman"/>
              <w:szCs w:val="24"/>
            </w:rPr>
            <w:fldChar w:fldCharType="begin"/>
          </w:r>
          <w:r w:rsidR="00EC41C6" w:rsidRPr="007E253F">
            <w:rPr>
              <w:rFonts w:cs="Times New Roman"/>
              <w:szCs w:val="24"/>
            </w:rPr>
            <w:instrText xml:space="preserve">CITATION MiR17 \l 12298 </w:instrText>
          </w:r>
          <w:r w:rsidR="008D43CA" w:rsidRPr="007E253F">
            <w:rPr>
              <w:rFonts w:cs="Times New Roman"/>
              <w:szCs w:val="24"/>
            </w:rPr>
            <w:fldChar w:fldCharType="separate"/>
          </w:r>
          <w:r w:rsidR="005106B9" w:rsidRPr="005106B9">
            <w:rPr>
              <w:rFonts w:cs="Times New Roman"/>
              <w:noProof/>
              <w:szCs w:val="24"/>
            </w:rPr>
            <w:t>(Mi Riego, 2017)</w:t>
          </w:r>
          <w:r w:rsidR="008D43CA" w:rsidRPr="007E253F">
            <w:rPr>
              <w:rFonts w:cs="Times New Roman"/>
              <w:szCs w:val="24"/>
            </w:rPr>
            <w:fldChar w:fldCharType="end"/>
          </w:r>
        </w:sdtContent>
      </w:sdt>
    </w:p>
    <w:p w14:paraId="6E1D2A3D" w14:textId="246D758D" w:rsidR="0077235D" w:rsidRPr="007E253F" w:rsidRDefault="0077235D" w:rsidP="00135DE8">
      <w:pPr>
        <w:pStyle w:val="Prrafodelista"/>
        <w:numPr>
          <w:ilvl w:val="0"/>
          <w:numId w:val="6"/>
        </w:numPr>
        <w:autoSpaceDE w:val="0"/>
        <w:autoSpaceDN w:val="0"/>
        <w:adjustRightInd w:val="0"/>
        <w:spacing w:before="360" w:after="360" w:line="360" w:lineRule="auto"/>
        <w:ind w:left="714" w:hanging="357"/>
        <w:rPr>
          <w:rFonts w:cs="Times New Roman"/>
          <w:b/>
          <w:bCs/>
          <w:szCs w:val="24"/>
        </w:rPr>
      </w:pPr>
      <w:r w:rsidRPr="007E253F">
        <w:rPr>
          <w:rFonts w:cs="Times New Roman"/>
          <w:b/>
          <w:bCs/>
          <w:szCs w:val="24"/>
        </w:rPr>
        <w:t>El exceso de nitrógeno en la planta</w:t>
      </w:r>
    </w:p>
    <w:p w14:paraId="6FEA5AF9" w14:textId="6C7D5812"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 xml:space="preserve">El exceso de Nitrógeno también es muy perjudicial en el crecimiento exagerado, formando plantas débiles y tiernas y, por tanto, más propensas a las plagas y enfermedades, al viento, a la lluvia y al granizo, al frío, etc. Además, </w:t>
      </w:r>
      <w:r w:rsidR="00697442">
        <w:rPr>
          <w:rFonts w:cs="Times New Roman"/>
          <w:szCs w:val="24"/>
        </w:rPr>
        <w:t>c</w:t>
      </w:r>
      <w:r w:rsidRPr="007E253F">
        <w:rPr>
          <w:rFonts w:cs="Times New Roman"/>
          <w:szCs w:val="24"/>
        </w:rPr>
        <w:t>ambia las propiedades osmóticas de la planta. En lugar de ingresar agua a la planta, esta es expulsada hacia afuera y las hojas se contorsionan intentando conservar agua,</w:t>
      </w:r>
      <w:r w:rsidR="008D43CA" w:rsidRPr="007E253F">
        <w:rPr>
          <w:rFonts w:cs="Times New Roman"/>
          <w:szCs w:val="24"/>
        </w:rPr>
        <w:t xml:space="preserve"> al borde de la deshidratación </w:t>
      </w:r>
      <w:sdt>
        <w:sdtPr>
          <w:rPr>
            <w:rFonts w:cs="Times New Roman"/>
            <w:szCs w:val="24"/>
          </w:rPr>
          <w:id w:val="1835646577"/>
          <w:citation/>
        </w:sdtPr>
        <w:sdtEndPr/>
        <w:sdtContent>
          <w:r w:rsidR="008D43CA" w:rsidRPr="007E253F">
            <w:rPr>
              <w:rFonts w:cs="Times New Roman"/>
              <w:szCs w:val="24"/>
            </w:rPr>
            <w:fldChar w:fldCharType="begin"/>
          </w:r>
          <w:r w:rsidR="008D43CA" w:rsidRPr="007E253F">
            <w:rPr>
              <w:rFonts w:cs="Times New Roman"/>
              <w:szCs w:val="24"/>
            </w:rPr>
            <w:instrText xml:space="preserve"> CITATION Mon14 \l 12298 </w:instrText>
          </w:r>
          <w:r w:rsidR="008D43CA" w:rsidRPr="007E253F">
            <w:rPr>
              <w:rFonts w:cs="Times New Roman"/>
              <w:szCs w:val="24"/>
            </w:rPr>
            <w:fldChar w:fldCharType="separate"/>
          </w:r>
          <w:r w:rsidR="005106B9" w:rsidRPr="005106B9">
            <w:rPr>
              <w:rFonts w:cs="Times New Roman"/>
              <w:noProof/>
              <w:szCs w:val="24"/>
            </w:rPr>
            <w:t>(Montalvan, 2014)</w:t>
          </w:r>
          <w:r w:rsidR="008D43CA" w:rsidRPr="007E253F">
            <w:rPr>
              <w:rFonts w:cs="Times New Roman"/>
              <w:szCs w:val="24"/>
            </w:rPr>
            <w:fldChar w:fldCharType="end"/>
          </w:r>
        </w:sdtContent>
      </w:sdt>
    </w:p>
    <w:p w14:paraId="26A67626" w14:textId="4D62EDD8" w:rsidR="00E05BB6" w:rsidRPr="00E05BB6" w:rsidRDefault="0077235D" w:rsidP="00135DE8">
      <w:pPr>
        <w:pStyle w:val="Prrafodelista"/>
        <w:numPr>
          <w:ilvl w:val="3"/>
          <w:numId w:val="43"/>
        </w:numPr>
        <w:spacing w:before="360" w:after="360"/>
        <w:ind w:left="1077" w:hanging="1077"/>
        <w:contextualSpacing w:val="0"/>
        <w:rPr>
          <w:b/>
          <w:bCs/>
        </w:rPr>
      </w:pPr>
      <w:bookmarkStart w:id="569" w:name="_Toc29312364"/>
      <w:bookmarkStart w:id="570" w:name="_Toc29319403"/>
      <w:bookmarkStart w:id="571" w:name="_Toc35185828"/>
      <w:bookmarkStart w:id="572" w:name="_Toc35186321"/>
      <w:bookmarkStart w:id="573" w:name="_Toc72741089"/>
      <w:bookmarkStart w:id="574" w:name="_Toc72741887"/>
      <w:bookmarkStart w:id="575" w:name="_Toc72742685"/>
      <w:bookmarkStart w:id="576" w:name="_Toc72881437"/>
      <w:bookmarkStart w:id="577" w:name="_Toc72882519"/>
      <w:bookmarkStart w:id="578" w:name="_Toc75608864"/>
      <w:bookmarkStart w:id="579" w:name="_Toc75611790"/>
      <w:bookmarkStart w:id="580" w:name="_Toc75612636"/>
      <w:bookmarkStart w:id="581" w:name="_Toc75679791"/>
      <w:bookmarkStart w:id="582" w:name="_Toc75702399"/>
      <w:r w:rsidRPr="00E05BB6">
        <w:rPr>
          <w:b/>
          <w:bCs/>
        </w:rPr>
        <w:t>Formas de ser absorbido por la planta</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595A8E5B" w14:textId="77777777" w:rsidR="0077235D" w:rsidRPr="007149F1" w:rsidRDefault="0077235D" w:rsidP="00135DE8">
      <w:pPr>
        <w:pStyle w:val="Prrafodelista"/>
        <w:numPr>
          <w:ilvl w:val="0"/>
          <w:numId w:val="42"/>
        </w:numPr>
        <w:spacing w:before="360" w:after="360"/>
        <w:contextualSpacing w:val="0"/>
        <w:rPr>
          <w:b/>
          <w:bCs/>
        </w:rPr>
      </w:pPr>
      <w:r w:rsidRPr="007149F1">
        <w:rPr>
          <w:b/>
          <w:bCs/>
        </w:rPr>
        <w:t>Forma nítrica</w:t>
      </w:r>
    </w:p>
    <w:p w14:paraId="4F5B0E14" w14:textId="25F67F0B" w:rsidR="001B453E" w:rsidRDefault="0077235D" w:rsidP="000E2B3A">
      <w:pPr>
        <w:autoSpaceDE w:val="0"/>
        <w:autoSpaceDN w:val="0"/>
        <w:adjustRightInd w:val="0"/>
        <w:spacing w:after="0" w:line="360" w:lineRule="auto"/>
        <w:rPr>
          <w:rFonts w:cs="Times New Roman"/>
          <w:bCs/>
          <w:szCs w:val="24"/>
          <w:vertAlign w:val="subscript"/>
        </w:rPr>
      </w:pPr>
      <w:r w:rsidRPr="007E253F">
        <w:rPr>
          <w:rFonts w:cs="Times New Roman"/>
          <w:bCs/>
          <w:szCs w:val="24"/>
        </w:rPr>
        <w:t>Los NO</w:t>
      </w:r>
      <w:r w:rsidRPr="007E253F">
        <w:rPr>
          <w:rFonts w:cs="Times New Roman"/>
          <w:bCs/>
          <w:szCs w:val="24"/>
          <w:vertAlign w:val="subscript"/>
        </w:rPr>
        <w:t xml:space="preserve">3 </w:t>
      </w:r>
      <w:r w:rsidRPr="007E253F">
        <w:rPr>
          <w:rFonts w:cs="Times New Roman"/>
          <w:bCs/>
          <w:szCs w:val="24"/>
        </w:rPr>
        <w:t>se absorben de manera activa, es decir, con gasto de energía. Enzimas especiales catalizan el pasaje de los iones NO</w:t>
      </w:r>
      <w:r w:rsidRPr="007E253F">
        <w:rPr>
          <w:rFonts w:cs="Times New Roman"/>
          <w:bCs/>
          <w:szCs w:val="24"/>
          <w:vertAlign w:val="subscript"/>
        </w:rPr>
        <w:t>3</w:t>
      </w:r>
      <w:r w:rsidRPr="007E253F">
        <w:rPr>
          <w:rFonts w:cs="Times New Roman"/>
          <w:bCs/>
          <w:szCs w:val="24"/>
        </w:rPr>
        <w:t xml:space="preserve"> a través de las membranas celulares, sobre todo a nivel de los pelos radiculares. Como ya se indicó, los NO</w:t>
      </w:r>
      <w:r w:rsidRPr="007E253F">
        <w:rPr>
          <w:rFonts w:cs="Times New Roman"/>
          <w:bCs/>
          <w:szCs w:val="24"/>
          <w:vertAlign w:val="subscript"/>
        </w:rPr>
        <w:t xml:space="preserve">3 </w:t>
      </w:r>
      <w:r w:rsidRPr="007E253F">
        <w:rPr>
          <w:rFonts w:cs="Times New Roman"/>
          <w:bCs/>
          <w:szCs w:val="24"/>
        </w:rPr>
        <w:t>se absorben en menor proporción cuando las temperaturas son bajas. La absorción también está afectada por el molibdeno, ya que se forma una molibdoproteína en la superficie de células radiculares para el transporte de NO</w:t>
      </w:r>
      <w:r w:rsidRPr="007E253F">
        <w:rPr>
          <w:rFonts w:cs="Times New Roman"/>
          <w:bCs/>
          <w:szCs w:val="24"/>
          <w:vertAlign w:val="subscript"/>
        </w:rPr>
        <w:t xml:space="preserve">3 </w:t>
      </w:r>
      <w:sdt>
        <w:sdtPr>
          <w:rPr>
            <w:rFonts w:cs="Times New Roman"/>
            <w:bCs/>
            <w:szCs w:val="24"/>
            <w:vertAlign w:val="subscript"/>
          </w:rPr>
          <w:id w:val="-694229333"/>
          <w:citation/>
        </w:sdtPr>
        <w:sdtEndPr/>
        <w:sdtContent>
          <w:r w:rsidR="008D43CA" w:rsidRPr="007E253F">
            <w:rPr>
              <w:rFonts w:cs="Times New Roman"/>
              <w:bCs/>
              <w:szCs w:val="24"/>
              <w:vertAlign w:val="subscript"/>
            </w:rPr>
            <w:fldChar w:fldCharType="begin"/>
          </w:r>
          <w:r w:rsidR="008D43CA" w:rsidRPr="007E253F">
            <w:rPr>
              <w:rFonts w:cs="Times New Roman"/>
              <w:bCs/>
              <w:szCs w:val="24"/>
              <w:vertAlign w:val="subscript"/>
            </w:rPr>
            <w:instrText xml:space="preserve">CITATION Agr16 \l 12298 </w:instrText>
          </w:r>
          <w:r w:rsidR="008D43CA" w:rsidRPr="007E253F">
            <w:rPr>
              <w:rFonts w:cs="Times New Roman"/>
              <w:bCs/>
              <w:szCs w:val="24"/>
              <w:vertAlign w:val="subscript"/>
            </w:rPr>
            <w:fldChar w:fldCharType="separate"/>
          </w:r>
          <w:r w:rsidR="005106B9" w:rsidRPr="005106B9">
            <w:rPr>
              <w:rFonts w:cs="Times New Roman"/>
              <w:noProof/>
              <w:szCs w:val="24"/>
            </w:rPr>
            <w:t>(Agrikcultores, 2016)</w:t>
          </w:r>
          <w:r w:rsidR="008D43CA" w:rsidRPr="007E253F">
            <w:rPr>
              <w:rFonts w:cs="Times New Roman"/>
              <w:bCs/>
              <w:szCs w:val="24"/>
              <w:vertAlign w:val="subscript"/>
            </w:rPr>
            <w:fldChar w:fldCharType="end"/>
          </w:r>
        </w:sdtContent>
      </w:sdt>
    </w:p>
    <w:p w14:paraId="6E756DE8" w14:textId="77777777" w:rsidR="0077235D" w:rsidRPr="007149F1" w:rsidRDefault="0077235D" w:rsidP="00135DE8">
      <w:pPr>
        <w:pStyle w:val="Prrafodelista"/>
        <w:numPr>
          <w:ilvl w:val="0"/>
          <w:numId w:val="42"/>
        </w:numPr>
        <w:spacing w:before="360" w:after="360"/>
        <w:ind w:left="714" w:hanging="357"/>
        <w:rPr>
          <w:b/>
          <w:bCs/>
        </w:rPr>
      </w:pPr>
      <w:r w:rsidRPr="007149F1">
        <w:rPr>
          <w:b/>
          <w:bCs/>
        </w:rPr>
        <w:t>Forma amoniacal</w:t>
      </w:r>
    </w:p>
    <w:p w14:paraId="58BFF60D" w14:textId="26B6819A" w:rsidR="001B453E" w:rsidRDefault="0077235D" w:rsidP="000E2B3A">
      <w:pPr>
        <w:autoSpaceDE w:val="0"/>
        <w:autoSpaceDN w:val="0"/>
        <w:adjustRightInd w:val="0"/>
        <w:spacing w:after="0" w:line="360" w:lineRule="auto"/>
        <w:rPr>
          <w:rFonts w:cs="Times New Roman"/>
          <w:bCs/>
          <w:szCs w:val="24"/>
        </w:rPr>
      </w:pPr>
      <w:r w:rsidRPr="007E253F">
        <w:rPr>
          <w:rFonts w:cs="Times New Roman"/>
          <w:bCs/>
          <w:szCs w:val="24"/>
        </w:rPr>
        <w:t>La absorción del NH</w:t>
      </w:r>
      <w:r w:rsidRPr="007E253F">
        <w:rPr>
          <w:rFonts w:cs="Times New Roman"/>
          <w:bCs/>
          <w:szCs w:val="24"/>
          <w:vertAlign w:val="subscript"/>
        </w:rPr>
        <w:t>4</w:t>
      </w:r>
      <w:r w:rsidRPr="007E253F">
        <w:rPr>
          <w:rFonts w:cs="Times New Roman"/>
          <w:bCs/>
          <w:szCs w:val="24"/>
        </w:rPr>
        <w:t>+</w:t>
      </w:r>
      <w:r w:rsidRPr="007E253F">
        <w:rPr>
          <w:rFonts w:cs="Times New Roman"/>
          <w:bCs/>
          <w:szCs w:val="24"/>
          <w:vertAlign w:val="subscript"/>
        </w:rPr>
        <w:t xml:space="preserve"> </w:t>
      </w:r>
      <w:r w:rsidRPr="007E253F">
        <w:rPr>
          <w:rFonts w:cs="Times New Roman"/>
          <w:bCs/>
          <w:szCs w:val="24"/>
        </w:rPr>
        <w:t>se cumple a través de un proceso activo y otro pasivo. En experimentos donde se han utilizado inhibidores metabólicos, se ha demostrado que inhibe la liberación de energía respiratoria la absorción de NH</w:t>
      </w:r>
      <w:r w:rsidRPr="007E253F">
        <w:rPr>
          <w:rFonts w:cs="Times New Roman"/>
          <w:bCs/>
          <w:szCs w:val="24"/>
          <w:vertAlign w:val="subscript"/>
        </w:rPr>
        <w:t xml:space="preserve">4 </w:t>
      </w:r>
      <w:r w:rsidRPr="007E253F">
        <w:rPr>
          <w:rFonts w:cs="Times New Roman"/>
          <w:bCs/>
          <w:szCs w:val="24"/>
        </w:rPr>
        <w:t>se reduce a la mitad, pero esta no se inhibe completamente, como sucede con la absorción de NH</w:t>
      </w:r>
      <w:r w:rsidRPr="007E253F">
        <w:rPr>
          <w:rFonts w:cs="Times New Roman"/>
          <w:bCs/>
          <w:szCs w:val="24"/>
          <w:vertAlign w:val="subscript"/>
        </w:rPr>
        <w:t>3</w:t>
      </w:r>
      <w:r w:rsidRPr="007E253F">
        <w:rPr>
          <w:rFonts w:cs="Times New Roman"/>
          <w:bCs/>
          <w:szCs w:val="24"/>
        </w:rPr>
        <w:t>. El NH</w:t>
      </w:r>
      <w:r w:rsidRPr="007E253F">
        <w:rPr>
          <w:rFonts w:cs="Times New Roman"/>
          <w:bCs/>
          <w:szCs w:val="24"/>
          <w:vertAlign w:val="subscript"/>
        </w:rPr>
        <w:t>4</w:t>
      </w:r>
      <w:r w:rsidRPr="007E253F">
        <w:rPr>
          <w:rFonts w:cs="Times New Roman"/>
          <w:bCs/>
          <w:szCs w:val="24"/>
        </w:rPr>
        <w:t xml:space="preserve">+ incrementa su absorción a valores de pH cercanos a 8. Su absorción produce </w:t>
      </w:r>
      <w:r w:rsidRPr="007E253F">
        <w:rPr>
          <w:rFonts w:cs="Times New Roman"/>
          <w:bCs/>
          <w:szCs w:val="24"/>
        </w:rPr>
        <w:lastRenderedPageBreak/>
        <w:t>un incremento de la absorción de aniones inorgánicos (H</w:t>
      </w:r>
      <w:r w:rsidRPr="007E253F">
        <w:rPr>
          <w:rFonts w:cs="Times New Roman"/>
          <w:bCs/>
          <w:szCs w:val="24"/>
          <w:vertAlign w:val="subscript"/>
        </w:rPr>
        <w:t>2</w:t>
      </w:r>
      <w:r w:rsidRPr="007E253F">
        <w:rPr>
          <w:rFonts w:cs="Times New Roman"/>
          <w:bCs/>
          <w:szCs w:val="24"/>
        </w:rPr>
        <w:t>PO</w:t>
      </w:r>
      <w:r w:rsidRPr="007E253F">
        <w:rPr>
          <w:rFonts w:cs="Times New Roman"/>
          <w:bCs/>
          <w:szCs w:val="24"/>
          <w:vertAlign w:val="subscript"/>
        </w:rPr>
        <w:t>4</w:t>
      </w:r>
      <w:r w:rsidRPr="007E253F">
        <w:rPr>
          <w:rFonts w:cs="Times New Roman"/>
          <w:bCs/>
          <w:szCs w:val="24"/>
        </w:rPr>
        <w:t>-, SO</w:t>
      </w:r>
      <w:r w:rsidRPr="007E253F">
        <w:rPr>
          <w:rFonts w:cs="Times New Roman"/>
          <w:bCs/>
          <w:szCs w:val="24"/>
          <w:vertAlign w:val="subscript"/>
        </w:rPr>
        <w:t>42</w:t>
      </w:r>
      <w:r w:rsidRPr="007E253F">
        <w:rPr>
          <w:rFonts w:cs="Times New Roman"/>
          <w:bCs/>
          <w:szCs w:val="24"/>
        </w:rPr>
        <w:t>- Y Cl-) y el pH de la rizósfera puede decrecer debido a la liberación de H</w:t>
      </w:r>
      <w:r w:rsidRPr="007E253F">
        <w:rPr>
          <w:rFonts w:cs="Times New Roman"/>
          <w:bCs/>
          <w:szCs w:val="24"/>
          <w:vertAlign w:val="subscript"/>
        </w:rPr>
        <w:t xml:space="preserve">+ </w:t>
      </w:r>
      <w:r w:rsidRPr="007E253F">
        <w:rPr>
          <w:rFonts w:cs="Times New Roman"/>
          <w:bCs/>
          <w:szCs w:val="24"/>
        </w:rPr>
        <w:t>por la raíz para man</w:t>
      </w:r>
      <w:r w:rsidR="008D43CA" w:rsidRPr="007E253F">
        <w:rPr>
          <w:rFonts w:cs="Times New Roman"/>
          <w:bCs/>
          <w:szCs w:val="24"/>
        </w:rPr>
        <w:t xml:space="preserve">tener la neutralidad eléctrica </w:t>
      </w:r>
      <w:sdt>
        <w:sdtPr>
          <w:rPr>
            <w:rFonts w:cs="Times New Roman"/>
            <w:bCs/>
            <w:szCs w:val="24"/>
          </w:rPr>
          <w:id w:val="-1493627038"/>
          <w:citation/>
        </w:sdtPr>
        <w:sdtEndPr/>
        <w:sdtContent>
          <w:r w:rsidR="008D43CA" w:rsidRPr="007E253F">
            <w:rPr>
              <w:rFonts w:cs="Times New Roman"/>
              <w:bCs/>
              <w:szCs w:val="24"/>
            </w:rPr>
            <w:fldChar w:fldCharType="begin"/>
          </w:r>
          <w:r w:rsidR="008D43CA" w:rsidRPr="007E253F">
            <w:rPr>
              <w:rFonts w:cs="Times New Roman"/>
              <w:bCs/>
              <w:szCs w:val="24"/>
            </w:rPr>
            <w:instrText xml:space="preserve"> CITATION Agr16 \l 12298 </w:instrText>
          </w:r>
          <w:r w:rsidR="008D43CA" w:rsidRPr="007E253F">
            <w:rPr>
              <w:rFonts w:cs="Times New Roman"/>
              <w:bCs/>
              <w:szCs w:val="24"/>
            </w:rPr>
            <w:fldChar w:fldCharType="separate"/>
          </w:r>
          <w:r w:rsidR="005106B9" w:rsidRPr="005106B9">
            <w:rPr>
              <w:rFonts w:cs="Times New Roman"/>
              <w:noProof/>
              <w:szCs w:val="24"/>
            </w:rPr>
            <w:t>(Agrikcultores, 2016)</w:t>
          </w:r>
          <w:r w:rsidR="008D43CA" w:rsidRPr="007E253F">
            <w:rPr>
              <w:rFonts w:cs="Times New Roman"/>
              <w:bCs/>
              <w:szCs w:val="24"/>
            </w:rPr>
            <w:fldChar w:fldCharType="end"/>
          </w:r>
        </w:sdtContent>
      </w:sdt>
    </w:p>
    <w:p w14:paraId="4D13A989" w14:textId="77777777" w:rsidR="001B453E" w:rsidRPr="007E253F" w:rsidRDefault="001B453E" w:rsidP="000E2B3A">
      <w:pPr>
        <w:autoSpaceDE w:val="0"/>
        <w:autoSpaceDN w:val="0"/>
        <w:adjustRightInd w:val="0"/>
        <w:spacing w:after="0" w:line="360" w:lineRule="auto"/>
        <w:rPr>
          <w:rFonts w:cs="Times New Roman"/>
          <w:bCs/>
          <w:szCs w:val="24"/>
        </w:rPr>
      </w:pPr>
    </w:p>
    <w:p w14:paraId="494414A9" w14:textId="12A6DBA3" w:rsidR="0077235D" w:rsidRPr="007149F1" w:rsidRDefault="0077235D" w:rsidP="00135DE8">
      <w:pPr>
        <w:pStyle w:val="Prrafodelista"/>
        <w:numPr>
          <w:ilvl w:val="3"/>
          <w:numId w:val="43"/>
        </w:numPr>
        <w:spacing w:before="360" w:after="360"/>
        <w:ind w:left="1077" w:hanging="1077"/>
        <w:rPr>
          <w:b/>
          <w:bCs/>
        </w:rPr>
      </w:pPr>
      <w:bookmarkStart w:id="583" w:name="_Toc29312365"/>
      <w:bookmarkStart w:id="584" w:name="_Toc29319404"/>
      <w:bookmarkStart w:id="585" w:name="_Toc35185829"/>
      <w:bookmarkStart w:id="586" w:name="_Toc35186322"/>
      <w:bookmarkStart w:id="587" w:name="_Toc72741090"/>
      <w:bookmarkStart w:id="588" w:name="_Toc72741888"/>
      <w:bookmarkStart w:id="589" w:name="_Toc72742686"/>
      <w:bookmarkStart w:id="590" w:name="_Toc72881438"/>
      <w:bookmarkStart w:id="591" w:name="_Toc72882520"/>
      <w:bookmarkStart w:id="592" w:name="_Toc75608865"/>
      <w:bookmarkStart w:id="593" w:name="_Toc75611791"/>
      <w:bookmarkStart w:id="594" w:name="_Toc75612637"/>
      <w:bookmarkStart w:id="595" w:name="_Toc75679792"/>
      <w:bookmarkStart w:id="596" w:name="_Toc75702400"/>
      <w:r w:rsidRPr="007149F1">
        <w:rPr>
          <w:b/>
          <w:bCs/>
        </w:rPr>
        <w:t>Fertilizantes nitrogenados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53D97FC5" w14:textId="1565E1F1"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 xml:space="preserve">Un fertilizante es un tipo de sustancia o denominados nutrientes, en formas químicas saludables y asimilables por las raíces de las plantas, para mantener o incrementar el contenido de estos elementos en el suelo. Un fertilizante nitrogenado es simplemente un abono al que se le incorpora nitrógeno o compuestos de éste. Básicamente aportan nitrógeno, aunque en muchos casos contienen azufre, magnesio, calcio e incluso microelementos. También se pueden encontrar abonos con fósforo y potasio, pero se clasifican en otra categoría </w:t>
      </w:r>
      <w:sdt>
        <w:sdtPr>
          <w:rPr>
            <w:rFonts w:cs="Times New Roman"/>
            <w:szCs w:val="24"/>
          </w:rPr>
          <w:id w:val="1222092206"/>
          <w:citation/>
        </w:sdtPr>
        <w:sdtEndPr/>
        <w:sdtContent>
          <w:r w:rsidR="00EC41C6" w:rsidRPr="007E253F">
            <w:rPr>
              <w:rFonts w:cs="Times New Roman"/>
              <w:szCs w:val="24"/>
            </w:rPr>
            <w:fldChar w:fldCharType="begin"/>
          </w:r>
          <w:r w:rsidR="00B846A2" w:rsidRPr="007E253F">
            <w:rPr>
              <w:rFonts w:cs="Times New Roman"/>
              <w:szCs w:val="24"/>
            </w:rPr>
            <w:instrText xml:space="preserve">CITATION Apa14 \l 12298 </w:instrText>
          </w:r>
          <w:r w:rsidR="00EC41C6" w:rsidRPr="007E253F">
            <w:rPr>
              <w:rFonts w:cs="Times New Roman"/>
              <w:szCs w:val="24"/>
            </w:rPr>
            <w:fldChar w:fldCharType="separate"/>
          </w:r>
          <w:r w:rsidR="005106B9" w:rsidRPr="005106B9">
            <w:rPr>
              <w:rFonts w:cs="Times New Roman"/>
              <w:noProof/>
              <w:szCs w:val="24"/>
            </w:rPr>
            <w:t>(Aparici, 2014)</w:t>
          </w:r>
          <w:r w:rsidR="00EC41C6" w:rsidRPr="007E253F">
            <w:rPr>
              <w:rFonts w:cs="Times New Roman"/>
              <w:szCs w:val="24"/>
            </w:rPr>
            <w:fldChar w:fldCharType="end"/>
          </w:r>
        </w:sdtContent>
      </w:sdt>
    </w:p>
    <w:p w14:paraId="6D47FFC5" w14:textId="493F88CF" w:rsidR="0077235D" w:rsidRPr="007149F1" w:rsidRDefault="0077235D" w:rsidP="00135DE8">
      <w:pPr>
        <w:pStyle w:val="Prrafodelista"/>
        <w:numPr>
          <w:ilvl w:val="3"/>
          <w:numId w:val="43"/>
        </w:numPr>
        <w:spacing w:before="360" w:after="360"/>
        <w:ind w:left="1077" w:hanging="1077"/>
        <w:rPr>
          <w:b/>
          <w:bCs/>
        </w:rPr>
      </w:pPr>
      <w:r w:rsidRPr="007149F1">
        <w:rPr>
          <w:b/>
          <w:bCs/>
        </w:rPr>
        <w:t>Urea</w:t>
      </w:r>
    </w:p>
    <w:p w14:paraId="7E2C191B" w14:textId="2524E5B3" w:rsidR="0077235D" w:rsidRPr="007E253F" w:rsidRDefault="0077235D" w:rsidP="000E2B3A">
      <w:pPr>
        <w:autoSpaceDE w:val="0"/>
        <w:autoSpaceDN w:val="0"/>
        <w:adjustRightInd w:val="0"/>
        <w:spacing w:after="0" w:line="360" w:lineRule="auto"/>
        <w:rPr>
          <w:rFonts w:cs="Times New Roman"/>
          <w:bCs/>
          <w:szCs w:val="24"/>
        </w:rPr>
      </w:pPr>
      <w:r w:rsidRPr="007E253F">
        <w:rPr>
          <w:rFonts w:cs="Times New Roman"/>
          <w:bCs/>
          <w:szCs w:val="24"/>
        </w:rPr>
        <w:t>La urea es uno de los fertilizantes más concentrados en nitrógeno (46%) y normalmente el más económico en el mercador, se comercializa en modalidades perlada y granulada, la primera para uso en fertirrigación y la segunda, para aplicación directa al suelo. Es muy soluble y a menudo usada en formulaciones liquidas. Su alta solubilidad la hace popular para inyectarla en sistemas de riego localizado. Es clasificada como fuente amoniacal y, por lo tant</w:t>
      </w:r>
      <w:r w:rsidR="00B846A2" w:rsidRPr="007E253F">
        <w:rPr>
          <w:rFonts w:cs="Times New Roman"/>
          <w:bCs/>
          <w:szCs w:val="24"/>
        </w:rPr>
        <w:t>o, tiende a acidificar el suelo</w:t>
      </w:r>
      <w:sdt>
        <w:sdtPr>
          <w:rPr>
            <w:rFonts w:cs="Times New Roman"/>
            <w:bCs/>
            <w:szCs w:val="24"/>
          </w:rPr>
          <w:id w:val="-1928258026"/>
          <w:citation/>
        </w:sdtPr>
        <w:sdtEndPr/>
        <w:sdtContent>
          <w:r w:rsidR="00B846A2" w:rsidRPr="007E253F">
            <w:rPr>
              <w:rFonts w:cs="Times New Roman"/>
              <w:bCs/>
              <w:szCs w:val="24"/>
            </w:rPr>
            <w:fldChar w:fldCharType="begin"/>
          </w:r>
          <w:r w:rsidR="00B846A2" w:rsidRPr="007E253F">
            <w:rPr>
              <w:rFonts w:cs="Times New Roman"/>
              <w:bCs/>
              <w:szCs w:val="24"/>
            </w:rPr>
            <w:instrText xml:space="preserve">CITATION Sie10 \l 12298 </w:instrText>
          </w:r>
          <w:r w:rsidR="00B846A2" w:rsidRPr="007E253F">
            <w:rPr>
              <w:rFonts w:cs="Times New Roman"/>
              <w:bCs/>
              <w:szCs w:val="24"/>
            </w:rPr>
            <w:fldChar w:fldCharType="separate"/>
          </w:r>
          <w:r w:rsidR="005106B9">
            <w:rPr>
              <w:rFonts w:cs="Times New Roman"/>
              <w:bCs/>
              <w:noProof/>
              <w:szCs w:val="24"/>
            </w:rPr>
            <w:t xml:space="preserve"> </w:t>
          </w:r>
          <w:r w:rsidR="005106B9" w:rsidRPr="005106B9">
            <w:rPr>
              <w:rFonts w:cs="Times New Roman"/>
              <w:noProof/>
              <w:szCs w:val="24"/>
            </w:rPr>
            <w:t>(Sierra, 2010)</w:t>
          </w:r>
          <w:r w:rsidR="00B846A2" w:rsidRPr="007E253F">
            <w:rPr>
              <w:rFonts w:cs="Times New Roman"/>
              <w:bCs/>
              <w:szCs w:val="24"/>
            </w:rPr>
            <w:fldChar w:fldCharType="end"/>
          </w:r>
        </w:sdtContent>
      </w:sdt>
    </w:p>
    <w:p w14:paraId="76263662" w14:textId="4296AA1E" w:rsidR="007149F1" w:rsidRDefault="0077235D" w:rsidP="007149F1">
      <w:pPr>
        <w:autoSpaceDE w:val="0"/>
        <w:autoSpaceDN w:val="0"/>
        <w:adjustRightInd w:val="0"/>
        <w:spacing w:before="360" w:after="360" w:line="360" w:lineRule="auto"/>
        <w:rPr>
          <w:rFonts w:cs="Times New Roman"/>
          <w:szCs w:val="24"/>
        </w:rPr>
      </w:pPr>
      <w:r w:rsidRPr="007E253F">
        <w:rPr>
          <w:rFonts w:cs="Times New Roman"/>
          <w:szCs w:val="24"/>
        </w:rPr>
        <w:t>La urea es un compuesto químico cristalino e incoloro, también es conocida como carbamida y es el principal producto terminal del metabolismo de proteínas en los mamíferos, se forma a través de una serie de reacciones químicas conocidas como ciclo de la urea siendo ésta el principal producto de eliminación del amoniaco, sustancia tóxica para el organismo, siendo sus principales medios de excreción el sudor y la orina</w:t>
      </w:r>
      <w:sdt>
        <w:sdtPr>
          <w:rPr>
            <w:rFonts w:cs="Times New Roman"/>
            <w:szCs w:val="24"/>
          </w:rPr>
          <w:id w:val="581190184"/>
          <w:citation/>
        </w:sdtPr>
        <w:sdtEndPr/>
        <w:sdtContent>
          <w:r w:rsidR="00B846A2" w:rsidRPr="007E253F">
            <w:rPr>
              <w:rFonts w:cs="Times New Roman"/>
              <w:szCs w:val="24"/>
            </w:rPr>
            <w:fldChar w:fldCharType="begin"/>
          </w:r>
          <w:r w:rsidR="00B846A2" w:rsidRPr="007E253F">
            <w:rPr>
              <w:rFonts w:cs="Times New Roman"/>
              <w:szCs w:val="24"/>
            </w:rPr>
            <w:instrText xml:space="preserve">CITATION Tru08 \l 12298 </w:instrText>
          </w:r>
          <w:r w:rsidR="00B846A2" w:rsidRPr="007E253F">
            <w:rPr>
              <w:rFonts w:cs="Times New Roman"/>
              <w:szCs w:val="24"/>
            </w:rPr>
            <w:fldChar w:fldCharType="separate"/>
          </w:r>
          <w:r w:rsidR="005106B9">
            <w:rPr>
              <w:rFonts w:cs="Times New Roman"/>
              <w:noProof/>
              <w:szCs w:val="24"/>
            </w:rPr>
            <w:t xml:space="preserve"> </w:t>
          </w:r>
          <w:r w:rsidR="005106B9" w:rsidRPr="005106B9">
            <w:rPr>
              <w:rFonts w:cs="Times New Roman"/>
              <w:noProof/>
              <w:szCs w:val="24"/>
            </w:rPr>
            <w:t>(Trullas, 2008)</w:t>
          </w:r>
          <w:r w:rsidR="00B846A2" w:rsidRPr="007E253F">
            <w:rPr>
              <w:rFonts w:cs="Times New Roman"/>
              <w:szCs w:val="24"/>
            </w:rPr>
            <w:fldChar w:fldCharType="end"/>
          </w:r>
        </w:sdtContent>
      </w:sdt>
      <w:bookmarkStart w:id="597" w:name="_Toc29312366"/>
      <w:bookmarkStart w:id="598" w:name="_Toc29319405"/>
      <w:bookmarkStart w:id="599" w:name="_Toc35185830"/>
      <w:bookmarkStart w:id="600" w:name="_Toc35186323"/>
      <w:bookmarkStart w:id="601" w:name="_Toc72741091"/>
      <w:bookmarkStart w:id="602" w:name="_Toc72741889"/>
      <w:bookmarkStart w:id="603" w:name="_Toc72742687"/>
      <w:bookmarkStart w:id="604" w:name="_Toc72881439"/>
      <w:bookmarkStart w:id="605" w:name="_Toc72882521"/>
      <w:bookmarkStart w:id="606" w:name="_Toc75608866"/>
      <w:bookmarkStart w:id="607" w:name="_Toc75611792"/>
      <w:bookmarkStart w:id="608" w:name="_Toc75612638"/>
      <w:bookmarkStart w:id="609" w:name="_Toc75679793"/>
      <w:bookmarkStart w:id="610" w:name="_Toc75702401"/>
    </w:p>
    <w:p w14:paraId="29090B14" w14:textId="77777777" w:rsidR="002A67E9" w:rsidRDefault="002A67E9" w:rsidP="007149F1">
      <w:pPr>
        <w:autoSpaceDE w:val="0"/>
        <w:autoSpaceDN w:val="0"/>
        <w:adjustRightInd w:val="0"/>
        <w:spacing w:before="360" w:after="360" w:line="360" w:lineRule="auto"/>
        <w:rPr>
          <w:rFonts w:cs="Times New Roman"/>
          <w:szCs w:val="24"/>
        </w:rPr>
      </w:pPr>
    </w:p>
    <w:p w14:paraId="4E8528CC" w14:textId="201CC4D4" w:rsidR="0077235D" w:rsidRPr="007149F1" w:rsidRDefault="0077235D" w:rsidP="00135DE8">
      <w:pPr>
        <w:pStyle w:val="Prrafodelista"/>
        <w:numPr>
          <w:ilvl w:val="3"/>
          <w:numId w:val="43"/>
        </w:numPr>
        <w:autoSpaceDE w:val="0"/>
        <w:autoSpaceDN w:val="0"/>
        <w:adjustRightInd w:val="0"/>
        <w:spacing w:before="360" w:after="360" w:line="360" w:lineRule="auto"/>
        <w:ind w:left="1077" w:hanging="1077"/>
        <w:rPr>
          <w:rFonts w:cs="Times New Roman"/>
          <w:b/>
          <w:bCs/>
          <w:szCs w:val="24"/>
        </w:rPr>
      </w:pPr>
      <w:r w:rsidRPr="007149F1">
        <w:rPr>
          <w:b/>
          <w:bCs/>
        </w:rPr>
        <w:lastRenderedPageBreak/>
        <w:t>Acidez producida por los fertilizantes nitrogenados</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386C28C5" w14:textId="289F530C"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 xml:space="preserve">Los fertilizantes nitrogenados amoniacales pueden acidificar el suelo debido a que la conversión de amonio a nitrato por nitrificación libera hidrógenos. Este proceso también se cumple con el nitrógeno proveniente de estiércol de ganado y otros abonos orgánicos. Fertilizantes como el sulfato de amonio, urea y nitrato de amonio, cuando son aplicados al suelo, se disocian liberando amonio (NH4 +).  Esta forma de nitrógeno se convierte en nitrato </w:t>
      </w:r>
      <w:r w:rsidRPr="009A4D68">
        <w:rPr>
          <w:rFonts w:cs="Times New Roman"/>
          <w:szCs w:val="24"/>
        </w:rPr>
        <w:t>(NO3)</w:t>
      </w:r>
      <w:r w:rsidRPr="007E253F">
        <w:rPr>
          <w:rFonts w:cs="Times New Roman"/>
          <w:szCs w:val="24"/>
        </w:rPr>
        <w:t xml:space="preserve"> a través de la oxidación biológica o nitrificación produciendo un exceso de H+ que acidifica el suelo. La aplicación intensiva de fertilizantes también puede incrementar la lixiviación de Ca y Mg debido a que estos nutrientes sólo se mueven cuando van acompañados de un anión como el </w:t>
      </w:r>
      <w:r w:rsidRPr="009A4D68">
        <w:rPr>
          <w:rFonts w:cs="Times New Roman"/>
          <w:szCs w:val="24"/>
        </w:rPr>
        <w:t>NO3</w:t>
      </w:r>
      <w:r w:rsidR="009A4D68">
        <w:rPr>
          <w:rFonts w:cs="Times New Roman"/>
          <w:szCs w:val="24"/>
        </w:rPr>
        <w:t xml:space="preserve"> </w:t>
      </w:r>
      <w:r w:rsidRPr="009A4D68">
        <w:rPr>
          <w:rFonts w:cs="Times New Roman"/>
          <w:szCs w:val="24"/>
        </w:rPr>
        <w:t>o</w:t>
      </w:r>
      <w:r w:rsidRPr="007E253F">
        <w:rPr>
          <w:rFonts w:cs="Times New Roman"/>
          <w:szCs w:val="24"/>
        </w:rPr>
        <w:t xml:space="preserve"> SO4 </w:t>
      </w:r>
      <w:r w:rsidR="000C7F1A" w:rsidRPr="005106B9">
        <w:rPr>
          <w:rFonts w:cs="Times New Roman"/>
          <w:noProof/>
          <w:szCs w:val="24"/>
        </w:rPr>
        <w:t>(</w:t>
      </w:r>
      <w:r w:rsidR="000C7F1A">
        <w:rPr>
          <w:rFonts w:cs="Times New Roman"/>
          <w:noProof/>
          <w:szCs w:val="24"/>
        </w:rPr>
        <w:t>Centro de Investigaciones Agronómicas</w:t>
      </w:r>
      <w:r w:rsidR="000C7F1A" w:rsidRPr="005106B9">
        <w:rPr>
          <w:rFonts w:cs="Times New Roman"/>
          <w:noProof/>
          <w:szCs w:val="24"/>
        </w:rPr>
        <w:t>, 2014)</w:t>
      </w:r>
      <w:r w:rsidR="00697442">
        <w:rPr>
          <w:rFonts w:cs="Times New Roman"/>
          <w:szCs w:val="24"/>
        </w:rPr>
        <w:t xml:space="preserve"> </w:t>
      </w:r>
    </w:p>
    <w:p w14:paraId="4108BE39" w14:textId="737556EF" w:rsidR="0077235D" w:rsidRPr="007149F1" w:rsidRDefault="0077235D" w:rsidP="00135DE8">
      <w:pPr>
        <w:pStyle w:val="Prrafodelista"/>
        <w:numPr>
          <w:ilvl w:val="3"/>
          <w:numId w:val="43"/>
        </w:numPr>
        <w:spacing w:before="360" w:after="360"/>
        <w:ind w:left="1077" w:hanging="1077"/>
        <w:rPr>
          <w:b/>
          <w:bCs/>
        </w:rPr>
      </w:pPr>
      <w:bookmarkStart w:id="611" w:name="_Toc29312369"/>
      <w:bookmarkStart w:id="612" w:name="_Toc29319408"/>
      <w:bookmarkStart w:id="613" w:name="_Toc35185831"/>
      <w:bookmarkStart w:id="614" w:name="_Toc35186324"/>
      <w:bookmarkStart w:id="615" w:name="_Toc72741092"/>
      <w:bookmarkStart w:id="616" w:name="_Toc72741890"/>
      <w:bookmarkStart w:id="617" w:name="_Toc72742688"/>
      <w:bookmarkStart w:id="618" w:name="_Toc72881440"/>
      <w:bookmarkStart w:id="619" w:name="_Toc72882522"/>
      <w:bookmarkStart w:id="620" w:name="_Toc75608867"/>
      <w:bookmarkStart w:id="621" w:name="_Toc75611793"/>
      <w:bookmarkStart w:id="622" w:name="_Toc75612639"/>
      <w:bookmarkStart w:id="623" w:name="_Toc75679794"/>
      <w:bookmarkStart w:id="624" w:name="_Toc75702402"/>
      <w:r w:rsidRPr="007149F1">
        <w:rPr>
          <w:b/>
          <w:bCs/>
        </w:rPr>
        <w:t>Eficiencia de uso del nitrógeno en maíz</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0776617C" w14:textId="02E2190D" w:rsidR="0077235D" w:rsidRPr="007E253F" w:rsidRDefault="0077235D" w:rsidP="000E2B3A">
      <w:pPr>
        <w:autoSpaceDE w:val="0"/>
        <w:autoSpaceDN w:val="0"/>
        <w:adjustRightInd w:val="0"/>
        <w:spacing w:after="0" w:line="360" w:lineRule="auto"/>
        <w:rPr>
          <w:rFonts w:cs="Times New Roman"/>
          <w:szCs w:val="24"/>
        </w:rPr>
      </w:pPr>
      <w:r w:rsidRPr="007E253F">
        <w:rPr>
          <w:rFonts w:cs="Times New Roman"/>
          <w:szCs w:val="24"/>
        </w:rPr>
        <w:t>La eficiencia con la que los cultivos utilizan el fertilizante aplicado es de suma importancia económica, dado que está relacionada directamente con el beneficio de la fertilización. La eficiencia puede ser expresada como las unidades de producto generado aplicado, o como la proporción del nutriente adicionado que absorbe el cultivo. La eficiencia fisiológica con la que las plantas utilizan el N, depende de las características de la especie y la disponibilidad de N. Si bien es un valor que fluctúa en un amplio rango, para el maíz se puede asumir una media de 40 kg de grano por kg de N absorbido en toda la planta, mientras que para el trigo la eficiencia fisiológica media está alrededor de 30 kg de grano/kg de N. Los coeficientes de requerimientos de N que se utilizan en los modelos de balance son la inversa de esta eficiencia, lo que da para maíz unos 20 a 25 kg de N/t de grano y para trigo unos 30 a 35 kg N/t grano</w:t>
      </w:r>
      <w:sdt>
        <w:sdtPr>
          <w:rPr>
            <w:rFonts w:cs="Times New Roman"/>
            <w:szCs w:val="24"/>
          </w:rPr>
          <w:id w:val="-1810390427"/>
          <w:citation/>
        </w:sdtPr>
        <w:sdtEndPr/>
        <w:sdtContent>
          <w:r w:rsidR="00B846A2" w:rsidRPr="007E253F">
            <w:rPr>
              <w:rFonts w:cs="Times New Roman"/>
              <w:szCs w:val="24"/>
            </w:rPr>
            <w:fldChar w:fldCharType="begin"/>
          </w:r>
          <w:r w:rsidR="00B846A2" w:rsidRPr="007E253F">
            <w:rPr>
              <w:rFonts w:cs="Times New Roman"/>
              <w:szCs w:val="24"/>
            </w:rPr>
            <w:instrText xml:space="preserve"> CITATION Qui161 \l 12298 </w:instrText>
          </w:r>
          <w:r w:rsidR="00B846A2" w:rsidRPr="007E253F">
            <w:rPr>
              <w:rFonts w:cs="Times New Roman"/>
              <w:szCs w:val="24"/>
            </w:rPr>
            <w:fldChar w:fldCharType="separate"/>
          </w:r>
          <w:r w:rsidR="005106B9">
            <w:rPr>
              <w:rFonts w:cs="Times New Roman"/>
              <w:noProof/>
              <w:szCs w:val="24"/>
            </w:rPr>
            <w:t xml:space="preserve"> </w:t>
          </w:r>
          <w:r w:rsidR="005106B9" w:rsidRPr="005106B9">
            <w:rPr>
              <w:rFonts w:cs="Times New Roman"/>
              <w:noProof/>
              <w:szCs w:val="24"/>
            </w:rPr>
            <w:t>(Boschetti, 2016)</w:t>
          </w:r>
          <w:r w:rsidR="00B846A2" w:rsidRPr="007E253F">
            <w:rPr>
              <w:rFonts w:cs="Times New Roman"/>
              <w:szCs w:val="24"/>
            </w:rPr>
            <w:fldChar w:fldCharType="end"/>
          </w:r>
        </w:sdtContent>
      </w:sdt>
    </w:p>
    <w:p w14:paraId="43E648D0" w14:textId="77777777" w:rsidR="00F71C74" w:rsidRDefault="00F71C74" w:rsidP="000E2B3A">
      <w:pPr>
        <w:autoSpaceDE w:val="0"/>
        <w:autoSpaceDN w:val="0"/>
        <w:adjustRightInd w:val="0"/>
        <w:spacing w:after="0" w:line="360" w:lineRule="auto"/>
        <w:rPr>
          <w:rFonts w:cs="Times New Roman"/>
          <w:szCs w:val="24"/>
        </w:rPr>
      </w:pPr>
    </w:p>
    <w:p w14:paraId="63867E2E" w14:textId="05D79A77" w:rsidR="0077235D" w:rsidRPr="007E253F" w:rsidRDefault="0077235D" w:rsidP="000E2B3A">
      <w:pPr>
        <w:autoSpaceDE w:val="0"/>
        <w:autoSpaceDN w:val="0"/>
        <w:adjustRightInd w:val="0"/>
        <w:spacing w:after="0" w:line="360" w:lineRule="auto"/>
        <w:rPr>
          <w:rFonts w:cs="Times New Roman"/>
          <w:i/>
          <w:noProof/>
          <w:szCs w:val="24"/>
        </w:rPr>
      </w:pPr>
      <w:r w:rsidRPr="007E253F">
        <w:rPr>
          <w:rFonts w:cs="Times New Roman"/>
          <w:szCs w:val="24"/>
        </w:rPr>
        <w:t xml:space="preserve">La eficiencia agronómica expresa los kg de grano producidos por kg de N aplicado como fertilizante. Este valor depende de la eficiencia fisiológica del híbrido o cultivar, de la proporción del N disponible que es absorbido por el cultivo y de las pérdidas que ocurran durante el ciclo. Por lo tanto, la eficiencia agronómica varía entre un máximo igual a la eficiencia fisiológica y cero, a medida que la absorción </w:t>
      </w:r>
      <w:r w:rsidRPr="007E253F">
        <w:rPr>
          <w:rFonts w:cs="Times New Roman"/>
          <w:szCs w:val="24"/>
        </w:rPr>
        <w:lastRenderedPageBreak/>
        <w:t xml:space="preserve">de N se ve limitada por otro factor como la disponibilidad de agua o se incrementan las pérdidas </w:t>
      </w:r>
      <w:sdt>
        <w:sdtPr>
          <w:rPr>
            <w:rFonts w:cs="Times New Roman"/>
            <w:szCs w:val="24"/>
          </w:rPr>
          <w:id w:val="-611820150"/>
          <w:citation/>
        </w:sdtPr>
        <w:sdtEndPr/>
        <w:sdtContent>
          <w:r w:rsidR="00B846A2" w:rsidRPr="007E253F">
            <w:rPr>
              <w:rFonts w:cs="Times New Roman"/>
              <w:szCs w:val="24"/>
            </w:rPr>
            <w:fldChar w:fldCharType="begin"/>
          </w:r>
          <w:r w:rsidR="00B846A2" w:rsidRPr="007E253F">
            <w:rPr>
              <w:rFonts w:cs="Times New Roman"/>
              <w:szCs w:val="24"/>
            </w:rPr>
            <w:instrText xml:space="preserve"> CITATION Qui16 \l 12298 </w:instrText>
          </w:r>
          <w:r w:rsidR="00B846A2" w:rsidRPr="007E253F">
            <w:rPr>
              <w:rFonts w:cs="Times New Roman"/>
              <w:szCs w:val="24"/>
            </w:rPr>
            <w:fldChar w:fldCharType="separate"/>
          </w:r>
          <w:r w:rsidR="005106B9" w:rsidRPr="005106B9">
            <w:rPr>
              <w:rFonts w:cs="Times New Roman"/>
              <w:noProof/>
              <w:szCs w:val="24"/>
            </w:rPr>
            <w:t>(Quintero, 2016)</w:t>
          </w:r>
          <w:r w:rsidR="00B846A2" w:rsidRPr="007E253F">
            <w:rPr>
              <w:rFonts w:cs="Times New Roman"/>
              <w:szCs w:val="24"/>
            </w:rPr>
            <w:fldChar w:fldCharType="end"/>
          </w:r>
        </w:sdtContent>
      </w:sdt>
    </w:p>
    <w:p w14:paraId="41B472C0" w14:textId="7647A471" w:rsidR="007149F1" w:rsidRDefault="0077235D" w:rsidP="007149F1">
      <w:pPr>
        <w:autoSpaceDE w:val="0"/>
        <w:autoSpaceDN w:val="0"/>
        <w:adjustRightInd w:val="0"/>
        <w:spacing w:before="360" w:after="360" w:line="360" w:lineRule="auto"/>
        <w:rPr>
          <w:rFonts w:cs="Times New Roman"/>
          <w:szCs w:val="24"/>
        </w:rPr>
      </w:pPr>
      <w:r w:rsidRPr="007E253F">
        <w:rPr>
          <w:rFonts w:cs="Times New Roman"/>
          <w:szCs w:val="24"/>
        </w:rPr>
        <w:t>En la agricultura de conservación, se pueden notar los efectos de los fertilizantes nitrogenados en las siguientes temporadas de cultivo durante varios años. Este es especialmente el caso cuando se aplica el fertilizante en combinación con la retención de residuos debido a que esto puede incrementar la inmovilización temporal del fertilizante, el cual es liberado en los años siguientes. Los resultados de la investigación sobre el efecto de la rotación en sistemas de agricultura de conservación sobre la EUN no son uniformes, pero en la mayoría de los estudios se encontraron efectos negativos del monocultivo sobre el rendimiento y la EUN, y efectos positivos de las leguminosas incluidas en la rotación</w:t>
      </w:r>
      <w:sdt>
        <w:sdtPr>
          <w:rPr>
            <w:rFonts w:cs="Times New Roman"/>
            <w:szCs w:val="24"/>
          </w:rPr>
          <w:id w:val="-1128013434"/>
          <w:citation/>
        </w:sdtPr>
        <w:sdtEndPr/>
        <w:sdtContent>
          <w:r w:rsidR="00B846A2" w:rsidRPr="007E253F">
            <w:rPr>
              <w:rFonts w:cs="Times New Roman"/>
              <w:szCs w:val="24"/>
            </w:rPr>
            <w:fldChar w:fldCharType="begin"/>
          </w:r>
          <w:r w:rsidR="00B846A2" w:rsidRPr="007E253F">
            <w:rPr>
              <w:rFonts w:cs="Times New Roman"/>
              <w:szCs w:val="24"/>
            </w:rPr>
            <w:instrText xml:space="preserve">CITATION Ver15 \l 12298 </w:instrText>
          </w:r>
          <w:r w:rsidR="00B846A2" w:rsidRPr="007E253F">
            <w:rPr>
              <w:rFonts w:cs="Times New Roman"/>
              <w:szCs w:val="24"/>
            </w:rPr>
            <w:fldChar w:fldCharType="separate"/>
          </w:r>
          <w:r w:rsidR="005106B9">
            <w:rPr>
              <w:rFonts w:cs="Times New Roman"/>
              <w:noProof/>
              <w:szCs w:val="24"/>
            </w:rPr>
            <w:t xml:space="preserve"> </w:t>
          </w:r>
          <w:r w:rsidR="005106B9" w:rsidRPr="005106B9">
            <w:rPr>
              <w:rFonts w:cs="Times New Roman"/>
              <w:noProof/>
              <w:szCs w:val="24"/>
            </w:rPr>
            <w:t>(Verhulst, 2015)</w:t>
          </w:r>
          <w:r w:rsidR="00B846A2" w:rsidRPr="007E253F">
            <w:rPr>
              <w:rFonts w:cs="Times New Roman"/>
              <w:szCs w:val="24"/>
            </w:rPr>
            <w:fldChar w:fldCharType="end"/>
          </w:r>
        </w:sdtContent>
      </w:sdt>
    </w:p>
    <w:p w14:paraId="510CC7CD" w14:textId="678D593E" w:rsidR="0077235D" w:rsidRPr="007E253F" w:rsidRDefault="0077235D" w:rsidP="007149F1">
      <w:pPr>
        <w:autoSpaceDE w:val="0"/>
        <w:autoSpaceDN w:val="0"/>
        <w:adjustRightInd w:val="0"/>
        <w:spacing w:before="360" w:after="360" w:line="360" w:lineRule="auto"/>
        <w:rPr>
          <w:rFonts w:cs="Times New Roman"/>
          <w:szCs w:val="24"/>
        </w:rPr>
      </w:pPr>
      <w:r w:rsidRPr="007E253F">
        <w:rPr>
          <w:rFonts w:cs="Times New Roman"/>
          <w:szCs w:val="24"/>
        </w:rPr>
        <w:t xml:space="preserve">En el caso de la fertilización de cereales con nitrógeno, la eficiencia de utilización del N ha sido estimada en el orden del 33 % a nivel mundial. Esta estimación se realizó teniendo en cuenta la producción mundial de cereales, la concentración de N en los granos, el consumo de fertilizantes y suponiendo que el suelo y la atmósfera aportan 50 % del N total removido. En términos generales, se estima que entre el 50 y el 80 % de N aplicado es aprovechado por el cultivo, lo que implica que entre 20 y 50 % del N se puede perder del sistema, con un consecuente perjuicio económico y ambiental. Las pérdidas de N se producen por diferentes vías de distinta magnitud e importancia </w:t>
      </w:r>
      <w:sdt>
        <w:sdtPr>
          <w:rPr>
            <w:rFonts w:cs="Times New Roman"/>
            <w:szCs w:val="24"/>
          </w:rPr>
          <w:id w:val="1281231138"/>
          <w:citation/>
        </w:sdtPr>
        <w:sdtEndPr/>
        <w:sdtContent>
          <w:r w:rsidR="00E35C99" w:rsidRPr="007E253F">
            <w:rPr>
              <w:rFonts w:cs="Times New Roman"/>
              <w:szCs w:val="24"/>
            </w:rPr>
            <w:fldChar w:fldCharType="begin"/>
          </w:r>
          <w:r w:rsidR="00E35C99" w:rsidRPr="007E253F">
            <w:rPr>
              <w:rFonts w:cs="Times New Roman"/>
              <w:szCs w:val="24"/>
            </w:rPr>
            <w:instrText xml:space="preserve"> CITATION Qui16 \l 12298 </w:instrText>
          </w:r>
          <w:r w:rsidR="00E35C99" w:rsidRPr="007E253F">
            <w:rPr>
              <w:rFonts w:cs="Times New Roman"/>
              <w:szCs w:val="24"/>
            </w:rPr>
            <w:fldChar w:fldCharType="separate"/>
          </w:r>
          <w:r w:rsidR="005106B9" w:rsidRPr="005106B9">
            <w:rPr>
              <w:rFonts w:cs="Times New Roman"/>
              <w:noProof/>
              <w:szCs w:val="24"/>
            </w:rPr>
            <w:t>(Quintero, 2016)</w:t>
          </w:r>
          <w:r w:rsidR="00E35C99" w:rsidRPr="007E253F">
            <w:rPr>
              <w:rFonts w:cs="Times New Roman"/>
              <w:szCs w:val="24"/>
            </w:rPr>
            <w:fldChar w:fldCharType="end"/>
          </w:r>
        </w:sdtContent>
      </w:sdt>
    </w:p>
    <w:p w14:paraId="7B0DC8EE" w14:textId="56C8A0F5" w:rsidR="0077235D" w:rsidRPr="007E253F" w:rsidRDefault="0077235D" w:rsidP="007149F1">
      <w:pPr>
        <w:pStyle w:val="Ttulo2"/>
      </w:pPr>
      <w:bookmarkStart w:id="625" w:name="_Toc72741093"/>
      <w:bookmarkStart w:id="626" w:name="_Toc72741891"/>
      <w:bookmarkStart w:id="627" w:name="_Toc72742689"/>
      <w:bookmarkStart w:id="628" w:name="_Toc72881441"/>
      <w:bookmarkStart w:id="629" w:name="_Toc72882523"/>
      <w:bookmarkStart w:id="630" w:name="_Toc75608868"/>
      <w:bookmarkStart w:id="631" w:name="_Toc75611794"/>
      <w:bookmarkStart w:id="632" w:name="_Toc75612640"/>
      <w:bookmarkStart w:id="633" w:name="_Toc75679795"/>
      <w:bookmarkStart w:id="634" w:name="_Toc75702403"/>
      <w:bookmarkStart w:id="635" w:name="_Toc80312250"/>
      <w:r w:rsidRPr="007E253F">
        <w:t>Fósforo (P)</w:t>
      </w:r>
      <w:bookmarkEnd w:id="625"/>
      <w:bookmarkEnd w:id="626"/>
      <w:bookmarkEnd w:id="627"/>
      <w:bookmarkEnd w:id="628"/>
      <w:bookmarkEnd w:id="629"/>
      <w:bookmarkEnd w:id="630"/>
      <w:bookmarkEnd w:id="631"/>
      <w:bookmarkEnd w:id="632"/>
      <w:bookmarkEnd w:id="633"/>
      <w:bookmarkEnd w:id="634"/>
      <w:bookmarkEnd w:id="635"/>
      <w:r w:rsidRPr="007E253F">
        <w:t xml:space="preserve"> </w:t>
      </w:r>
    </w:p>
    <w:p w14:paraId="39224324" w14:textId="2A92F99B" w:rsidR="0077235D" w:rsidRPr="007E253F" w:rsidRDefault="0077235D" w:rsidP="007149F1">
      <w:pPr>
        <w:pStyle w:val="Ttulo3"/>
      </w:pPr>
      <w:bookmarkStart w:id="636" w:name="_Toc35185833"/>
      <w:bookmarkStart w:id="637" w:name="_Toc35186326"/>
      <w:bookmarkStart w:id="638" w:name="_Toc72741094"/>
      <w:bookmarkStart w:id="639" w:name="_Toc72741892"/>
      <w:bookmarkStart w:id="640" w:name="_Toc72742690"/>
      <w:bookmarkStart w:id="641" w:name="_Toc72881442"/>
      <w:bookmarkStart w:id="642" w:name="_Toc72882524"/>
      <w:bookmarkStart w:id="643" w:name="_Toc75608869"/>
      <w:bookmarkStart w:id="644" w:name="_Toc75611795"/>
      <w:bookmarkStart w:id="645" w:name="_Toc75612641"/>
      <w:bookmarkStart w:id="646" w:name="_Toc75679796"/>
      <w:bookmarkStart w:id="647" w:name="_Toc75702404"/>
      <w:bookmarkStart w:id="648" w:name="_Toc80312251"/>
      <w:r w:rsidRPr="007E253F">
        <w:t>Importancia del fósforo según sus funciones principales</w:t>
      </w:r>
      <w:bookmarkEnd w:id="636"/>
      <w:bookmarkEnd w:id="637"/>
      <w:bookmarkEnd w:id="638"/>
      <w:bookmarkEnd w:id="639"/>
      <w:bookmarkEnd w:id="640"/>
      <w:bookmarkEnd w:id="641"/>
      <w:bookmarkEnd w:id="642"/>
      <w:bookmarkEnd w:id="643"/>
      <w:bookmarkEnd w:id="644"/>
      <w:bookmarkEnd w:id="645"/>
      <w:bookmarkEnd w:id="646"/>
      <w:bookmarkEnd w:id="647"/>
      <w:bookmarkEnd w:id="648"/>
    </w:p>
    <w:p w14:paraId="727692B1" w14:textId="673EF5C4" w:rsidR="0077235D" w:rsidRPr="007E253F" w:rsidRDefault="0077235D" w:rsidP="000E2B3A">
      <w:pPr>
        <w:spacing w:after="0" w:line="360" w:lineRule="auto"/>
        <w:rPr>
          <w:rFonts w:cs="Times New Roman"/>
          <w:szCs w:val="24"/>
        </w:rPr>
      </w:pPr>
      <w:r w:rsidRPr="007E253F">
        <w:rPr>
          <w:rFonts w:cs="Times New Roman"/>
          <w:szCs w:val="24"/>
        </w:rPr>
        <w:t xml:space="preserve"> El Fósforo (P), juega un papel importante en la transferencia de energía. Por eso es esencial para la fotosíntesis y para otros procesos químico-fisiológicos. Es indispensable para la diferenciación de las células y para el desarrollo de los tejidos, que forman los puntos de crecimiento de la planta. Ha sido ampliamente mencionada su participación procesos fisiológicos importantes como la síntesis de </w:t>
      </w:r>
      <w:r w:rsidRPr="007E253F">
        <w:rPr>
          <w:rFonts w:cs="Times New Roman"/>
          <w:szCs w:val="24"/>
        </w:rPr>
        <w:lastRenderedPageBreak/>
        <w:t xml:space="preserve">ATP y transporte de energía por la planta, la formación de ácidos nucleicos (ADN, ARN) y el metabolismo de los hidratos de carbono </w:t>
      </w:r>
      <w:sdt>
        <w:sdtPr>
          <w:rPr>
            <w:rFonts w:cs="Times New Roman"/>
            <w:szCs w:val="24"/>
          </w:rPr>
          <w:id w:val="1750538713"/>
          <w:citation/>
        </w:sdtPr>
        <w:sdtEndPr/>
        <w:sdtContent>
          <w:r w:rsidR="00584717" w:rsidRPr="007E253F">
            <w:rPr>
              <w:rFonts w:cs="Times New Roman"/>
              <w:szCs w:val="24"/>
            </w:rPr>
            <w:fldChar w:fldCharType="begin"/>
          </w:r>
          <w:r w:rsidR="00584717" w:rsidRPr="007E253F">
            <w:rPr>
              <w:rFonts w:cs="Times New Roman"/>
              <w:szCs w:val="24"/>
              <w:lang w:val="es-MX"/>
            </w:rPr>
            <w:instrText xml:space="preserve">CITATION Fer13 \l 2058 </w:instrText>
          </w:r>
          <w:r w:rsidR="00584717" w:rsidRPr="007E253F">
            <w:rPr>
              <w:rFonts w:cs="Times New Roman"/>
              <w:szCs w:val="24"/>
            </w:rPr>
            <w:fldChar w:fldCharType="separate"/>
          </w:r>
          <w:r w:rsidR="005106B9" w:rsidRPr="005106B9">
            <w:rPr>
              <w:rFonts w:cs="Times New Roman"/>
              <w:noProof/>
              <w:szCs w:val="24"/>
              <w:lang w:val="es-MX"/>
            </w:rPr>
            <w:t>(Ferraris, 2013)</w:t>
          </w:r>
          <w:r w:rsidR="00584717" w:rsidRPr="007E253F">
            <w:rPr>
              <w:rFonts w:cs="Times New Roman"/>
              <w:szCs w:val="24"/>
            </w:rPr>
            <w:fldChar w:fldCharType="end"/>
          </w:r>
        </w:sdtContent>
      </w:sdt>
    </w:p>
    <w:p w14:paraId="2D1FF82A" w14:textId="1450B006" w:rsidR="0077235D" w:rsidRPr="007E253F" w:rsidRDefault="0077235D" w:rsidP="007149F1">
      <w:pPr>
        <w:pStyle w:val="Ttulo3"/>
        <w:spacing w:before="360" w:after="360"/>
      </w:pPr>
      <w:bookmarkStart w:id="649" w:name="_Toc35185834"/>
      <w:bookmarkStart w:id="650" w:name="_Toc35186327"/>
      <w:bookmarkStart w:id="651" w:name="_Toc72741095"/>
      <w:bookmarkStart w:id="652" w:name="_Toc72741893"/>
      <w:bookmarkStart w:id="653" w:name="_Toc72742691"/>
      <w:bookmarkStart w:id="654" w:name="_Toc72881443"/>
      <w:bookmarkStart w:id="655" w:name="_Toc72882525"/>
      <w:bookmarkStart w:id="656" w:name="_Toc75608870"/>
      <w:bookmarkStart w:id="657" w:name="_Toc75611796"/>
      <w:bookmarkStart w:id="658" w:name="_Toc75612642"/>
      <w:bookmarkStart w:id="659" w:name="_Toc75679797"/>
      <w:bookmarkStart w:id="660" w:name="_Toc75702405"/>
      <w:bookmarkStart w:id="661" w:name="_Toc80312252"/>
      <w:r w:rsidRPr="007E253F">
        <w:t>Funciones del fósforo en las plantas</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3E802858" w14:textId="099ADAB6" w:rsidR="0077235D" w:rsidRPr="007E253F" w:rsidRDefault="0077235D" w:rsidP="000E2B3A">
      <w:pPr>
        <w:spacing w:after="0" w:line="360" w:lineRule="auto"/>
        <w:rPr>
          <w:rFonts w:cs="Times New Roman"/>
          <w:szCs w:val="24"/>
        </w:rPr>
      </w:pPr>
      <w:r w:rsidRPr="007E253F">
        <w:rPr>
          <w:rFonts w:cs="Times New Roman"/>
          <w:szCs w:val="24"/>
        </w:rPr>
        <w:t xml:space="preserve">El fósforo es un componente de ciertas enzimas y proteínas, trifosfato de adenosina (ATP), ácidos ribonucleicos (RNA), ácidos desoxirribonucleicos (DNA), y fitina. El ATP está involucrado en varias reacciones de transferencia de energía, y el RNA y DNA son componentes de la información genética (Infoagro, 2012).  El fósforo desempeña un papel importante en la fotosíntesis, la respiración, el almacenamiento y transferencia de energía, la división y crecimiento celular y otros procesos que se llevan a cabo en la planta. Además, promueve la rápida formación y crecimiento de las raíces, mejora la calidad de la fruta, hortalizas y granos y está involucrado en la transferencia de características hereditarias de una generación a la siguiente </w:t>
      </w:r>
      <w:sdt>
        <w:sdtPr>
          <w:rPr>
            <w:rFonts w:cs="Times New Roman"/>
            <w:szCs w:val="24"/>
          </w:rPr>
          <w:id w:val="188042704"/>
          <w:citation/>
        </w:sdtPr>
        <w:sdtEndPr/>
        <w:sdtContent>
          <w:r w:rsidR="000D2446" w:rsidRPr="007E253F">
            <w:rPr>
              <w:rFonts w:cs="Times New Roman"/>
              <w:szCs w:val="24"/>
            </w:rPr>
            <w:fldChar w:fldCharType="begin"/>
          </w:r>
          <w:r w:rsidR="000D2446" w:rsidRPr="007E253F">
            <w:rPr>
              <w:rFonts w:cs="Times New Roman"/>
              <w:szCs w:val="24"/>
              <w:lang w:val="es-MX"/>
            </w:rPr>
            <w:instrText xml:space="preserve">CITATION Inf12 \l 2058 </w:instrText>
          </w:r>
          <w:r w:rsidR="000D2446" w:rsidRPr="007E253F">
            <w:rPr>
              <w:rFonts w:cs="Times New Roman"/>
              <w:szCs w:val="24"/>
            </w:rPr>
            <w:fldChar w:fldCharType="separate"/>
          </w:r>
          <w:r w:rsidR="005106B9" w:rsidRPr="005106B9">
            <w:rPr>
              <w:rFonts w:cs="Times New Roman"/>
              <w:noProof/>
              <w:szCs w:val="24"/>
              <w:lang w:val="es-MX"/>
            </w:rPr>
            <w:t>(Infoagro, 2012)</w:t>
          </w:r>
          <w:r w:rsidR="000D2446" w:rsidRPr="007E253F">
            <w:rPr>
              <w:rFonts w:cs="Times New Roman"/>
              <w:szCs w:val="24"/>
            </w:rPr>
            <w:fldChar w:fldCharType="end"/>
          </w:r>
        </w:sdtContent>
      </w:sdt>
    </w:p>
    <w:p w14:paraId="561666CA" w14:textId="1E5BB985" w:rsidR="0077235D" w:rsidRPr="007E253F" w:rsidRDefault="0077235D" w:rsidP="007149F1">
      <w:pPr>
        <w:pStyle w:val="Ttulo3"/>
        <w:spacing w:before="360" w:after="360"/>
      </w:pPr>
      <w:bookmarkStart w:id="662" w:name="_Toc35185835"/>
      <w:bookmarkStart w:id="663" w:name="_Toc35186328"/>
      <w:bookmarkStart w:id="664" w:name="_Toc72741096"/>
      <w:bookmarkStart w:id="665" w:name="_Toc72741894"/>
      <w:bookmarkStart w:id="666" w:name="_Toc72742692"/>
      <w:bookmarkStart w:id="667" w:name="_Toc72881444"/>
      <w:bookmarkStart w:id="668" w:name="_Toc72882526"/>
      <w:bookmarkStart w:id="669" w:name="_Toc75608871"/>
      <w:bookmarkStart w:id="670" w:name="_Toc75611797"/>
      <w:bookmarkStart w:id="671" w:name="_Toc75612643"/>
      <w:bookmarkStart w:id="672" w:name="_Toc75679798"/>
      <w:bookmarkStart w:id="673" w:name="_Toc75702406"/>
      <w:bookmarkStart w:id="674" w:name="_Toc80312253"/>
      <w:r w:rsidRPr="007E253F">
        <w:t>Ciclo del fósforo</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34722CEC" w14:textId="77777777" w:rsidR="0077235D" w:rsidRPr="007E253F" w:rsidRDefault="0077235D" w:rsidP="000E2B3A">
      <w:pPr>
        <w:spacing w:after="0" w:line="360" w:lineRule="auto"/>
        <w:rPr>
          <w:rFonts w:cs="Times New Roman"/>
          <w:szCs w:val="24"/>
        </w:rPr>
      </w:pPr>
      <w:bookmarkStart w:id="675" w:name="_Toc35185836"/>
      <w:bookmarkStart w:id="676" w:name="_Toc35186329"/>
      <w:r w:rsidRPr="007E253F">
        <w:rPr>
          <w:rFonts w:cs="Times New Roman"/>
          <w:szCs w:val="24"/>
        </w:rPr>
        <w:t>El fósforo se encuentra en la naturaleza en forma de compuestos de calcio (apatita), hierro, manganeso y aluminio conocidos como fosfatos, que son poco solubles en el agua. En los buenos suelos agrícolas el fósforo está disponible en forma de iones de fosfato (P</w:t>
      </w:r>
      <w:r w:rsidRPr="00697442">
        <w:rPr>
          <w:rFonts w:cs="Times New Roman"/>
          <w:szCs w:val="24"/>
          <w:vertAlign w:val="subscript"/>
        </w:rPr>
        <w:t>2</w:t>
      </w:r>
      <w:r w:rsidRPr="007E253F">
        <w:rPr>
          <w:rFonts w:cs="Times New Roman"/>
          <w:szCs w:val="24"/>
        </w:rPr>
        <w:t>O</w:t>
      </w:r>
      <w:r w:rsidRPr="00697442">
        <w:rPr>
          <w:rFonts w:cs="Times New Roman"/>
          <w:szCs w:val="24"/>
          <w:vertAlign w:val="subscript"/>
        </w:rPr>
        <w:t>5</w:t>
      </w:r>
      <w:r w:rsidRPr="007E253F">
        <w:rPr>
          <w:rFonts w:cs="Times New Roman"/>
          <w:szCs w:val="24"/>
        </w:rPr>
        <w:t>).</w:t>
      </w:r>
      <w:bookmarkEnd w:id="675"/>
      <w:bookmarkEnd w:id="676"/>
      <w:r w:rsidRPr="007E253F">
        <w:rPr>
          <w:rFonts w:cs="Times New Roman"/>
          <w:szCs w:val="24"/>
        </w:rPr>
        <w:t xml:space="preserve"> </w:t>
      </w:r>
    </w:p>
    <w:p w14:paraId="1B3235E6" w14:textId="71234EAC" w:rsidR="0077235D" w:rsidRPr="007E253F" w:rsidRDefault="0077235D" w:rsidP="007149F1">
      <w:pPr>
        <w:spacing w:before="360" w:after="360" w:line="360" w:lineRule="auto"/>
        <w:rPr>
          <w:rFonts w:cs="Times New Roman"/>
          <w:szCs w:val="24"/>
        </w:rPr>
      </w:pPr>
      <w:bookmarkStart w:id="677" w:name="_Toc35185837"/>
      <w:bookmarkStart w:id="678" w:name="_Toc35186330"/>
      <w:r w:rsidRPr="007E253F">
        <w:rPr>
          <w:rFonts w:cs="Times New Roman"/>
          <w:szCs w:val="24"/>
        </w:rPr>
        <w:t>Las plantas absorben los iones de fosfato y los integran a su estructura en diversos compuestos. Sin fósforo las plantas no logran desarrollarse adecuadamente.</w:t>
      </w:r>
      <w:bookmarkEnd w:id="677"/>
      <w:bookmarkEnd w:id="678"/>
      <w:r w:rsidRPr="007E253F">
        <w:rPr>
          <w:rFonts w:cs="Times New Roman"/>
          <w:szCs w:val="24"/>
        </w:rPr>
        <w:t xml:space="preserve"> </w:t>
      </w:r>
      <w:bookmarkStart w:id="679" w:name="_Toc35185838"/>
      <w:bookmarkStart w:id="680" w:name="_Toc35186331"/>
      <w:r w:rsidRPr="007E253F">
        <w:rPr>
          <w:rFonts w:cs="Times New Roman"/>
          <w:szCs w:val="24"/>
        </w:rPr>
        <w:t>Los animales herbívoros toman los compuestos de fósforo de las plantas y los absorben mediante el proceso de la digestión, y los integran a su organismo, donde juegan un rol decisivo en el metabolismo.</w:t>
      </w:r>
      <w:bookmarkEnd w:id="679"/>
      <w:bookmarkEnd w:id="680"/>
      <w:r w:rsidRPr="007E253F">
        <w:rPr>
          <w:rFonts w:cs="Times New Roman"/>
          <w:szCs w:val="24"/>
        </w:rPr>
        <w:t xml:space="preserve"> </w:t>
      </w:r>
      <w:bookmarkStart w:id="681" w:name="_Toc35185839"/>
      <w:bookmarkStart w:id="682" w:name="_Toc35186332"/>
      <w:r w:rsidRPr="007E253F">
        <w:rPr>
          <w:rFonts w:cs="Times New Roman"/>
          <w:szCs w:val="24"/>
        </w:rPr>
        <w:t>Los carnívoros toman el fósforo de la materia viva que consumen y lo integran a su estructura orgánica, para luego ser incorporado nuevamente al suelo</w:t>
      </w:r>
      <w:bookmarkEnd w:id="681"/>
      <w:bookmarkEnd w:id="682"/>
      <w:r w:rsidRPr="007E253F">
        <w:rPr>
          <w:rFonts w:cs="Times New Roman"/>
          <w:szCs w:val="24"/>
        </w:rPr>
        <w:t xml:space="preserve"> </w:t>
      </w:r>
      <w:sdt>
        <w:sdtPr>
          <w:rPr>
            <w:rFonts w:cs="Times New Roman"/>
            <w:szCs w:val="24"/>
          </w:rPr>
          <w:id w:val="-469431571"/>
          <w:citation/>
        </w:sdtPr>
        <w:sdtEndPr/>
        <w:sdtContent>
          <w:r w:rsidR="000D2446" w:rsidRPr="007E253F">
            <w:rPr>
              <w:rFonts w:cs="Times New Roman"/>
              <w:szCs w:val="24"/>
            </w:rPr>
            <w:fldChar w:fldCharType="begin"/>
          </w:r>
          <w:r w:rsidR="000D2446" w:rsidRPr="007E253F">
            <w:rPr>
              <w:rFonts w:cs="Times New Roman"/>
              <w:szCs w:val="24"/>
              <w:lang w:val="es-MX"/>
            </w:rPr>
            <w:instrText xml:space="preserve">CITATION Per10 \l 2058 </w:instrText>
          </w:r>
          <w:r w:rsidR="000D2446" w:rsidRPr="007E253F">
            <w:rPr>
              <w:rFonts w:cs="Times New Roman"/>
              <w:szCs w:val="24"/>
            </w:rPr>
            <w:fldChar w:fldCharType="separate"/>
          </w:r>
          <w:r w:rsidR="005106B9" w:rsidRPr="005106B9">
            <w:rPr>
              <w:rFonts w:cs="Times New Roman"/>
              <w:noProof/>
              <w:szCs w:val="24"/>
              <w:lang w:val="es-MX"/>
            </w:rPr>
            <w:t>(Peruecologico, 2010)</w:t>
          </w:r>
          <w:r w:rsidR="000D2446" w:rsidRPr="007E253F">
            <w:rPr>
              <w:rFonts w:cs="Times New Roman"/>
              <w:szCs w:val="24"/>
            </w:rPr>
            <w:fldChar w:fldCharType="end"/>
          </w:r>
        </w:sdtContent>
      </w:sdt>
    </w:p>
    <w:p w14:paraId="748664E6" w14:textId="2CE3B6E0" w:rsidR="0077235D" w:rsidRPr="00F71C74" w:rsidRDefault="0077235D" w:rsidP="007149F1">
      <w:pPr>
        <w:pStyle w:val="Ttulo3"/>
      </w:pPr>
      <w:bookmarkStart w:id="683" w:name="_Toc80312254"/>
      <w:r w:rsidRPr="00F71C74">
        <w:lastRenderedPageBreak/>
        <w:t>El Fósforo en el Suelo</w:t>
      </w:r>
      <w:bookmarkEnd w:id="683"/>
      <w:r w:rsidRPr="00F71C74">
        <w:t xml:space="preserve"> </w:t>
      </w:r>
    </w:p>
    <w:p w14:paraId="5565DA8E" w14:textId="082407E0" w:rsidR="00F71C74" w:rsidRDefault="0077235D" w:rsidP="000E2B3A">
      <w:pPr>
        <w:spacing w:after="0" w:line="360" w:lineRule="auto"/>
        <w:rPr>
          <w:rFonts w:cs="Times New Roman"/>
          <w:szCs w:val="24"/>
        </w:rPr>
      </w:pPr>
      <w:r w:rsidRPr="007E253F">
        <w:rPr>
          <w:rFonts w:cs="Times New Roman"/>
          <w:szCs w:val="24"/>
        </w:rPr>
        <w:t xml:space="preserve">Para la aplicación conveniente de fósforo al suelo agrícola y su utilización por las plantas, es importante el pH del suelo, pues determina la solubilidad y disponibilidad del fertilizante, en suelos muy ácidos (pH &lt; 6) el fósforo tiende a formar complejos con el hierro y aluminio del suelo, inhibiendo la disponibilidad; a su vez, en un ambiente alcalino (pH &gt; 8,2) se tiende a formar fosfato tricálcico insoluble. Por ello, los suelos ácidos deberían previamente ser enmendados con cal. En suelos alcalinos se debe usar fertilizantes fosfatados de alta solubilidad en agua </w:t>
      </w:r>
      <w:sdt>
        <w:sdtPr>
          <w:rPr>
            <w:rFonts w:cs="Times New Roman"/>
            <w:szCs w:val="24"/>
          </w:rPr>
          <w:id w:val="622666221"/>
          <w:citation/>
        </w:sdtPr>
        <w:sdtEndPr/>
        <w:sdtContent>
          <w:r w:rsidR="00E5062A" w:rsidRPr="007E253F">
            <w:rPr>
              <w:rFonts w:cs="Times New Roman"/>
              <w:szCs w:val="24"/>
            </w:rPr>
            <w:fldChar w:fldCharType="begin"/>
          </w:r>
          <w:r w:rsidR="00E5062A" w:rsidRPr="007E253F">
            <w:rPr>
              <w:rFonts w:cs="Times New Roman"/>
              <w:szCs w:val="24"/>
              <w:lang w:val="es-MX"/>
            </w:rPr>
            <w:instrText xml:space="preserve">CITATION Ins03 \l 2058 </w:instrText>
          </w:r>
          <w:r w:rsidR="00E5062A" w:rsidRPr="007E253F">
            <w:rPr>
              <w:rFonts w:cs="Times New Roman"/>
              <w:szCs w:val="24"/>
            </w:rPr>
            <w:fldChar w:fldCharType="separate"/>
          </w:r>
          <w:r w:rsidR="005106B9" w:rsidRPr="005106B9">
            <w:rPr>
              <w:rFonts w:cs="Times New Roman"/>
              <w:noProof/>
              <w:szCs w:val="24"/>
              <w:lang w:val="es-MX"/>
            </w:rPr>
            <w:t>(Instituto Valenciano de Exportación, 2003)</w:t>
          </w:r>
          <w:r w:rsidR="00E5062A" w:rsidRPr="007E253F">
            <w:rPr>
              <w:rFonts w:cs="Times New Roman"/>
              <w:szCs w:val="24"/>
            </w:rPr>
            <w:fldChar w:fldCharType="end"/>
          </w:r>
        </w:sdtContent>
      </w:sdt>
    </w:p>
    <w:p w14:paraId="586AA339" w14:textId="6B7DD51E" w:rsidR="0077235D" w:rsidRPr="007E253F" w:rsidRDefault="0077235D" w:rsidP="00E8119F">
      <w:pPr>
        <w:spacing w:before="360" w:after="360" w:line="360" w:lineRule="auto"/>
        <w:rPr>
          <w:rFonts w:cs="Times New Roman"/>
          <w:szCs w:val="24"/>
        </w:rPr>
      </w:pPr>
      <w:r w:rsidRPr="007E253F">
        <w:rPr>
          <w:rFonts w:cs="Times New Roman"/>
          <w:szCs w:val="24"/>
        </w:rPr>
        <w:t>Se acostumbra describir el P del suelo en términos de la siguiente relación:</w:t>
      </w:r>
    </w:p>
    <w:p w14:paraId="0E04A211" w14:textId="77777777" w:rsidR="0077235D" w:rsidRPr="007E253F" w:rsidRDefault="0077235D" w:rsidP="000E2B3A">
      <w:pPr>
        <w:spacing w:after="0" w:line="360" w:lineRule="auto"/>
        <w:rPr>
          <w:rFonts w:cs="Times New Roman"/>
          <w:szCs w:val="24"/>
        </w:rPr>
      </w:pPr>
      <w:r w:rsidRPr="007E253F">
        <w:rPr>
          <w:rFonts w:cs="Times New Roman"/>
          <w:noProof/>
          <w:szCs w:val="24"/>
          <w:lang w:eastAsia="es-EC"/>
        </w:rPr>
        <mc:AlternateContent>
          <mc:Choice Requires="wps">
            <w:drawing>
              <wp:anchor distT="0" distB="0" distL="114300" distR="114300" simplePos="0" relativeHeight="251661312" behindDoc="0" locked="0" layoutInCell="1" allowOverlap="1" wp14:anchorId="586DD04B" wp14:editId="07DCB939">
                <wp:simplePos x="0" y="0"/>
                <wp:positionH relativeFrom="column">
                  <wp:posOffset>3248643</wp:posOffset>
                </wp:positionH>
                <wp:positionV relativeFrom="paragraph">
                  <wp:posOffset>83185</wp:posOffset>
                </wp:positionV>
                <wp:extent cx="478173" cy="0"/>
                <wp:effectExtent l="38100" t="76200" r="17145" b="95250"/>
                <wp:wrapNone/>
                <wp:docPr id="25" name="Conector recto de flecha 25"/>
                <wp:cNvGraphicFramePr/>
                <a:graphic xmlns:a="http://schemas.openxmlformats.org/drawingml/2006/main">
                  <a:graphicData uri="http://schemas.microsoft.com/office/word/2010/wordprocessingShape">
                    <wps:wsp>
                      <wps:cNvCnPr/>
                      <wps:spPr>
                        <a:xfrm>
                          <a:off x="0" y="0"/>
                          <a:ext cx="47817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6C33AF6" id="_x0000_t32" coordsize="21600,21600" o:spt="32" o:oned="t" path="m,l21600,21600e" filled="f">
                <v:path arrowok="t" fillok="f" o:connecttype="none"/>
                <o:lock v:ext="edit" shapetype="t"/>
              </v:shapetype>
              <v:shape id="Conector recto de flecha 25" o:spid="_x0000_s1026" type="#_x0000_t32" style="position:absolute;margin-left:255.8pt;margin-top:6.55pt;width:37.6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" strokecolor="black [3040]">
                <v:stroke startarrow="block" endarrow="block"/>
              </v:shape>
            </w:pict>
          </mc:Fallback>
        </mc:AlternateContent>
      </w:r>
      <w:r w:rsidRPr="007E253F">
        <w:rPr>
          <w:rFonts w:cs="Times New Roman"/>
          <w:noProof/>
          <w:szCs w:val="24"/>
          <w:lang w:eastAsia="es-EC"/>
        </w:rPr>
        <mc:AlternateContent>
          <mc:Choice Requires="wps">
            <w:drawing>
              <wp:anchor distT="0" distB="0" distL="114300" distR="114300" simplePos="0" relativeHeight="251662336" behindDoc="0" locked="0" layoutInCell="1" allowOverlap="1" wp14:anchorId="39BA695E" wp14:editId="3F6914B0">
                <wp:simplePos x="0" y="0"/>
                <wp:positionH relativeFrom="column">
                  <wp:posOffset>1509168</wp:posOffset>
                </wp:positionH>
                <wp:positionV relativeFrom="paragraph">
                  <wp:posOffset>101664</wp:posOffset>
                </wp:positionV>
                <wp:extent cx="478173" cy="0"/>
                <wp:effectExtent l="38100" t="76200" r="17145" b="95250"/>
                <wp:wrapNone/>
                <wp:docPr id="26" name="Conector recto de flecha 26"/>
                <wp:cNvGraphicFramePr/>
                <a:graphic xmlns:a="http://schemas.openxmlformats.org/drawingml/2006/main">
                  <a:graphicData uri="http://schemas.microsoft.com/office/word/2010/wordprocessingShape">
                    <wps:wsp>
                      <wps:cNvCnPr/>
                      <wps:spPr>
                        <a:xfrm>
                          <a:off x="0" y="0"/>
                          <a:ext cx="47817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8C1F57" id="Conector recto de flecha 26" o:spid="_x0000_s1026" type="#_x0000_t32" style="position:absolute;margin-left:118.85pt;margin-top:8pt;width:37.6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" strokecolor="black [3040]">
                <v:stroke startarrow="block" endarrow="block"/>
              </v:shape>
            </w:pict>
          </mc:Fallback>
        </mc:AlternateContent>
      </w:r>
      <w:r w:rsidRPr="007E253F">
        <w:rPr>
          <w:rFonts w:cs="Times New Roman"/>
          <w:szCs w:val="24"/>
        </w:rPr>
        <w:t xml:space="preserve"> P de la solución suelo                     P lábil del suelo                  P no lábil </w:t>
      </w:r>
    </w:p>
    <w:p w14:paraId="62CA3047" w14:textId="7D9C9C6B" w:rsidR="0077235D" w:rsidRPr="007E253F" w:rsidRDefault="0077235D" w:rsidP="000E2B3A">
      <w:pPr>
        <w:spacing w:after="0" w:line="360" w:lineRule="auto"/>
        <w:rPr>
          <w:rFonts w:cs="Times New Roman"/>
          <w:szCs w:val="24"/>
        </w:rPr>
      </w:pPr>
      <w:r w:rsidRPr="007E253F">
        <w:rPr>
          <w:rFonts w:cs="Times New Roman"/>
          <w:szCs w:val="24"/>
        </w:rPr>
        <w:t xml:space="preserve">Donde el equilibrio se establece rápidamente entre el P lábil y el de la solución suelo, mientras que el equilibrio verdadero se establece rara vez entre las reservas lábiles y no lábiles del P del suelo. El componente solución suelo del P del suelo tiene varias características, las cuales no son únicas para el P sino también aplicables para otros nutrientes </w:t>
      </w:r>
      <w:sdt>
        <w:sdtPr>
          <w:rPr>
            <w:rFonts w:cs="Times New Roman"/>
            <w:szCs w:val="24"/>
          </w:rPr>
          <w:id w:val="1926453537"/>
          <w:citation/>
        </w:sdtPr>
        <w:sdtEndPr/>
        <w:sdtContent>
          <w:r w:rsidR="00E5062A" w:rsidRPr="007E253F">
            <w:rPr>
              <w:rFonts w:cs="Times New Roman"/>
              <w:szCs w:val="24"/>
            </w:rPr>
            <w:fldChar w:fldCharType="begin"/>
          </w:r>
          <w:r w:rsidR="00E5062A" w:rsidRPr="007E253F">
            <w:rPr>
              <w:rFonts w:cs="Times New Roman"/>
              <w:szCs w:val="24"/>
              <w:lang w:val="es-MX"/>
            </w:rPr>
            <w:instrText xml:space="preserve">CITATION Hav05 \l 2058 </w:instrText>
          </w:r>
          <w:r w:rsidR="00E5062A" w:rsidRPr="007E253F">
            <w:rPr>
              <w:rFonts w:cs="Times New Roman"/>
              <w:szCs w:val="24"/>
            </w:rPr>
            <w:fldChar w:fldCharType="separate"/>
          </w:r>
          <w:r w:rsidR="005106B9" w:rsidRPr="005106B9">
            <w:rPr>
              <w:rFonts w:cs="Times New Roman"/>
              <w:noProof/>
              <w:szCs w:val="24"/>
              <w:lang w:val="es-MX"/>
            </w:rPr>
            <w:t>(Havlin, 2005)</w:t>
          </w:r>
          <w:r w:rsidR="00E5062A" w:rsidRPr="007E253F">
            <w:rPr>
              <w:rFonts w:cs="Times New Roman"/>
              <w:szCs w:val="24"/>
            </w:rPr>
            <w:fldChar w:fldCharType="end"/>
          </w:r>
        </w:sdtContent>
      </w:sdt>
    </w:p>
    <w:p w14:paraId="191CE6FA" w14:textId="03B04D85" w:rsidR="0077235D" w:rsidRPr="007E253F" w:rsidRDefault="0077235D" w:rsidP="00E8119F">
      <w:pPr>
        <w:pStyle w:val="Ttulo3"/>
        <w:spacing w:before="360" w:after="360"/>
      </w:pPr>
      <w:bookmarkStart w:id="684" w:name="_Toc35185840"/>
      <w:bookmarkStart w:id="685" w:name="_Toc35186333"/>
      <w:bookmarkStart w:id="686" w:name="_Toc72741097"/>
      <w:bookmarkStart w:id="687" w:name="_Toc72741895"/>
      <w:bookmarkStart w:id="688" w:name="_Toc72742693"/>
      <w:bookmarkStart w:id="689" w:name="_Toc72881445"/>
      <w:bookmarkStart w:id="690" w:name="_Toc72882527"/>
      <w:bookmarkStart w:id="691" w:name="_Toc75608872"/>
      <w:bookmarkStart w:id="692" w:name="_Toc75611798"/>
      <w:bookmarkStart w:id="693" w:name="_Toc75612644"/>
      <w:bookmarkStart w:id="694" w:name="_Toc75679799"/>
      <w:bookmarkStart w:id="695" w:name="_Toc75702407"/>
      <w:bookmarkStart w:id="696" w:name="_Toc80312255"/>
      <w:r w:rsidRPr="007E253F">
        <w:t>Formas del fósforo en los suelos</w:t>
      </w:r>
      <w:bookmarkEnd w:id="684"/>
      <w:bookmarkEnd w:id="685"/>
      <w:bookmarkEnd w:id="686"/>
      <w:bookmarkEnd w:id="687"/>
      <w:bookmarkEnd w:id="688"/>
      <w:bookmarkEnd w:id="689"/>
      <w:bookmarkEnd w:id="690"/>
      <w:bookmarkEnd w:id="691"/>
      <w:bookmarkEnd w:id="692"/>
      <w:bookmarkEnd w:id="693"/>
      <w:bookmarkEnd w:id="694"/>
      <w:bookmarkEnd w:id="695"/>
      <w:bookmarkEnd w:id="696"/>
    </w:p>
    <w:p w14:paraId="04D5D11B" w14:textId="34F67C09" w:rsidR="0077235D" w:rsidRPr="007E253F" w:rsidRDefault="0077235D" w:rsidP="000E2B3A">
      <w:pPr>
        <w:spacing w:after="0" w:line="360" w:lineRule="auto"/>
        <w:rPr>
          <w:rFonts w:cs="Times New Roman"/>
          <w:szCs w:val="24"/>
        </w:rPr>
      </w:pPr>
      <w:r w:rsidRPr="007E253F">
        <w:rPr>
          <w:rFonts w:cs="Times New Roman"/>
          <w:szCs w:val="24"/>
        </w:rPr>
        <w:t xml:space="preserve">El fósforo en el suelo puede clasificarse en general como orgánico e inorgánico, dependiendo de la naturaleza de los compuestos en que se encuentra. La fracción orgánica se halla en el humus y otros materiales orgánicos, que pueden o no estar asociado con él. La fracción inorgánica se encuentra en numerosas combinaciones con hierro, aluminio, calcio, flúor y otros elementos </w:t>
      </w:r>
      <w:sdt>
        <w:sdtPr>
          <w:rPr>
            <w:rFonts w:cs="Times New Roman"/>
            <w:szCs w:val="24"/>
          </w:rPr>
          <w:id w:val="1860547224"/>
          <w:citation/>
        </w:sdtPr>
        <w:sdtEndPr/>
        <w:sdtContent>
          <w:r w:rsidR="00E5062A" w:rsidRPr="007E253F">
            <w:rPr>
              <w:rFonts w:cs="Times New Roman"/>
              <w:szCs w:val="24"/>
            </w:rPr>
            <w:fldChar w:fldCharType="begin"/>
          </w:r>
          <w:r w:rsidR="00E5062A" w:rsidRPr="007E253F">
            <w:rPr>
              <w:rFonts w:cs="Times New Roman"/>
              <w:szCs w:val="24"/>
              <w:lang w:val="es-MX"/>
            </w:rPr>
            <w:instrText xml:space="preserve">CITATION Bas10 \l 2058 </w:instrText>
          </w:r>
          <w:r w:rsidR="00E5062A" w:rsidRPr="007E253F">
            <w:rPr>
              <w:rFonts w:cs="Times New Roman"/>
              <w:szCs w:val="24"/>
            </w:rPr>
            <w:fldChar w:fldCharType="separate"/>
          </w:r>
          <w:r w:rsidR="005106B9" w:rsidRPr="005106B9">
            <w:rPr>
              <w:rFonts w:cs="Times New Roman"/>
              <w:noProof/>
              <w:szCs w:val="24"/>
              <w:lang w:val="es-MX"/>
            </w:rPr>
            <w:t>(Basantes, 2010)</w:t>
          </w:r>
          <w:r w:rsidR="00E5062A" w:rsidRPr="007E253F">
            <w:rPr>
              <w:rFonts w:cs="Times New Roman"/>
              <w:szCs w:val="24"/>
            </w:rPr>
            <w:fldChar w:fldCharType="end"/>
          </w:r>
        </w:sdtContent>
      </w:sdt>
    </w:p>
    <w:p w14:paraId="7FE3BEA6" w14:textId="3E31A3B0" w:rsidR="0077235D" w:rsidRPr="007E253F" w:rsidRDefault="0077235D" w:rsidP="00185396">
      <w:pPr>
        <w:pStyle w:val="Ttulo3"/>
        <w:spacing w:before="360" w:after="360"/>
      </w:pPr>
      <w:bookmarkStart w:id="697" w:name="_Toc72741098"/>
      <w:bookmarkStart w:id="698" w:name="_Toc72741896"/>
      <w:bookmarkStart w:id="699" w:name="_Toc72742694"/>
      <w:bookmarkStart w:id="700" w:name="_Toc72881446"/>
      <w:bookmarkStart w:id="701" w:name="_Toc72882528"/>
      <w:bookmarkStart w:id="702" w:name="_Toc75608873"/>
      <w:bookmarkStart w:id="703" w:name="_Toc75611799"/>
      <w:bookmarkStart w:id="704" w:name="_Toc75612645"/>
      <w:bookmarkStart w:id="705" w:name="_Toc75679800"/>
      <w:bookmarkStart w:id="706" w:name="_Toc75702408"/>
      <w:bookmarkStart w:id="707" w:name="_Toc80312256"/>
      <w:r w:rsidRPr="007E253F">
        <w:t>Época de aplicación del fósforo</w:t>
      </w:r>
      <w:bookmarkEnd w:id="697"/>
      <w:bookmarkEnd w:id="698"/>
      <w:bookmarkEnd w:id="699"/>
      <w:bookmarkEnd w:id="700"/>
      <w:bookmarkEnd w:id="701"/>
      <w:bookmarkEnd w:id="702"/>
      <w:bookmarkEnd w:id="703"/>
      <w:bookmarkEnd w:id="704"/>
      <w:bookmarkEnd w:id="705"/>
      <w:bookmarkEnd w:id="706"/>
      <w:bookmarkEnd w:id="707"/>
    </w:p>
    <w:p w14:paraId="5F15E4A2" w14:textId="7E26D7A8" w:rsidR="0077235D" w:rsidRPr="007E253F" w:rsidRDefault="0077235D" w:rsidP="000E2B3A">
      <w:pPr>
        <w:spacing w:after="0" w:line="360" w:lineRule="auto"/>
        <w:rPr>
          <w:rFonts w:cs="Times New Roman"/>
          <w:szCs w:val="24"/>
        </w:rPr>
      </w:pPr>
      <w:r w:rsidRPr="007E253F">
        <w:rPr>
          <w:rFonts w:cs="Times New Roman"/>
          <w:szCs w:val="24"/>
        </w:rPr>
        <w:t xml:space="preserve">Como el fósforo no se mueve a través del suelo, deberá aplicarse en posiciones en donde pueda ser alcanzado por las raíces de las plantas cuando lo necesiten, es decir aplicarse antes de la siembra </w:t>
      </w:r>
      <w:sdt>
        <w:sdtPr>
          <w:rPr>
            <w:rFonts w:cs="Times New Roman"/>
            <w:szCs w:val="24"/>
          </w:rPr>
          <w:id w:val="-944690813"/>
          <w:citation/>
        </w:sdtPr>
        <w:sdtEndPr/>
        <w:sdtContent>
          <w:r w:rsidR="000A5FEE" w:rsidRPr="007E253F">
            <w:rPr>
              <w:rFonts w:cs="Times New Roman"/>
              <w:szCs w:val="24"/>
            </w:rPr>
            <w:fldChar w:fldCharType="begin"/>
          </w:r>
          <w:r w:rsidR="000A5FEE" w:rsidRPr="007E253F">
            <w:rPr>
              <w:rFonts w:cs="Times New Roman"/>
              <w:szCs w:val="24"/>
              <w:lang w:val="es-MX"/>
            </w:rPr>
            <w:instrText xml:space="preserve"> CITATION Bas10 \l 2058 </w:instrText>
          </w:r>
          <w:r w:rsidR="000A5FEE" w:rsidRPr="007E253F">
            <w:rPr>
              <w:rFonts w:cs="Times New Roman"/>
              <w:szCs w:val="24"/>
            </w:rPr>
            <w:fldChar w:fldCharType="separate"/>
          </w:r>
          <w:r w:rsidR="005106B9" w:rsidRPr="005106B9">
            <w:rPr>
              <w:rFonts w:cs="Times New Roman"/>
              <w:noProof/>
              <w:szCs w:val="24"/>
              <w:lang w:val="es-MX"/>
            </w:rPr>
            <w:t>(Basantes, 2010)</w:t>
          </w:r>
          <w:r w:rsidR="000A5FEE" w:rsidRPr="007E253F">
            <w:rPr>
              <w:rFonts w:cs="Times New Roman"/>
              <w:szCs w:val="24"/>
            </w:rPr>
            <w:fldChar w:fldCharType="end"/>
          </w:r>
        </w:sdtContent>
      </w:sdt>
    </w:p>
    <w:p w14:paraId="238AF96F" w14:textId="0004CA33" w:rsidR="0077235D" w:rsidRPr="007E253F" w:rsidRDefault="0077235D" w:rsidP="00135DE8">
      <w:pPr>
        <w:pStyle w:val="Ttulo3"/>
        <w:numPr>
          <w:ilvl w:val="2"/>
          <w:numId w:val="44"/>
        </w:numPr>
        <w:spacing w:before="360" w:after="360"/>
      </w:pPr>
      <w:bookmarkStart w:id="708" w:name="_Toc72741099"/>
      <w:bookmarkStart w:id="709" w:name="_Toc72741897"/>
      <w:bookmarkStart w:id="710" w:name="_Toc72742695"/>
      <w:bookmarkStart w:id="711" w:name="_Toc72881447"/>
      <w:bookmarkStart w:id="712" w:name="_Toc72882529"/>
      <w:bookmarkStart w:id="713" w:name="_Toc75608874"/>
      <w:bookmarkStart w:id="714" w:name="_Toc75611800"/>
      <w:bookmarkStart w:id="715" w:name="_Toc75612646"/>
      <w:bookmarkStart w:id="716" w:name="_Toc75679801"/>
      <w:bookmarkStart w:id="717" w:name="_Toc75702409"/>
      <w:bookmarkStart w:id="718" w:name="_Toc80312257"/>
      <w:r w:rsidRPr="007E253F">
        <w:lastRenderedPageBreak/>
        <w:t>Movimientos del fósforo en el suelo</w:t>
      </w:r>
      <w:bookmarkEnd w:id="708"/>
      <w:bookmarkEnd w:id="709"/>
      <w:bookmarkEnd w:id="710"/>
      <w:bookmarkEnd w:id="711"/>
      <w:bookmarkEnd w:id="712"/>
      <w:bookmarkEnd w:id="713"/>
      <w:bookmarkEnd w:id="714"/>
      <w:bookmarkEnd w:id="715"/>
      <w:bookmarkEnd w:id="716"/>
      <w:bookmarkEnd w:id="717"/>
      <w:bookmarkEnd w:id="718"/>
    </w:p>
    <w:p w14:paraId="258FECE5" w14:textId="73068224" w:rsidR="0077235D" w:rsidRPr="007E253F" w:rsidRDefault="0077235D" w:rsidP="000E2B3A">
      <w:pPr>
        <w:spacing w:after="0" w:line="360" w:lineRule="auto"/>
        <w:rPr>
          <w:rFonts w:cs="Times New Roman"/>
          <w:szCs w:val="24"/>
        </w:rPr>
      </w:pPr>
      <w:r w:rsidRPr="007E253F">
        <w:rPr>
          <w:rFonts w:cs="Times New Roman"/>
          <w:szCs w:val="24"/>
        </w:rPr>
        <w:t xml:space="preserve">El fósforo se mueve muy poco en la mayoría de los suelos, generalmente se mantiene en el lugar donde ha sido colocado por la meteorización de los minerales o por la fertilización. Muy poco de este elemento se pierde por lixiviación, aun cuando se mueve más libremente en suelos arenosos que en arcillosos. La erosión y la remoción por el cultivo son las dos únicas formas significativas de pérdidas de fósforo del suelo </w:t>
      </w:r>
      <w:sdt>
        <w:sdtPr>
          <w:rPr>
            <w:rFonts w:cs="Times New Roman"/>
            <w:szCs w:val="24"/>
          </w:rPr>
          <w:id w:val="1830633959"/>
          <w:citation/>
        </w:sdtPr>
        <w:sdtEndPr/>
        <w:sdtContent>
          <w:r w:rsidR="000A5FEE" w:rsidRPr="007E253F">
            <w:rPr>
              <w:rFonts w:cs="Times New Roman"/>
              <w:szCs w:val="24"/>
            </w:rPr>
            <w:fldChar w:fldCharType="begin"/>
          </w:r>
          <w:r w:rsidR="000A5FEE" w:rsidRPr="007E253F">
            <w:rPr>
              <w:rFonts w:cs="Times New Roman"/>
              <w:szCs w:val="24"/>
              <w:lang w:val="es-MX"/>
            </w:rPr>
            <w:instrText xml:space="preserve"> CITATION Per10 \l 2058 </w:instrText>
          </w:r>
          <w:r w:rsidR="000A5FEE" w:rsidRPr="007E253F">
            <w:rPr>
              <w:rFonts w:cs="Times New Roman"/>
              <w:szCs w:val="24"/>
            </w:rPr>
            <w:fldChar w:fldCharType="separate"/>
          </w:r>
          <w:r w:rsidR="005106B9" w:rsidRPr="005106B9">
            <w:rPr>
              <w:rFonts w:cs="Times New Roman"/>
              <w:noProof/>
              <w:szCs w:val="24"/>
              <w:lang w:val="es-MX"/>
            </w:rPr>
            <w:t>(Peruecologico, 2010)</w:t>
          </w:r>
          <w:r w:rsidR="000A5FEE" w:rsidRPr="007E253F">
            <w:rPr>
              <w:rFonts w:cs="Times New Roman"/>
              <w:szCs w:val="24"/>
            </w:rPr>
            <w:fldChar w:fldCharType="end"/>
          </w:r>
        </w:sdtContent>
      </w:sdt>
    </w:p>
    <w:p w14:paraId="4B8D5515" w14:textId="3D315101" w:rsidR="0077235D" w:rsidRPr="007E253F" w:rsidRDefault="0077235D" w:rsidP="00135DE8">
      <w:pPr>
        <w:pStyle w:val="Ttulo3"/>
        <w:numPr>
          <w:ilvl w:val="2"/>
          <w:numId w:val="44"/>
        </w:numPr>
        <w:spacing w:before="360" w:after="360"/>
      </w:pPr>
      <w:bookmarkStart w:id="719" w:name="_Toc72741100"/>
      <w:bookmarkStart w:id="720" w:name="_Toc72741898"/>
      <w:bookmarkStart w:id="721" w:name="_Toc72742696"/>
      <w:bookmarkStart w:id="722" w:name="_Toc72881448"/>
      <w:bookmarkStart w:id="723" w:name="_Toc72882530"/>
      <w:bookmarkStart w:id="724" w:name="_Toc75608875"/>
      <w:bookmarkStart w:id="725" w:name="_Toc75611801"/>
      <w:bookmarkStart w:id="726" w:name="_Toc75612647"/>
      <w:bookmarkStart w:id="727" w:name="_Toc75679802"/>
      <w:bookmarkStart w:id="728" w:name="_Toc75702410"/>
      <w:bookmarkStart w:id="729" w:name="_Toc80312258"/>
      <w:r w:rsidRPr="007E253F">
        <w:t>Método de aplicación de fertilizantes fosfatados</w:t>
      </w:r>
      <w:bookmarkEnd w:id="719"/>
      <w:bookmarkEnd w:id="720"/>
      <w:bookmarkEnd w:id="721"/>
      <w:bookmarkEnd w:id="722"/>
      <w:bookmarkEnd w:id="723"/>
      <w:bookmarkEnd w:id="724"/>
      <w:bookmarkEnd w:id="725"/>
      <w:bookmarkEnd w:id="726"/>
      <w:bookmarkEnd w:id="727"/>
      <w:bookmarkEnd w:id="728"/>
      <w:bookmarkEnd w:id="729"/>
    </w:p>
    <w:p w14:paraId="0805E5DE" w14:textId="29E68104" w:rsidR="0077235D" w:rsidRPr="007E253F" w:rsidRDefault="0077235D" w:rsidP="000E2B3A">
      <w:pPr>
        <w:spacing w:after="0" w:line="360" w:lineRule="auto"/>
        <w:rPr>
          <w:rFonts w:cs="Times New Roman"/>
          <w:szCs w:val="24"/>
        </w:rPr>
      </w:pPr>
      <w:r w:rsidRPr="007E253F">
        <w:rPr>
          <w:rFonts w:cs="Times New Roman"/>
          <w:szCs w:val="24"/>
        </w:rPr>
        <w:t xml:space="preserve">El contenido de fósforo en la zona radicular debe ser lo suficientemente alto para asegurar su disponibilidad durante todas las etapas de crecimiento. La fijación es un factor importante a considerar cuando se debe decidir la forma de aplicación de fósforo. Existe un mayor contacto entre el suelo y el fertilizante cuando se aplica al voleo y se le incorpora con el arado o con la rastra que cuando se le aplica en banda </w:t>
      </w:r>
      <w:sdt>
        <w:sdtPr>
          <w:rPr>
            <w:rFonts w:cs="Times New Roman"/>
            <w:szCs w:val="24"/>
          </w:rPr>
          <w:id w:val="260959917"/>
          <w:citation/>
        </w:sdtPr>
        <w:sdtEndPr/>
        <w:sdtContent>
          <w:r w:rsidR="000A5FEE" w:rsidRPr="007E253F">
            <w:rPr>
              <w:rFonts w:cs="Times New Roman"/>
              <w:szCs w:val="24"/>
            </w:rPr>
            <w:fldChar w:fldCharType="begin"/>
          </w:r>
          <w:r w:rsidR="000A5FEE" w:rsidRPr="007E253F">
            <w:rPr>
              <w:rFonts w:cs="Times New Roman"/>
              <w:szCs w:val="24"/>
              <w:lang w:val="es-MX"/>
            </w:rPr>
            <w:instrText xml:space="preserve"> CITATION Bas10 \l 2058 </w:instrText>
          </w:r>
          <w:r w:rsidR="000A5FEE" w:rsidRPr="007E253F">
            <w:rPr>
              <w:rFonts w:cs="Times New Roman"/>
              <w:szCs w:val="24"/>
            </w:rPr>
            <w:fldChar w:fldCharType="separate"/>
          </w:r>
          <w:r w:rsidR="005106B9" w:rsidRPr="005106B9">
            <w:rPr>
              <w:rFonts w:cs="Times New Roman"/>
              <w:noProof/>
              <w:szCs w:val="24"/>
              <w:lang w:val="es-MX"/>
            </w:rPr>
            <w:t>(Basantes, 2010)</w:t>
          </w:r>
          <w:r w:rsidR="000A5FEE" w:rsidRPr="007E253F">
            <w:rPr>
              <w:rFonts w:cs="Times New Roman"/>
              <w:szCs w:val="24"/>
            </w:rPr>
            <w:fldChar w:fldCharType="end"/>
          </w:r>
        </w:sdtContent>
      </w:sdt>
      <w:r w:rsidR="000A5FEE" w:rsidRPr="007E253F">
        <w:rPr>
          <w:rFonts w:cs="Times New Roman"/>
          <w:szCs w:val="24"/>
        </w:rPr>
        <w:t>.</w:t>
      </w:r>
    </w:p>
    <w:p w14:paraId="4E802B38" w14:textId="6DB7FCC3" w:rsidR="0077235D" w:rsidRPr="007E253F" w:rsidRDefault="0077235D" w:rsidP="00135DE8">
      <w:pPr>
        <w:pStyle w:val="Ttulo3"/>
        <w:numPr>
          <w:ilvl w:val="2"/>
          <w:numId w:val="44"/>
        </w:numPr>
        <w:spacing w:before="360" w:after="360"/>
      </w:pPr>
      <w:bookmarkStart w:id="730" w:name="_Toc72741101"/>
      <w:bookmarkStart w:id="731" w:name="_Toc72741899"/>
      <w:bookmarkStart w:id="732" w:name="_Toc72742697"/>
      <w:bookmarkStart w:id="733" w:name="_Toc72881449"/>
      <w:bookmarkStart w:id="734" w:name="_Toc72882531"/>
      <w:bookmarkStart w:id="735" w:name="_Toc75608876"/>
      <w:bookmarkStart w:id="736" w:name="_Toc75611802"/>
      <w:bookmarkStart w:id="737" w:name="_Toc75612648"/>
      <w:bookmarkStart w:id="738" w:name="_Toc75679803"/>
      <w:bookmarkStart w:id="739" w:name="_Toc75702411"/>
      <w:bookmarkStart w:id="740" w:name="_Toc80312259"/>
      <w:r w:rsidRPr="007E253F">
        <w:t>Factores que afectan la disponibilidad del fósforo</w:t>
      </w:r>
      <w:bookmarkEnd w:id="730"/>
      <w:bookmarkEnd w:id="731"/>
      <w:bookmarkEnd w:id="732"/>
      <w:bookmarkEnd w:id="733"/>
      <w:bookmarkEnd w:id="734"/>
      <w:bookmarkEnd w:id="735"/>
      <w:bookmarkEnd w:id="736"/>
      <w:bookmarkEnd w:id="737"/>
      <w:bookmarkEnd w:id="738"/>
      <w:bookmarkEnd w:id="739"/>
      <w:bookmarkEnd w:id="740"/>
      <w:r w:rsidRPr="007E253F">
        <w:t xml:space="preserve"> </w:t>
      </w:r>
    </w:p>
    <w:p w14:paraId="7B5280C1" w14:textId="374D31C0" w:rsidR="001B453E" w:rsidRDefault="0077235D" w:rsidP="00E8119F">
      <w:pPr>
        <w:spacing w:before="360" w:after="0" w:line="360" w:lineRule="auto"/>
        <w:rPr>
          <w:rFonts w:cs="Times New Roman"/>
          <w:szCs w:val="24"/>
        </w:rPr>
      </w:pPr>
      <w:r w:rsidRPr="007E253F">
        <w:rPr>
          <w:rFonts w:cs="Times New Roman"/>
          <w:szCs w:val="24"/>
        </w:rPr>
        <w:t xml:space="preserve">La disponibilidad de fósforo presenta una doble restricción: el bajo nivel de fósforo total en los suelos y las bajas cantidades de las formas disponibles. Además, cuando se aplican al suelo fosfatos solubles, estos son rápidamente fijados hacia formas insolubles que en un tiempo van a ser no disponibles para las plantas. En suelos ácidos, el fósforo es primeramente fijado por el hierro, aluminio y manganeso, y en suelos alcalinos por el calcio y el magnesio, esta fijación reduce gradualmente la eficiencia de los fertilizantes fosfatados, de tal modo que solamente una pequeña cantidad del fósforo añadido puede ser tomado por las plantas. Con el tiempo; sin embargo, este fósforo fijado puede formar parte de la reserva y ser absorbido por las plantas </w:t>
      </w:r>
      <w:sdt>
        <w:sdtPr>
          <w:rPr>
            <w:rFonts w:cs="Times New Roman"/>
            <w:szCs w:val="24"/>
          </w:rPr>
          <w:id w:val="227814177"/>
          <w:citation/>
        </w:sdtPr>
        <w:sdtEndPr/>
        <w:sdtContent>
          <w:r w:rsidR="000A5FEE" w:rsidRPr="007E253F">
            <w:rPr>
              <w:rFonts w:cs="Times New Roman"/>
              <w:szCs w:val="24"/>
            </w:rPr>
            <w:fldChar w:fldCharType="begin"/>
          </w:r>
          <w:r w:rsidR="000A5FEE" w:rsidRPr="007E253F">
            <w:rPr>
              <w:rFonts w:cs="Times New Roman"/>
              <w:szCs w:val="24"/>
              <w:lang w:val="es-MX"/>
            </w:rPr>
            <w:instrText xml:space="preserve"> CITATION Bas10 \l 2058 </w:instrText>
          </w:r>
          <w:r w:rsidR="000A5FEE" w:rsidRPr="007E253F">
            <w:rPr>
              <w:rFonts w:cs="Times New Roman"/>
              <w:szCs w:val="24"/>
            </w:rPr>
            <w:fldChar w:fldCharType="separate"/>
          </w:r>
          <w:r w:rsidR="005106B9" w:rsidRPr="005106B9">
            <w:rPr>
              <w:rFonts w:cs="Times New Roman"/>
              <w:noProof/>
              <w:szCs w:val="24"/>
              <w:lang w:val="es-MX"/>
            </w:rPr>
            <w:t>(Basantes, 2010)</w:t>
          </w:r>
          <w:r w:rsidR="000A5FEE" w:rsidRPr="007E253F">
            <w:rPr>
              <w:rFonts w:cs="Times New Roman"/>
              <w:szCs w:val="24"/>
            </w:rPr>
            <w:fldChar w:fldCharType="end"/>
          </w:r>
        </w:sdtContent>
      </w:sdt>
      <w:r w:rsidRPr="007E253F">
        <w:rPr>
          <w:rFonts w:cs="Times New Roman"/>
          <w:szCs w:val="24"/>
        </w:rPr>
        <w:t xml:space="preserve">.  </w:t>
      </w:r>
    </w:p>
    <w:p w14:paraId="72AD6B3B" w14:textId="0498F743" w:rsidR="0077235D" w:rsidRPr="007E253F" w:rsidRDefault="0077235D" w:rsidP="00E8119F">
      <w:pPr>
        <w:spacing w:before="360" w:after="0" w:line="360" w:lineRule="auto"/>
        <w:rPr>
          <w:rFonts w:cs="Times New Roman"/>
          <w:szCs w:val="24"/>
        </w:rPr>
      </w:pPr>
      <w:r w:rsidRPr="007E253F">
        <w:rPr>
          <w:rFonts w:cs="Times New Roman"/>
          <w:szCs w:val="24"/>
        </w:rPr>
        <w:t xml:space="preserve">La disponibilidad del fósforo varía de acuerdo a los siguientes factores: </w:t>
      </w:r>
    </w:p>
    <w:p w14:paraId="01F7B55E" w14:textId="2BE2FD63" w:rsidR="0077235D" w:rsidRPr="007E253F" w:rsidRDefault="0077235D" w:rsidP="00135DE8">
      <w:pPr>
        <w:pStyle w:val="Prrafodelista"/>
        <w:numPr>
          <w:ilvl w:val="0"/>
          <w:numId w:val="13"/>
        </w:numPr>
        <w:spacing w:before="360" w:after="360" w:line="360" w:lineRule="auto"/>
        <w:ind w:left="714" w:hanging="357"/>
        <w:rPr>
          <w:rFonts w:cs="Times New Roman"/>
          <w:b/>
          <w:bCs/>
          <w:szCs w:val="24"/>
        </w:rPr>
      </w:pPr>
      <w:bookmarkStart w:id="741" w:name="_Toc46348723"/>
      <w:bookmarkStart w:id="742" w:name="_Toc46349027"/>
      <w:bookmarkStart w:id="743" w:name="_Toc58826572"/>
      <w:r w:rsidRPr="007E253F">
        <w:rPr>
          <w:rFonts w:cs="Times New Roman"/>
          <w:b/>
          <w:bCs/>
          <w:szCs w:val="24"/>
        </w:rPr>
        <w:lastRenderedPageBreak/>
        <w:t>Textura.</w:t>
      </w:r>
      <w:r w:rsidRPr="007E253F">
        <w:rPr>
          <w:rFonts w:cs="Times New Roman"/>
          <w:szCs w:val="24"/>
        </w:rPr>
        <w:t xml:space="preserve"> Influye en la asimilabilidad del fósforo tanto por el contenido de agua que el suelo puede retener como por la contribución a la riqueza del fósforo del suelo. La cantidad de fósforo lábil o intercambiable será menor en los suelos de textura gruesa que los de textura fina que tienen mayor capacidad de a</w:t>
      </w:r>
      <w:r w:rsidR="005F2CA6">
        <w:rPr>
          <w:rFonts w:cs="Times New Roman"/>
          <w:szCs w:val="24"/>
        </w:rPr>
        <w:t>b</w:t>
      </w:r>
      <w:r w:rsidRPr="007E253F">
        <w:rPr>
          <w:rFonts w:cs="Times New Roman"/>
          <w:szCs w:val="24"/>
        </w:rPr>
        <w:t>sorción de aniones.</w:t>
      </w:r>
      <w:bookmarkEnd w:id="741"/>
      <w:bookmarkEnd w:id="742"/>
      <w:bookmarkEnd w:id="743"/>
    </w:p>
    <w:p w14:paraId="16F57F3D" w14:textId="77777777" w:rsidR="0077235D" w:rsidRPr="007E253F" w:rsidRDefault="0077235D" w:rsidP="00135DE8">
      <w:pPr>
        <w:pStyle w:val="Prrafodelista"/>
        <w:numPr>
          <w:ilvl w:val="0"/>
          <w:numId w:val="7"/>
        </w:numPr>
        <w:spacing w:before="360" w:after="360" w:line="360" w:lineRule="auto"/>
        <w:ind w:left="714" w:hanging="357"/>
        <w:rPr>
          <w:rFonts w:cs="Times New Roman"/>
          <w:szCs w:val="24"/>
        </w:rPr>
      </w:pPr>
      <w:bookmarkStart w:id="744" w:name="_Toc35185846"/>
      <w:bookmarkStart w:id="745" w:name="_Toc35186339"/>
      <w:bookmarkStart w:id="746" w:name="_Toc46348724"/>
      <w:bookmarkStart w:id="747" w:name="_Toc46349028"/>
      <w:r w:rsidRPr="007E253F">
        <w:rPr>
          <w:rFonts w:cs="Times New Roman"/>
          <w:b/>
          <w:bCs/>
          <w:szCs w:val="24"/>
        </w:rPr>
        <w:t>Humedad.</w:t>
      </w:r>
      <w:bookmarkEnd w:id="744"/>
      <w:bookmarkEnd w:id="745"/>
      <w:r w:rsidRPr="007E253F">
        <w:rPr>
          <w:rFonts w:cs="Times New Roman"/>
          <w:szCs w:val="24"/>
        </w:rPr>
        <w:t xml:space="preserve"> La absorción de fósforo por las plantas aumenta cuando la succión matriz del suelo disminuye, lo que concuerda con el concepto de que la transferencia del nutriente a las raíces se efectúa por medio del agua.</w:t>
      </w:r>
      <w:bookmarkEnd w:id="746"/>
      <w:bookmarkEnd w:id="747"/>
    </w:p>
    <w:p w14:paraId="631F0174" w14:textId="4CE4A49F" w:rsidR="0077235D" w:rsidRPr="007E253F" w:rsidRDefault="0077235D" w:rsidP="00135DE8">
      <w:pPr>
        <w:pStyle w:val="Prrafodelista"/>
        <w:numPr>
          <w:ilvl w:val="0"/>
          <w:numId w:val="7"/>
        </w:numPr>
        <w:spacing w:after="0" w:line="360" w:lineRule="auto"/>
        <w:rPr>
          <w:rFonts w:cs="Times New Roman"/>
          <w:szCs w:val="24"/>
        </w:rPr>
      </w:pPr>
      <w:r w:rsidRPr="007E253F">
        <w:rPr>
          <w:rFonts w:cs="Times New Roman"/>
          <w:b/>
          <w:bCs/>
          <w:szCs w:val="24"/>
        </w:rPr>
        <w:t>pH del suelo:</w:t>
      </w:r>
      <w:r w:rsidRPr="007E253F">
        <w:rPr>
          <w:rFonts w:cs="Times New Roman"/>
          <w:szCs w:val="24"/>
        </w:rPr>
        <w:t xml:space="preserve"> La mayor parte de la fijación de fósforo ocurre a muy bajos o muy altos valores de pH. Cuando el pH sube desde menos de 5 hasta 6, los fosfatos de hierro y aluminio se hacen algo menos solubles. Además, cuando el pH cae desde más de 8 hasta menos de 6, los fosfatos de calcio incrementan su solubilidad </w:t>
      </w:r>
      <w:sdt>
        <w:sdtPr>
          <w:rPr>
            <w:rFonts w:cs="Times New Roman"/>
            <w:szCs w:val="24"/>
          </w:rPr>
          <w:id w:val="193745305"/>
          <w:citation/>
        </w:sdtPr>
        <w:sdtEndPr/>
        <w:sdtContent>
          <w:r w:rsidR="000A5FEE" w:rsidRPr="007E253F">
            <w:rPr>
              <w:rFonts w:cs="Times New Roman"/>
              <w:szCs w:val="24"/>
            </w:rPr>
            <w:fldChar w:fldCharType="begin"/>
          </w:r>
          <w:r w:rsidR="000A5FEE" w:rsidRPr="007E253F">
            <w:rPr>
              <w:rFonts w:cs="Times New Roman"/>
              <w:szCs w:val="24"/>
              <w:lang w:val="es-MX"/>
            </w:rPr>
            <w:instrText xml:space="preserve"> CITATION Bas10 \l 2058 </w:instrText>
          </w:r>
          <w:r w:rsidR="000A5FEE" w:rsidRPr="007E253F">
            <w:rPr>
              <w:rFonts w:cs="Times New Roman"/>
              <w:szCs w:val="24"/>
            </w:rPr>
            <w:fldChar w:fldCharType="separate"/>
          </w:r>
          <w:r w:rsidR="005106B9" w:rsidRPr="005106B9">
            <w:rPr>
              <w:rFonts w:cs="Times New Roman"/>
              <w:noProof/>
              <w:szCs w:val="24"/>
              <w:lang w:val="es-MX"/>
            </w:rPr>
            <w:t>(Basantes, 2010)</w:t>
          </w:r>
          <w:r w:rsidR="000A5FEE" w:rsidRPr="007E253F">
            <w:rPr>
              <w:rFonts w:cs="Times New Roman"/>
              <w:szCs w:val="24"/>
            </w:rPr>
            <w:fldChar w:fldCharType="end"/>
          </w:r>
        </w:sdtContent>
      </w:sdt>
    </w:p>
    <w:p w14:paraId="3787BC1F" w14:textId="59957247" w:rsidR="0077235D" w:rsidRPr="007E253F" w:rsidRDefault="0077235D" w:rsidP="00135DE8">
      <w:pPr>
        <w:pStyle w:val="Prrafodelista"/>
        <w:numPr>
          <w:ilvl w:val="0"/>
          <w:numId w:val="7"/>
        </w:numPr>
        <w:spacing w:after="0" w:line="360" w:lineRule="auto"/>
        <w:rPr>
          <w:rFonts w:cs="Times New Roman"/>
          <w:szCs w:val="24"/>
        </w:rPr>
      </w:pPr>
      <w:r w:rsidRPr="007E253F">
        <w:rPr>
          <w:rFonts w:cs="Times New Roman"/>
          <w:b/>
          <w:bCs/>
          <w:szCs w:val="24"/>
        </w:rPr>
        <w:t>Coloide inorgánico:</w:t>
      </w:r>
      <w:r w:rsidRPr="007E253F">
        <w:rPr>
          <w:rFonts w:cs="Times New Roman"/>
          <w:szCs w:val="24"/>
        </w:rPr>
        <w:t xml:space="preserve"> Generalmente aquellas arcillas que poseen gran capacidad de a</w:t>
      </w:r>
      <w:r w:rsidR="005F2CA6">
        <w:rPr>
          <w:rFonts w:cs="Times New Roman"/>
          <w:szCs w:val="24"/>
        </w:rPr>
        <w:t>b</w:t>
      </w:r>
      <w:r w:rsidRPr="007E253F">
        <w:rPr>
          <w:rFonts w:cs="Times New Roman"/>
          <w:szCs w:val="24"/>
        </w:rPr>
        <w:t xml:space="preserve">sorción de aniones (debido a superficies cargadas positivamente), tienen una gran afinidad por los iones fosfato... Los óxidos de hierro y aluminio, tales como la gibsita y la goetita, también pueden atraer y retener fuertemente los iones fósforo. Entre las arcillas silicatadas, la caolinita tiene la mayor capacidad de fijación de fósforo. </w:t>
      </w:r>
    </w:p>
    <w:p w14:paraId="6D48CA33" w14:textId="6EFB4DAB" w:rsidR="0077235D" w:rsidRPr="00E8119F" w:rsidRDefault="0077235D" w:rsidP="00135DE8">
      <w:pPr>
        <w:pStyle w:val="Prrafodelista"/>
        <w:numPr>
          <w:ilvl w:val="0"/>
          <w:numId w:val="7"/>
        </w:numPr>
        <w:spacing w:after="0" w:line="360" w:lineRule="auto"/>
        <w:rPr>
          <w:rFonts w:cs="Times New Roman"/>
          <w:szCs w:val="24"/>
        </w:rPr>
      </w:pPr>
      <w:r w:rsidRPr="007E253F">
        <w:rPr>
          <w:rFonts w:cs="Times New Roman"/>
          <w:b/>
          <w:bCs/>
          <w:szCs w:val="24"/>
        </w:rPr>
        <w:t xml:space="preserve"> Materia orgánica: </w:t>
      </w:r>
      <w:r w:rsidRPr="007E253F">
        <w:rPr>
          <w:rFonts w:cs="Times New Roman"/>
          <w:szCs w:val="24"/>
        </w:rPr>
        <w:t xml:space="preserve">es fuente permanente de fósforo a través de los procesos de descomposición y mineralización que liberan nutrientes a la solución del suelo. La materia orgánica generalmente tiene poca capacidad para fijar fuertemente los iones fosfato. Los suelos ricos en materia orgánica, especialmente de fracciones activas de la misma, casi siempre exhiben relativamente bajos niveles de fijación de fósforo </w:t>
      </w:r>
      <w:sdt>
        <w:sdtPr>
          <w:rPr>
            <w:rFonts w:cs="Times New Roman"/>
            <w:szCs w:val="24"/>
          </w:rPr>
          <w:id w:val="309994679"/>
          <w:citation/>
        </w:sdtPr>
        <w:sdtEndPr/>
        <w:sdtContent>
          <w:r w:rsidR="000A5FEE" w:rsidRPr="007E253F">
            <w:rPr>
              <w:rFonts w:cs="Times New Roman"/>
              <w:szCs w:val="24"/>
            </w:rPr>
            <w:fldChar w:fldCharType="begin"/>
          </w:r>
          <w:r w:rsidR="000A5FEE" w:rsidRPr="007E253F">
            <w:rPr>
              <w:rFonts w:cs="Times New Roman"/>
              <w:szCs w:val="24"/>
              <w:lang w:val="es-MX"/>
            </w:rPr>
            <w:instrText xml:space="preserve"> CITATION Bas10 \l 2058 </w:instrText>
          </w:r>
          <w:r w:rsidR="000A5FEE" w:rsidRPr="007E253F">
            <w:rPr>
              <w:rFonts w:cs="Times New Roman"/>
              <w:szCs w:val="24"/>
            </w:rPr>
            <w:fldChar w:fldCharType="separate"/>
          </w:r>
          <w:r w:rsidR="005106B9" w:rsidRPr="005106B9">
            <w:rPr>
              <w:rFonts w:cs="Times New Roman"/>
              <w:noProof/>
              <w:szCs w:val="24"/>
              <w:lang w:val="es-MX"/>
            </w:rPr>
            <w:t>(Basantes, 2010)</w:t>
          </w:r>
          <w:r w:rsidR="000A5FEE" w:rsidRPr="007E253F">
            <w:rPr>
              <w:rFonts w:cs="Times New Roman"/>
              <w:szCs w:val="24"/>
            </w:rPr>
            <w:fldChar w:fldCharType="end"/>
          </w:r>
        </w:sdtContent>
      </w:sdt>
      <w:r w:rsidR="000A5FEE" w:rsidRPr="007E253F">
        <w:rPr>
          <w:rFonts w:cs="Times New Roman"/>
          <w:szCs w:val="24"/>
        </w:rPr>
        <w:t>.</w:t>
      </w:r>
      <w:r w:rsidRPr="007E253F">
        <w:rPr>
          <w:rFonts w:cs="Times New Roman"/>
          <w:szCs w:val="24"/>
        </w:rPr>
        <w:t xml:space="preserve"> </w:t>
      </w:r>
    </w:p>
    <w:p w14:paraId="41073FC0" w14:textId="2125EED9" w:rsidR="0077235D" w:rsidRPr="00F67B88" w:rsidRDefault="0077235D" w:rsidP="00135DE8">
      <w:pPr>
        <w:pStyle w:val="Ttulo3"/>
        <w:numPr>
          <w:ilvl w:val="2"/>
          <w:numId w:val="44"/>
        </w:numPr>
        <w:spacing w:before="360" w:after="360"/>
      </w:pPr>
      <w:bookmarkStart w:id="748" w:name="_Toc80312260"/>
      <w:r w:rsidRPr="00F67B88">
        <w:t>Manejo de las dosis del fertilizante fosfatados</w:t>
      </w:r>
      <w:bookmarkEnd w:id="748"/>
    </w:p>
    <w:p w14:paraId="36697633" w14:textId="1F67CAEA" w:rsidR="00F67B88" w:rsidRDefault="0077235D" w:rsidP="000E2B3A">
      <w:pPr>
        <w:spacing w:after="0" w:line="360" w:lineRule="auto"/>
        <w:rPr>
          <w:rFonts w:cs="Times New Roman"/>
          <w:szCs w:val="24"/>
        </w:rPr>
      </w:pPr>
      <w:r w:rsidRPr="007E253F">
        <w:rPr>
          <w:rFonts w:cs="Times New Roman"/>
          <w:szCs w:val="24"/>
        </w:rPr>
        <w:t xml:space="preserve"> Si se puede agregar bastante fósforo, la capacidad de fijación del mismo puede saturarse, incluso en los suelos muy fijadores. </w:t>
      </w:r>
    </w:p>
    <w:p w14:paraId="2692D739" w14:textId="74FC5A9A" w:rsidR="00F67B88" w:rsidRDefault="0077235D" w:rsidP="00E8119F">
      <w:pPr>
        <w:spacing w:before="360" w:after="360" w:line="360" w:lineRule="auto"/>
        <w:rPr>
          <w:rFonts w:cs="Times New Roman"/>
          <w:szCs w:val="24"/>
        </w:rPr>
      </w:pPr>
      <w:r w:rsidRPr="007E253F">
        <w:rPr>
          <w:rFonts w:cs="Times New Roman"/>
          <w:szCs w:val="24"/>
        </w:rPr>
        <w:lastRenderedPageBreak/>
        <w:t>Esta puede alcanzarse con una o dos dosis masivas de fósforo (usualmente como fertilizante fosfórico, roca fosfatada, o abono animal), o por la adición anual durante varios años de más cantidad de fósforo que la removida por la cosecha.</w:t>
      </w:r>
    </w:p>
    <w:p w14:paraId="4660919A" w14:textId="2A208623" w:rsidR="0077235D" w:rsidRPr="007E253F" w:rsidRDefault="0077235D" w:rsidP="000E2B3A">
      <w:pPr>
        <w:spacing w:after="0" w:line="360" w:lineRule="auto"/>
        <w:rPr>
          <w:rFonts w:cs="Times New Roman"/>
          <w:noProof/>
          <w:szCs w:val="24"/>
        </w:rPr>
      </w:pPr>
      <w:r w:rsidRPr="007E253F">
        <w:rPr>
          <w:rFonts w:cs="Times New Roman"/>
          <w:szCs w:val="24"/>
        </w:rPr>
        <w:t>La rápida o la lenta acumulación alcanzada podrá satisfacer la mayor parte de los sitios de fijación y llevará al suelo a niveles tan altos de fósforo que se mantendrá en solución suficiente cantidad del mismo, a pesar de la gran capacidad de fijación inicial. La aplicación de dosis masivas puede ser muy costosa, por lo que solo se utiliza en sistemas de agricultura intensiva</w:t>
      </w:r>
      <w:r w:rsidRPr="007E253F">
        <w:rPr>
          <w:rFonts w:cs="Times New Roman"/>
          <w:noProof/>
          <w:szCs w:val="24"/>
        </w:rPr>
        <w:t xml:space="preserve"> </w:t>
      </w:r>
      <w:sdt>
        <w:sdtPr>
          <w:rPr>
            <w:rFonts w:cs="Times New Roman"/>
            <w:noProof/>
            <w:szCs w:val="24"/>
          </w:rPr>
          <w:id w:val="-995646864"/>
          <w:citation/>
        </w:sdtPr>
        <w:sdtEndPr/>
        <w:sdtContent>
          <w:r w:rsidR="00B7710D" w:rsidRPr="007E253F">
            <w:rPr>
              <w:rFonts w:cs="Times New Roman"/>
              <w:noProof/>
              <w:szCs w:val="24"/>
            </w:rPr>
            <w:fldChar w:fldCharType="begin"/>
          </w:r>
          <w:r w:rsidR="00B7710D" w:rsidRPr="007E253F">
            <w:rPr>
              <w:rFonts w:cs="Times New Roman"/>
              <w:noProof/>
              <w:szCs w:val="24"/>
              <w:lang w:val="es-MX"/>
            </w:rPr>
            <w:instrText xml:space="preserve">CITATION San \l 2058 </w:instrText>
          </w:r>
          <w:r w:rsidR="00B7710D" w:rsidRPr="007E253F">
            <w:rPr>
              <w:rFonts w:cs="Times New Roman"/>
              <w:noProof/>
              <w:szCs w:val="24"/>
            </w:rPr>
            <w:fldChar w:fldCharType="separate"/>
          </w:r>
          <w:r w:rsidR="005106B9" w:rsidRPr="005106B9">
            <w:rPr>
              <w:rFonts w:cs="Times New Roman"/>
              <w:noProof/>
              <w:szCs w:val="24"/>
              <w:lang w:val="es-MX"/>
            </w:rPr>
            <w:t>(Sanzano.sf, 2017)</w:t>
          </w:r>
          <w:r w:rsidR="00B7710D" w:rsidRPr="007E253F">
            <w:rPr>
              <w:rFonts w:cs="Times New Roman"/>
              <w:noProof/>
              <w:szCs w:val="24"/>
            </w:rPr>
            <w:fldChar w:fldCharType="end"/>
          </w:r>
        </w:sdtContent>
      </w:sdt>
    </w:p>
    <w:p w14:paraId="0AA64747" w14:textId="0D90CFCA" w:rsidR="0077235D" w:rsidRPr="007E253F" w:rsidRDefault="0077235D" w:rsidP="00135DE8">
      <w:pPr>
        <w:pStyle w:val="Ttulo3"/>
        <w:numPr>
          <w:ilvl w:val="2"/>
          <w:numId w:val="44"/>
        </w:numPr>
        <w:spacing w:before="360" w:after="360"/>
      </w:pPr>
      <w:bookmarkStart w:id="749" w:name="_Toc72741102"/>
      <w:bookmarkStart w:id="750" w:name="_Toc72741900"/>
      <w:bookmarkStart w:id="751" w:name="_Toc72742698"/>
      <w:bookmarkStart w:id="752" w:name="_Toc72881450"/>
      <w:bookmarkStart w:id="753" w:name="_Toc72882532"/>
      <w:bookmarkStart w:id="754" w:name="_Toc75608877"/>
      <w:bookmarkStart w:id="755" w:name="_Toc75611803"/>
      <w:bookmarkStart w:id="756" w:name="_Toc75612649"/>
      <w:bookmarkStart w:id="757" w:name="_Toc75679804"/>
      <w:bookmarkStart w:id="758" w:name="_Toc75702412"/>
      <w:bookmarkStart w:id="759" w:name="_Toc80312261"/>
      <w:r w:rsidRPr="007E253F">
        <w:t>Ubicación del fertilizante fosfatados</w:t>
      </w:r>
      <w:bookmarkEnd w:id="749"/>
      <w:bookmarkEnd w:id="750"/>
      <w:bookmarkEnd w:id="751"/>
      <w:bookmarkEnd w:id="752"/>
      <w:bookmarkEnd w:id="753"/>
      <w:bookmarkEnd w:id="754"/>
      <w:bookmarkEnd w:id="755"/>
      <w:bookmarkEnd w:id="756"/>
      <w:bookmarkEnd w:id="757"/>
      <w:bookmarkEnd w:id="758"/>
      <w:bookmarkEnd w:id="759"/>
    </w:p>
    <w:p w14:paraId="02B0CB83" w14:textId="6321A9AD" w:rsidR="0077235D" w:rsidRPr="007E253F" w:rsidRDefault="0077235D" w:rsidP="000E2B3A">
      <w:pPr>
        <w:spacing w:after="0" w:line="360" w:lineRule="auto"/>
        <w:rPr>
          <w:rFonts w:cs="Times New Roman"/>
          <w:szCs w:val="24"/>
        </w:rPr>
      </w:pPr>
      <w:r w:rsidRPr="007E253F">
        <w:rPr>
          <w:rFonts w:cs="Times New Roman"/>
          <w:szCs w:val="24"/>
        </w:rPr>
        <w:t xml:space="preserve"> Para favorecer la absorción de fósforo por las raíces de las plantas se debe minimizar la oportunidad de reacción del mismo con el suelo. </w:t>
      </w:r>
    </w:p>
    <w:p w14:paraId="775BAC9F" w14:textId="3AC0CEDB" w:rsidR="00F67B88" w:rsidRDefault="0077235D" w:rsidP="00E8119F">
      <w:pPr>
        <w:spacing w:before="360" w:after="0" w:line="360" w:lineRule="auto"/>
        <w:rPr>
          <w:rFonts w:cs="Times New Roman"/>
          <w:szCs w:val="24"/>
        </w:rPr>
      </w:pPr>
      <w:r w:rsidRPr="007E253F">
        <w:rPr>
          <w:rFonts w:cs="Times New Roman"/>
          <w:szCs w:val="24"/>
        </w:rPr>
        <w:t xml:space="preserve">Generalmente, si el fertilizante es colocado directamente en la zona radicular, puede utilizarse un medio a un tercio del mismo, con respecto a una aplicación en donde se lo mezcle excesivamente con el suelo. </w:t>
      </w:r>
    </w:p>
    <w:p w14:paraId="5772D06F" w14:textId="5542E3E5" w:rsidR="0077235D" w:rsidRPr="007E253F" w:rsidRDefault="0077235D" w:rsidP="00E8119F">
      <w:pPr>
        <w:spacing w:before="360" w:after="360" w:line="360" w:lineRule="auto"/>
        <w:rPr>
          <w:rFonts w:cs="Times New Roman"/>
          <w:noProof/>
          <w:szCs w:val="24"/>
        </w:rPr>
      </w:pPr>
      <w:r w:rsidRPr="007E253F">
        <w:rPr>
          <w:rFonts w:cs="Times New Roman"/>
          <w:szCs w:val="24"/>
        </w:rPr>
        <w:t xml:space="preserve">El punto de ubicación es muy usado cuando la aplicación es manual, pero actualmente se está desarrollando maquinaria que "inyecta" el fertilizante para encontrar el punto de ubicación aún en los sistemas mecanizados </w:t>
      </w:r>
      <w:sdt>
        <w:sdtPr>
          <w:rPr>
            <w:rFonts w:cs="Times New Roman"/>
            <w:szCs w:val="24"/>
          </w:rPr>
          <w:id w:val="-1353799087"/>
          <w:citation/>
        </w:sdtPr>
        <w:sdtEndPr/>
        <w:sdtContent>
          <w:r w:rsidR="00C00522" w:rsidRPr="007E253F">
            <w:rPr>
              <w:rFonts w:cs="Times New Roman"/>
              <w:szCs w:val="24"/>
            </w:rPr>
            <w:fldChar w:fldCharType="begin"/>
          </w:r>
          <w:r w:rsidR="00C00522" w:rsidRPr="007E253F">
            <w:rPr>
              <w:rFonts w:cs="Times New Roman"/>
              <w:noProof/>
              <w:szCs w:val="24"/>
              <w:lang w:val="es-MX"/>
            </w:rPr>
            <w:instrText xml:space="preserve"> CITATION San \l 2058 </w:instrText>
          </w:r>
          <w:r w:rsidR="00C00522" w:rsidRPr="007E253F">
            <w:rPr>
              <w:rFonts w:cs="Times New Roman"/>
              <w:szCs w:val="24"/>
            </w:rPr>
            <w:fldChar w:fldCharType="separate"/>
          </w:r>
          <w:r w:rsidR="005106B9" w:rsidRPr="005106B9">
            <w:rPr>
              <w:rFonts w:cs="Times New Roman"/>
              <w:noProof/>
              <w:szCs w:val="24"/>
              <w:lang w:val="es-MX"/>
            </w:rPr>
            <w:t>(Sanzano.sf, 2017)</w:t>
          </w:r>
          <w:r w:rsidR="00C00522" w:rsidRPr="007E253F">
            <w:rPr>
              <w:rFonts w:cs="Times New Roman"/>
              <w:szCs w:val="24"/>
            </w:rPr>
            <w:fldChar w:fldCharType="end"/>
          </w:r>
        </w:sdtContent>
      </w:sdt>
    </w:p>
    <w:p w14:paraId="3F0A584C" w14:textId="5C4C7767" w:rsidR="0077235D" w:rsidRPr="00C26AF2" w:rsidRDefault="0077235D" w:rsidP="00135DE8">
      <w:pPr>
        <w:pStyle w:val="Ttulo3"/>
        <w:numPr>
          <w:ilvl w:val="2"/>
          <w:numId w:val="44"/>
        </w:numPr>
      </w:pPr>
      <w:bookmarkStart w:id="760" w:name="_Toc72741103"/>
      <w:bookmarkStart w:id="761" w:name="_Toc72741901"/>
      <w:bookmarkStart w:id="762" w:name="_Toc72742699"/>
      <w:bookmarkStart w:id="763" w:name="_Toc72881451"/>
      <w:bookmarkStart w:id="764" w:name="_Toc72882533"/>
      <w:bookmarkStart w:id="765" w:name="_Toc75608878"/>
      <w:bookmarkStart w:id="766" w:name="_Toc75611804"/>
      <w:bookmarkStart w:id="767" w:name="_Toc75612650"/>
      <w:bookmarkStart w:id="768" w:name="_Toc75679805"/>
      <w:bookmarkStart w:id="769" w:name="_Toc75702413"/>
      <w:bookmarkStart w:id="770" w:name="_Toc80312262"/>
      <w:r w:rsidRPr="007E253F">
        <w:t>Contenido de fósforo en el suelo</w:t>
      </w:r>
      <w:bookmarkEnd w:id="760"/>
      <w:bookmarkEnd w:id="761"/>
      <w:bookmarkEnd w:id="762"/>
      <w:bookmarkEnd w:id="763"/>
      <w:bookmarkEnd w:id="764"/>
      <w:bookmarkEnd w:id="765"/>
      <w:bookmarkEnd w:id="766"/>
      <w:bookmarkEnd w:id="767"/>
      <w:bookmarkEnd w:id="768"/>
      <w:bookmarkEnd w:id="769"/>
      <w:bookmarkEnd w:id="770"/>
    </w:p>
    <w:p w14:paraId="72E3F65D" w14:textId="5C29B030" w:rsidR="00C26AF2" w:rsidRPr="00C26AF2" w:rsidRDefault="00C26AF2" w:rsidP="00C26AF2">
      <w:pPr>
        <w:pStyle w:val="Descripcin"/>
        <w:keepNext/>
        <w:ind w:left="708" w:firstLine="708"/>
        <w:rPr>
          <w:rFonts w:eastAsiaTheme="majorEastAsia" w:cs="Times New Roman"/>
          <w:bCs/>
          <w:i w:val="0"/>
          <w:iCs w:val="0"/>
          <w:color w:val="auto"/>
          <w:sz w:val="24"/>
          <w:szCs w:val="28"/>
          <w:lang w:val="es-ES" w:eastAsia="en-US"/>
        </w:rPr>
      </w:pPr>
      <w:bookmarkStart w:id="771" w:name="_Toc79313998"/>
      <w:r w:rsidRPr="00C26AF2">
        <w:rPr>
          <w:rFonts w:eastAsiaTheme="majorEastAsia" w:cs="Times New Roman"/>
          <w:b/>
          <w:bCs/>
          <w:i w:val="0"/>
          <w:iCs w:val="0"/>
          <w:color w:val="auto"/>
          <w:sz w:val="24"/>
          <w:szCs w:val="28"/>
          <w:lang w:val="es-ES" w:eastAsia="en-US"/>
        </w:rPr>
        <w:t xml:space="preserve">Cuadro </w:t>
      </w:r>
      <w:r w:rsidRPr="00C26AF2">
        <w:rPr>
          <w:rFonts w:eastAsiaTheme="majorEastAsia" w:cs="Times New Roman"/>
          <w:b/>
          <w:bCs/>
          <w:i w:val="0"/>
          <w:iCs w:val="0"/>
          <w:color w:val="auto"/>
          <w:sz w:val="24"/>
          <w:szCs w:val="28"/>
          <w:lang w:val="es-ES" w:eastAsia="en-US"/>
        </w:rPr>
        <w:fldChar w:fldCharType="begin"/>
      </w:r>
      <w:r w:rsidRPr="00C26AF2">
        <w:rPr>
          <w:rFonts w:eastAsiaTheme="majorEastAsia" w:cs="Times New Roman"/>
          <w:b/>
          <w:bCs/>
          <w:i w:val="0"/>
          <w:iCs w:val="0"/>
          <w:color w:val="auto"/>
          <w:sz w:val="24"/>
          <w:szCs w:val="28"/>
          <w:lang w:val="es-ES" w:eastAsia="en-US"/>
        </w:rPr>
        <w:instrText xml:space="preserve"> SEQ Cuadro \* ARABIC </w:instrText>
      </w:r>
      <w:r w:rsidRPr="00C26AF2">
        <w:rPr>
          <w:rFonts w:eastAsiaTheme="majorEastAsia" w:cs="Times New Roman"/>
          <w:b/>
          <w:bCs/>
          <w:i w:val="0"/>
          <w:iCs w:val="0"/>
          <w:color w:val="auto"/>
          <w:sz w:val="24"/>
          <w:szCs w:val="28"/>
          <w:lang w:val="es-ES" w:eastAsia="en-US"/>
        </w:rPr>
        <w:fldChar w:fldCharType="separate"/>
      </w:r>
      <w:r w:rsidR="000D1F55">
        <w:rPr>
          <w:rFonts w:eastAsiaTheme="majorEastAsia" w:cs="Times New Roman"/>
          <w:b/>
          <w:bCs/>
          <w:i w:val="0"/>
          <w:iCs w:val="0"/>
          <w:noProof/>
          <w:color w:val="auto"/>
          <w:sz w:val="24"/>
          <w:szCs w:val="28"/>
          <w:lang w:val="es-ES" w:eastAsia="en-US"/>
        </w:rPr>
        <w:t>6</w:t>
      </w:r>
      <w:r w:rsidRPr="00C26AF2">
        <w:rPr>
          <w:rFonts w:eastAsiaTheme="majorEastAsia" w:cs="Times New Roman"/>
          <w:b/>
          <w:bCs/>
          <w:i w:val="0"/>
          <w:iCs w:val="0"/>
          <w:color w:val="auto"/>
          <w:sz w:val="24"/>
          <w:szCs w:val="28"/>
          <w:lang w:val="es-ES" w:eastAsia="en-US"/>
        </w:rPr>
        <w:fldChar w:fldCharType="end"/>
      </w:r>
      <w:r w:rsidRPr="00C26AF2">
        <w:rPr>
          <w:rFonts w:eastAsiaTheme="majorEastAsia" w:cs="Times New Roman"/>
          <w:b/>
          <w:bCs/>
          <w:i w:val="0"/>
          <w:iCs w:val="0"/>
          <w:color w:val="auto"/>
          <w:sz w:val="24"/>
          <w:szCs w:val="28"/>
          <w:lang w:val="es-ES" w:eastAsia="en-US"/>
        </w:rPr>
        <w:t>.</w:t>
      </w:r>
      <w:r w:rsidRPr="00C26AF2">
        <w:rPr>
          <w:rFonts w:eastAsiaTheme="majorEastAsia" w:cs="Times New Roman"/>
          <w:bCs/>
          <w:i w:val="0"/>
          <w:iCs w:val="0"/>
          <w:color w:val="auto"/>
          <w:sz w:val="24"/>
          <w:szCs w:val="28"/>
          <w:lang w:val="es-ES" w:eastAsia="en-US"/>
        </w:rPr>
        <w:t xml:space="preserve"> Contenido de Fósforo asimilable (ppm)</w:t>
      </w:r>
      <w:bookmarkEnd w:id="771"/>
    </w:p>
    <w:tbl>
      <w:tblPr>
        <w:tblStyle w:val="Tablaconcuadrcula"/>
        <w:tblW w:w="0" w:type="auto"/>
        <w:tblInd w:w="1696" w:type="dxa"/>
        <w:tblLook w:val="04A0" w:firstRow="1" w:lastRow="0" w:firstColumn="1" w:lastColumn="0" w:noHBand="0" w:noVBand="1"/>
      </w:tblPr>
      <w:tblGrid>
        <w:gridCol w:w="2267"/>
        <w:gridCol w:w="1986"/>
      </w:tblGrid>
      <w:tr w:rsidR="0077235D" w:rsidRPr="007E253F" w14:paraId="43895634" w14:textId="77777777" w:rsidTr="003A4FF6">
        <w:tc>
          <w:tcPr>
            <w:tcW w:w="2267" w:type="dxa"/>
            <w:tcBorders>
              <w:top w:val="single" w:sz="4" w:space="0" w:color="auto"/>
              <w:left w:val="single" w:sz="4" w:space="0" w:color="auto"/>
              <w:bottom w:val="single" w:sz="4" w:space="0" w:color="auto"/>
              <w:right w:val="nil"/>
            </w:tcBorders>
          </w:tcPr>
          <w:p w14:paraId="0AEA3B99" w14:textId="77777777" w:rsidR="0077235D" w:rsidRPr="007E253F" w:rsidRDefault="0077235D" w:rsidP="00E8119F">
            <w:pPr>
              <w:jc w:val="right"/>
              <w:rPr>
                <w:rFonts w:cs="Times New Roman"/>
                <w:b/>
                <w:bCs/>
                <w:szCs w:val="24"/>
              </w:rPr>
            </w:pPr>
            <w:r w:rsidRPr="007E253F">
              <w:rPr>
                <w:rFonts w:cs="Times New Roman"/>
                <w:b/>
                <w:bCs/>
                <w:szCs w:val="24"/>
              </w:rPr>
              <w:t xml:space="preserve">FÓSFORO </w:t>
            </w:r>
          </w:p>
        </w:tc>
        <w:tc>
          <w:tcPr>
            <w:tcW w:w="1986" w:type="dxa"/>
            <w:tcBorders>
              <w:top w:val="single" w:sz="4" w:space="0" w:color="auto"/>
              <w:left w:val="nil"/>
              <w:bottom w:val="single" w:sz="4" w:space="0" w:color="auto"/>
              <w:right w:val="single" w:sz="4" w:space="0" w:color="auto"/>
            </w:tcBorders>
          </w:tcPr>
          <w:p w14:paraId="56FD03D8" w14:textId="77777777" w:rsidR="0077235D" w:rsidRPr="007E253F" w:rsidRDefault="0077235D" w:rsidP="00E8119F">
            <w:pPr>
              <w:rPr>
                <w:rFonts w:cs="Times New Roman"/>
                <w:b/>
                <w:bCs/>
                <w:szCs w:val="24"/>
              </w:rPr>
            </w:pPr>
            <w:r w:rsidRPr="007E253F">
              <w:rPr>
                <w:rFonts w:cs="Times New Roman"/>
                <w:b/>
                <w:bCs/>
                <w:szCs w:val="24"/>
              </w:rPr>
              <w:t>ASIMILABLE</w:t>
            </w:r>
          </w:p>
        </w:tc>
      </w:tr>
      <w:tr w:rsidR="0077235D" w:rsidRPr="007E253F" w14:paraId="2F5B52CD" w14:textId="77777777" w:rsidTr="003A4FF6">
        <w:tc>
          <w:tcPr>
            <w:tcW w:w="2267" w:type="dxa"/>
            <w:tcBorders>
              <w:top w:val="single" w:sz="4" w:space="0" w:color="auto"/>
            </w:tcBorders>
          </w:tcPr>
          <w:p w14:paraId="06BCCF7A" w14:textId="77777777" w:rsidR="0077235D" w:rsidRPr="007E253F" w:rsidRDefault="0077235D" w:rsidP="00E8119F">
            <w:pPr>
              <w:jc w:val="center"/>
              <w:rPr>
                <w:rFonts w:cs="Times New Roman"/>
                <w:b/>
                <w:bCs/>
                <w:szCs w:val="24"/>
              </w:rPr>
            </w:pPr>
            <w:r w:rsidRPr="007E253F">
              <w:rPr>
                <w:rFonts w:cs="Times New Roman"/>
                <w:b/>
                <w:bCs/>
                <w:szCs w:val="24"/>
              </w:rPr>
              <w:t>Contenido en ppm</w:t>
            </w:r>
          </w:p>
        </w:tc>
        <w:tc>
          <w:tcPr>
            <w:tcW w:w="1986" w:type="dxa"/>
            <w:tcBorders>
              <w:top w:val="single" w:sz="4" w:space="0" w:color="auto"/>
            </w:tcBorders>
          </w:tcPr>
          <w:p w14:paraId="147032D8" w14:textId="77777777" w:rsidR="0077235D" w:rsidRPr="007E253F" w:rsidRDefault="0077235D" w:rsidP="00E8119F">
            <w:pPr>
              <w:jc w:val="center"/>
              <w:rPr>
                <w:rFonts w:cs="Times New Roman"/>
                <w:b/>
                <w:bCs/>
                <w:szCs w:val="24"/>
              </w:rPr>
            </w:pPr>
            <w:r w:rsidRPr="007E253F">
              <w:rPr>
                <w:rFonts w:cs="Times New Roman"/>
                <w:b/>
                <w:bCs/>
                <w:szCs w:val="24"/>
              </w:rPr>
              <w:t>Categoría</w:t>
            </w:r>
          </w:p>
        </w:tc>
      </w:tr>
      <w:tr w:rsidR="0077235D" w:rsidRPr="007E253F" w14:paraId="382C052C" w14:textId="77777777" w:rsidTr="003A4FF6">
        <w:tc>
          <w:tcPr>
            <w:tcW w:w="2267" w:type="dxa"/>
          </w:tcPr>
          <w:p w14:paraId="5D843D24" w14:textId="77777777" w:rsidR="0077235D" w:rsidRPr="007E253F" w:rsidRDefault="0077235D" w:rsidP="00E8119F">
            <w:pPr>
              <w:jc w:val="center"/>
              <w:rPr>
                <w:rFonts w:cs="Times New Roman"/>
                <w:szCs w:val="24"/>
              </w:rPr>
            </w:pPr>
            <w:r w:rsidRPr="007E253F">
              <w:rPr>
                <w:rFonts w:cs="Times New Roman"/>
                <w:szCs w:val="24"/>
              </w:rPr>
              <w:t>0-15</w:t>
            </w:r>
          </w:p>
        </w:tc>
        <w:tc>
          <w:tcPr>
            <w:tcW w:w="1986" w:type="dxa"/>
          </w:tcPr>
          <w:p w14:paraId="352A7089" w14:textId="77777777" w:rsidR="0077235D" w:rsidRPr="007E253F" w:rsidRDefault="0077235D" w:rsidP="00E8119F">
            <w:pPr>
              <w:jc w:val="center"/>
              <w:rPr>
                <w:rFonts w:cs="Times New Roman"/>
                <w:szCs w:val="24"/>
              </w:rPr>
            </w:pPr>
            <w:r w:rsidRPr="007E253F">
              <w:rPr>
                <w:rFonts w:cs="Times New Roman"/>
                <w:szCs w:val="24"/>
              </w:rPr>
              <w:t>Baja</w:t>
            </w:r>
          </w:p>
        </w:tc>
      </w:tr>
      <w:tr w:rsidR="0077235D" w:rsidRPr="007E253F" w14:paraId="0CE371FE" w14:textId="77777777" w:rsidTr="003A4FF6">
        <w:tc>
          <w:tcPr>
            <w:tcW w:w="2267" w:type="dxa"/>
          </w:tcPr>
          <w:p w14:paraId="0BCF34D1" w14:textId="77777777" w:rsidR="0077235D" w:rsidRPr="007E253F" w:rsidRDefault="0077235D" w:rsidP="00E8119F">
            <w:pPr>
              <w:jc w:val="center"/>
              <w:rPr>
                <w:rFonts w:cs="Times New Roman"/>
                <w:szCs w:val="24"/>
              </w:rPr>
            </w:pPr>
            <w:r w:rsidRPr="007E253F">
              <w:rPr>
                <w:rFonts w:cs="Times New Roman"/>
                <w:szCs w:val="24"/>
              </w:rPr>
              <w:t>15,1-30</w:t>
            </w:r>
          </w:p>
        </w:tc>
        <w:tc>
          <w:tcPr>
            <w:tcW w:w="1986" w:type="dxa"/>
          </w:tcPr>
          <w:p w14:paraId="2729E283" w14:textId="77777777" w:rsidR="0077235D" w:rsidRPr="007E253F" w:rsidRDefault="0077235D" w:rsidP="00E8119F">
            <w:pPr>
              <w:jc w:val="center"/>
              <w:rPr>
                <w:rFonts w:cs="Times New Roman"/>
                <w:szCs w:val="24"/>
              </w:rPr>
            </w:pPr>
            <w:r w:rsidRPr="007E253F">
              <w:rPr>
                <w:rFonts w:cs="Times New Roman"/>
                <w:szCs w:val="24"/>
              </w:rPr>
              <w:t>Media</w:t>
            </w:r>
          </w:p>
        </w:tc>
      </w:tr>
      <w:tr w:rsidR="0077235D" w:rsidRPr="007E253F" w14:paraId="1D06E6D8" w14:textId="77777777" w:rsidTr="003A4FF6">
        <w:tc>
          <w:tcPr>
            <w:tcW w:w="2267" w:type="dxa"/>
          </w:tcPr>
          <w:p w14:paraId="0C98CBCF" w14:textId="77777777" w:rsidR="0077235D" w:rsidRPr="007E253F" w:rsidRDefault="0077235D" w:rsidP="00E8119F">
            <w:pPr>
              <w:jc w:val="center"/>
              <w:rPr>
                <w:rFonts w:cs="Times New Roman"/>
                <w:szCs w:val="24"/>
              </w:rPr>
            </w:pPr>
            <w:r w:rsidRPr="007E253F">
              <w:rPr>
                <w:rFonts w:cs="Times New Roman"/>
                <w:szCs w:val="24"/>
              </w:rPr>
              <w:t>30,1-50</w:t>
            </w:r>
          </w:p>
        </w:tc>
        <w:tc>
          <w:tcPr>
            <w:tcW w:w="1986" w:type="dxa"/>
          </w:tcPr>
          <w:p w14:paraId="5CCF6FF5" w14:textId="77777777" w:rsidR="0077235D" w:rsidRPr="007E253F" w:rsidRDefault="0077235D" w:rsidP="00E8119F">
            <w:pPr>
              <w:jc w:val="center"/>
              <w:rPr>
                <w:rFonts w:cs="Times New Roman"/>
                <w:szCs w:val="24"/>
              </w:rPr>
            </w:pPr>
            <w:r w:rsidRPr="007E253F">
              <w:rPr>
                <w:rFonts w:cs="Times New Roman"/>
                <w:szCs w:val="24"/>
              </w:rPr>
              <w:t>Alta</w:t>
            </w:r>
          </w:p>
        </w:tc>
      </w:tr>
      <w:tr w:rsidR="0077235D" w:rsidRPr="007E253F" w14:paraId="3844F6EE" w14:textId="77777777" w:rsidTr="003A4FF6">
        <w:tc>
          <w:tcPr>
            <w:tcW w:w="2267" w:type="dxa"/>
          </w:tcPr>
          <w:p w14:paraId="2CD2A1F8" w14:textId="77777777" w:rsidR="0077235D" w:rsidRPr="007E253F" w:rsidRDefault="0077235D" w:rsidP="00E8119F">
            <w:pPr>
              <w:jc w:val="center"/>
              <w:rPr>
                <w:rFonts w:cs="Times New Roman"/>
                <w:szCs w:val="24"/>
              </w:rPr>
            </w:pPr>
            <w:r w:rsidRPr="007E253F">
              <w:rPr>
                <w:rFonts w:cs="Times New Roman"/>
                <w:szCs w:val="24"/>
              </w:rPr>
              <w:t>50,1-75</w:t>
            </w:r>
          </w:p>
        </w:tc>
        <w:tc>
          <w:tcPr>
            <w:tcW w:w="1986" w:type="dxa"/>
          </w:tcPr>
          <w:p w14:paraId="279C7519" w14:textId="77777777" w:rsidR="0077235D" w:rsidRPr="007E253F" w:rsidRDefault="0077235D" w:rsidP="00E8119F">
            <w:pPr>
              <w:jc w:val="center"/>
              <w:rPr>
                <w:rFonts w:cs="Times New Roman"/>
                <w:szCs w:val="24"/>
              </w:rPr>
            </w:pPr>
            <w:r w:rsidRPr="007E253F">
              <w:rPr>
                <w:rFonts w:cs="Times New Roman"/>
                <w:szCs w:val="24"/>
              </w:rPr>
              <w:t>Rico</w:t>
            </w:r>
          </w:p>
        </w:tc>
      </w:tr>
      <w:tr w:rsidR="0077235D" w:rsidRPr="007E253F" w14:paraId="5514CE84" w14:textId="77777777" w:rsidTr="003A4FF6">
        <w:tc>
          <w:tcPr>
            <w:tcW w:w="2267" w:type="dxa"/>
          </w:tcPr>
          <w:p w14:paraId="48C1E0CD" w14:textId="77777777" w:rsidR="0077235D" w:rsidRPr="007E253F" w:rsidRDefault="0077235D" w:rsidP="00E8119F">
            <w:pPr>
              <w:jc w:val="center"/>
              <w:rPr>
                <w:rFonts w:cs="Times New Roman"/>
                <w:szCs w:val="24"/>
              </w:rPr>
            </w:pPr>
            <w:r w:rsidRPr="007E253F">
              <w:rPr>
                <w:rFonts w:cs="Times New Roman"/>
                <w:szCs w:val="24"/>
              </w:rPr>
              <w:t>˃75</w:t>
            </w:r>
          </w:p>
        </w:tc>
        <w:tc>
          <w:tcPr>
            <w:tcW w:w="1986" w:type="dxa"/>
          </w:tcPr>
          <w:p w14:paraId="50D9F83B" w14:textId="77777777" w:rsidR="0077235D" w:rsidRPr="007E253F" w:rsidRDefault="0077235D" w:rsidP="00E8119F">
            <w:pPr>
              <w:keepNext/>
              <w:jc w:val="center"/>
              <w:rPr>
                <w:rFonts w:cs="Times New Roman"/>
                <w:szCs w:val="24"/>
              </w:rPr>
            </w:pPr>
            <w:r w:rsidRPr="007E253F">
              <w:rPr>
                <w:rFonts w:cs="Times New Roman"/>
                <w:szCs w:val="24"/>
              </w:rPr>
              <w:t>Muy rico</w:t>
            </w:r>
          </w:p>
        </w:tc>
      </w:tr>
    </w:tbl>
    <w:p w14:paraId="1A438B0D" w14:textId="3E13FECF" w:rsidR="0077235D" w:rsidRPr="006247D1" w:rsidRDefault="00C26AF2" w:rsidP="00C26AF2">
      <w:pPr>
        <w:spacing w:after="0" w:line="360" w:lineRule="auto"/>
        <w:ind w:left="1416"/>
        <w:rPr>
          <w:rFonts w:cs="Times New Roman"/>
          <w:sz w:val="20"/>
          <w:szCs w:val="20"/>
        </w:rPr>
      </w:pPr>
      <w:r w:rsidRPr="006247D1">
        <w:rPr>
          <w:rFonts w:cs="Times New Roman"/>
          <w:b/>
          <w:sz w:val="20"/>
          <w:szCs w:val="20"/>
        </w:rPr>
        <w:t xml:space="preserve">       </w:t>
      </w:r>
      <w:r w:rsidR="0077235D" w:rsidRPr="006247D1">
        <w:rPr>
          <w:rFonts w:cs="Times New Roman"/>
          <w:b/>
          <w:sz w:val="20"/>
          <w:szCs w:val="20"/>
        </w:rPr>
        <w:t>Fuente:</w:t>
      </w:r>
      <w:r w:rsidR="0077235D" w:rsidRPr="006247D1">
        <w:rPr>
          <w:rFonts w:cs="Times New Roman"/>
          <w:sz w:val="20"/>
          <w:szCs w:val="20"/>
        </w:rPr>
        <w:t xml:space="preserve"> </w:t>
      </w:r>
      <w:sdt>
        <w:sdtPr>
          <w:rPr>
            <w:rFonts w:cs="Times New Roman"/>
            <w:sz w:val="20"/>
            <w:szCs w:val="20"/>
          </w:rPr>
          <w:id w:val="-1499104466"/>
          <w:citation/>
        </w:sdtPr>
        <w:sdtEndPr/>
        <w:sdtContent>
          <w:r w:rsidR="00C00522" w:rsidRPr="006247D1">
            <w:rPr>
              <w:rFonts w:cs="Times New Roman"/>
              <w:sz w:val="20"/>
              <w:szCs w:val="20"/>
            </w:rPr>
            <w:fldChar w:fldCharType="begin"/>
          </w:r>
          <w:r w:rsidR="00C00522" w:rsidRPr="006247D1">
            <w:rPr>
              <w:rFonts w:cs="Times New Roman"/>
              <w:sz w:val="20"/>
              <w:szCs w:val="20"/>
              <w:lang w:val="es-MX"/>
            </w:rPr>
            <w:instrText xml:space="preserve"> CITATION Arc05 \l 2058 </w:instrText>
          </w:r>
          <w:r w:rsidR="00C00522" w:rsidRPr="006247D1">
            <w:rPr>
              <w:rFonts w:cs="Times New Roman"/>
              <w:sz w:val="20"/>
              <w:szCs w:val="20"/>
            </w:rPr>
            <w:fldChar w:fldCharType="separate"/>
          </w:r>
          <w:r w:rsidR="005106B9" w:rsidRPr="005106B9">
            <w:rPr>
              <w:rFonts w:cs="Times New Roman"/>
              <w:noProof/>
              <w:sz w:val="20"/>
              <w:szCs w:val="20"/>
              <w:lang w:val="es-MX"/>
            </w:rPr>
            <w:t>(Arcos, 2005)</w:t>
          </w:r>
          <w:r w:rsidR="00C00522" w:rsidRPr="006247D1">
            <w:rPr>
              <w:rFonts w:cs="Times New Roman"/>
              <w:sz w:val="20"/>
              <w:szCs w:val="20"/>
            </w:rPr>
            <w:fldChar w:fldCharType="end"/>
          </w:r>
        </w:sdtContent>
      </w:sdt>
    </w:p>
    <w:p w14:paraId="5063C829" w14:textId="30A1B6DB" w:rsidR="0077235D" w:rsidRPr="007E253F" w:rsidRDefault="0077235D" w:rsidP="00135DE8">
      <w:pPr>
        <w:pStyle w:val="Ttulo3"/>
        <w:numPr>
          <w:ilvl w:val="2"/>
          <w:numId w:val="44"/>
        </w:numPr>
        <w:spacing w:before="360" w:after="360"/>
      </w:pPr>
      <w:bookmarkStart w:id="772" w:name="_Toc72741105"/>
      <w:bookmarkStart w:id="773" w:name="_Toc72741903"/>
      <w:bookmarkStart w:id="774" w:name="_Toc72742701"/>
      <w:bookmarkStart w:id="775" w:name="_Toc72881453"/>
      <w:bookmarkStart w:id="776" w:name="_Toc72882535"/>
      <w:bookmarkStart w:id="777" w:name="_Toc75608880"/>
      <w:bookmarkStart w:id="778" w:name="_Toc75611806"/>
      <w:bookmarkStart w:id="779" w:name="_Toc75612652"/>
      <w:bookmarkStart w:id="780" w:name="_Toc75679807"/>
      <w:bookmarkStart w:id="781" w:name="_Toc75702415"/>
      <w:bookmarkStart w:id="782" w:name="_Toc80312263"/>
      <w:r w:rsidRPr="007E253F">
        <w:lastRenderedPageBreak/>
        <w:t>Deficiencia de fósforo en la planta de maíz</w:t>
      </w:r>
      <w:bookmarkEnd w:id="772"/>
      <w:bookmarkEnd w:id="773"/>
      <w:bookmarkEnd w:id="774"/>
      <w:bookmarkEnd w:id="775"/>
      <w:bookmarkEnd w:id="776"/>
      <w:bookmarkEnd w:id="777"/>
      <w:bookmarkEnd w:id="778"/>
      <w:bookmarkEnd w:id="779"/>
      <w:bookmarkEnd w:id="780"/>
      <w:bookmarkEnd w:id="781"/>
      <w:bookmarkEnd w:id="782"/>
    </w:p>
    <w:p w14:paraId="1F02AEAE" w14:textId="1F404647" w:rsidR="0077235D" w:rsidRPr="007E253F" w:rsidRDefault="0077235D" w:rsidP="000E2B3A">
      <w:pPr>
        <w:spacing w:after="0" w:line="360" w:lineRule="auto"/>
        <w:rPr>
          <w:rFonts w:cs="Times New Roman"/>
          <w:szCs w:val="24"/>
        </w:rPr>
      </w:pPr>
      <w:r w:rsidRPr="007E253F">
        <w:rPr>
          <w:rFonts w:cs="Times New Roman"/>
          <w:szCs w:val="24"/>
        </w:rPr>
        <w:t xml:space="preserve">La deficiencia de fósforo en los suelos produce los siguientes síntomas en la planta: Planta atrofiada, coloraciones moradas o rojizas, floración tardía y deficiente, fallos en la fecundación, retraso en lo referente a la maduración, escaso vigor </w:t>
      </w:r>
      <w:sdt>
        <w:sdtPr>
          <w:rPr>
            <w:rFonts w:cs="Times New Roman"/>
            <w:szCs w:val="24"/>
          </w:rPr>
          <w:id w:val="2085335571"/>
          <w:citation/>
        </w:sdtPr>
        <w:sdtEndPr/>
        <w:sdtContent>
          <w:r w:rsidR="00C00522" w:rsidRPr="007E253F">
            <w:rPr>
              <w:rFonts w:cs="Times New Roman"/>
              <w:szCs w:val="24"/>
            </w:rPr>
            <w:fldChar w:fldCharType="begin"/>
          </w:r>
          <w:r w:rsidR="00C00522" w:rsidRPr="007E253F">
            <w:rPr>
              <w:rFonts w:cs="Times New Roman"/>
              <w:szCs w:val="24"/>
              <w:lang w:val="es-MX"/>
            </w:rPr>
            <w:instrText xml:space="preserve"> CITATION Ger10 \l 2058 </w:instrText>
          </w:r>
          <w:r w:rsidR="00C00522" w:rsidRPr="007E253F">
            <w:rPr>
              <w:rFonts w:cs="Times New Roman"/>
              <w:szCs w:val="24"/>
            </w:rPr>
            <w:fldChar w:fldCharType="separate"/>
          </w:r>
          <w:r w:rsidR="005106B9" w:rsidRPr="005106B9">
            <w:rPr>
              <w:rFonts w:cs="Times New Roman"/>
              <w:noProof/>
              <w:szCs w:val="24"/>
              <w:lang w:val="es-MX"/>
            </w:rPr>
            <w:t>(Germinia, 2010)</w:t>
          </w:r>
          <w:r w:rsidR="00C00522" w:rsidRPr="007E253F">
            <w:rPr>
              <w:rFonts w:cs="Times New Roman"/>
              <w:szCs w:val="24"/>
            </w:rPr>
            <w:fldChar w:fldCharType="end"/>
          </w:r>
        </w:sdtContent>
      </w:sdt>
    </w:p>
    <w:p w14:paraId="5F6E1AE4" w14:textId="5AC581C6" w:rsidR="0077235D" w:rsidRPr="007E253F" w:rsidRDefault="0077235D" w:rsidP="00135DE8">
      <w:pPr>
        <w:pStyle w:val="Ttulo2"/>
        <w:numPr>
          <w:ilvl w:val="1"/>
          <w:numId w:val="44"/>
        </w:numPr>
        <w:spacing w:before="360" w:after="360"/>
        <w:ind w:left="1077"/>
      </w:pPr>
      <w:bookmarkStart w:id="783" w:name="_Toc72741106"/>
      <w:bookmarkStart w:id="784" w:name="_Toc72741904"/>
      <w:bookmarkStart w:id="785" w:name="_Toc72742702"/>
      <w:bookmarkStart w:id="786" w:name="_Toc72881454"/>
      <w:bookmarkStart w:id="787" w:name="_Toc72882536"/>
      <w:bookmarkStart w:id="788" w:name="_Toc75608881"/>
      <w:bookmarkStart w:id="789" w:name="_Toc75611807"/>
      <w:bookmarkStart w:id="790" w:name="_Toc75612653"/>
      <w:bookmarkStart w:id="791" w:name="_Toc75679808"/>
      <w:bookmarkStart w:id="792" w:name="_Toc75702416"/>
      <w:bookmarkStart w:id="793" w:name="_Toc80312264"/>
      <w:r w:rsidRPr="007E253F">
        <w:t>Potasio (K)</w:t>
      </w:r>
      <w:bookmarkEnd w:id="783"/>
      <w:bookmarkEnd w:id="784"/>
      <w:bookmarkEnd w:id="785"/>
      <w:bookmarkEnd w:id="786"/>
      <w:bookmarkEnd w:id="787"/>
      <w:bookmarkEnd w:id="788"/>
      <w:bookmarkEnd w:id="789"/>
      <w:bookmarkEnd w:id="790"/>
      <w:bookmarkEnd w:id="791"/>
      <w:bookmarkEnd w:id="792"/>
      <w:bookmarkEnd w:id="793"/>
      <w:r w:rsidRPr="007E253F">
        <w:t xml:space="preserve"> </w:t>
      </w:r>
    </w:p>
    <w:p w14:paraId="1E0A92C5" w14:textId="3B81189E" w:rsidR="0077235D" w:rsidRPr="007E253F" w:rsidRDefault="0077235D" w:rsidP="000E2B3A">
      <w:pPr>
        <w:spacing w:after="0" w:line="360" w:lineRule="auto"/>
        <w:rPr>
          <w:rFonts w:cs="Times New Roman"/>
          <w:szCs w:val="24"/>
        </w:rPr>
      </w:pPr>
      <w:r w:rsidRPr="007E253F">
        <w:rPr>
          <w:rFonts w:cs="Times New Roman"/>
          <w:szCs w:val="24"/>
        </w:rPr>
        <w:t>El potasio es un nutriente esencial para las plantas y es requerido en grandes cantidades para el crecimiento y la reproducción de las plantas. Se considera segundo luego del nitrógeno, cuando se trata de nutrientes que necesitan las plantas y es generalmente considerado como el "nutriente de calidad". El potasio afecta la forma, tamaño, color y sabor de la planta y a otras medidas atribuidas a la calidad del producto. Las plantas absorben el potasio en su forma iónica, (K +). En la fotosíntesis, el potasio regula la apertura y cierre de las estomas, y por lo tanto regula la absorción de CO</w:t>
      </w:r>
      <w:r w:rsidRPr="00697442">
        <w:rPr>
          <w:rFonts w:cs="Times New Roman"/>
          <w:szCs w:val="24"/>
          <w:vertAlign w:val="subscript"/>
        </w:rPr>
        <w:t>2</w:t>
      </w:r>
      <w:r w:rsidRPr="007E253F">
        <w:rPr>
          <w:rFonts w:cs="Times New Roman"/>
          <w:szCs w:val="24"/>
        </w:rPr>
        <w:t>. En las plantas, el potasio desencadena la activación de enzimas y es esencial para la producción de Adenosín</w:t>
      </w:r>
      <w:r w:rsidRPr="007E253F">
        <w:rPr>
          <w:rFonts w:cs="Times New Roman"/>
          <w:color w:val="FF0000"/>
          <w:szCs w:val="24"/>
        </w:rPr>
        <w:t xml:space="preserve"> </w:t>
      </w:r>
      <w:r w:rsidRPr="007E253F">
        <w:rPr>
          <w:rFonts w:cs="Times New Roman"/>
          <w:szCs w:val="24"/>
        </w:rPr>
        <w:t xml:space="preserve">trifosfato (ATP). El ATP es una fuente de energía importante para muchos procesos químicos que tienen lugar en las células de la planta </w:t>
      </w:r>
      <w:sdt>
        <w:sdtPr>
          <w:rPr>
            <w:rFonts w:cs="Times New Roman"/>
            <w:szCs w:val="24"/>
          </w:rPr>
          <w:id w:val="-1605721016"/>
          <w:citation/>
        </w:sdtPr>
        <w:sdtEndPr/>
        <w:sdtContent>
          <w:r w:rsidR="00C00522" w:rsidRPr="007E253F">
            <w:rPr>
              <w:rFonts w:cs="Times New Roman"/>
              <w:szCs w:val="24"/>
            </w:rPr>
            <w:fldChar w:fldCharType="begin"/>
          </w:r>
          <w:r w:rsidR="00E25DF1" w:rsidRPr="007E253F">
            <w:rPr>
              <w:rFonts w:cs="Times New Roman"/>
              <w:szCs w:val="24"/>
              <w:lang w:val="es-MX"/>
            </w:rPr>
            <w:instrText xml:space="preserve">CITATION Pot11 \n  \l 2058 </w:instrText>
          </w:r>
          <w:r w:rsidR="00C00522" w:rsidRPr="007E253F">
            <w:rPr>
              <w:rFonts w:cs="Times New Roman"/>
              <w:szCs w:val="24"/>
            </w:rPr>
            <w:fldChar w:fldCharType="separate"/>
          </w:r>
          <w:r w:rsidR="005106B9" w:rsidRPr="005106B9">
            <w:rPr>
              <w:rFonts w:cs="Times New Roman"/>
              <w:noProof/>
              <w:szCs w:val="24"/>
              <w:lang w:val="es-MX"/>
            </w:rPr>
            <w:t>( Potasio en las Plantas, 2011)</w:t>
          </w:r>
          <w:r w:rsidR="00C00522" w:rsidRPr="007E253F">
            <w:rPr>
              <w:rFonts w:cs="Times New Roman"/>
              <w:szCs w:val="24"/>
            </w:rPr>
            <w:fldChar w:fldCharType="end"/>
          </w:r>
        </w:sdtContent>
      </w:sdt>
    </w:p>
    <w:p w14:paraId="0F621523" w14:textId="23B1A69D" w:rsidR="0077235D" w:rsidRPr="009A4D68" w:rsidRDefault="0077235D" w:rsidP="009A4D68">
      <w:pPr>
        <w:pStyle w:val="Ttulo3"/>
        <w:numPr>
          <w:ilvl w:val="2"/>
          <w:numId w:val="47"/>
        </w:numPr>
        <w:spacing w:before="360" w:after="360"/>
      </w:pPr>
      <w:bookmarkStart w:id="794" w:name="_Toc72741107"/>
      <w:bookmarkStart w:id="795" w:name="_Toc72741905"/>
      <w:bookmarkStart w:id="796" w:name="_Toc72742703"/>
      <w:bookmarkStart w:id="797" w:name="_Toc72881455"/>
      <w:bookmarkStart w:id="798" w:name="_Toc72882537"/>
      <w:bookmarkStart w:id="799" w:name="_Toc75608882"/>
      <w:bookmarkStart w:id="800" w:name="_Toc75611808"/>
      <w:bookmarkStart w:id="801" w:name="_Toc75612654"/>
      <w:bookmarkStart w:id="802" w:name="_Toc75679809"/>
      <w:bookmarkStart w:id="803" w:name="_Toc75702417"/>
      <w:bookmarkStart w:id="804" w:name="_Toc80312265"/>
      <w:r w:rsidRPr="009A4D68">
        <w:t>Época y forma de aplicación del potasio</w:t>
      </w:r>
      <w:bookmarkEnd w:id="794"/>
      <w:bookmarkEnd w:id="795"/>
      <w:bookmarkEnd w:id="796"/>
      <w:bookmarkEnd w:id="797"/>
      <w:bookmarkEnd w:id="798"/>
      <w:bookmarkEnd w:id="799"/>
      <w:bookmarkEnd w:id="800"/>
      <w:bookmarkEnd w:id="801"/>
      <w:bookmarkEnd w:id="802"/>
      <w:bookmarkEnd w:id="803"/>
      <w:bookmarkEnd w:id="804"/>
      <w:r w:rsidRPr="009A4D68">
        <w:t xml:space="preserve"> </w:t>
      </w:r>
      <w:r w:rsidR="00B7395A" w:rsidRPr="009A4D68">
        <w:t xml:space="preserve"> </w:t>
      </w:r>
    </w:p>
    <w:p w14:paraId="40D1A0FA" w14:textId="35DC1A51" w:rsidR="0077235D" w:rsidRPr="007E253F" w:rsidRDefault="0077235D" w:rsidP="000E2B3A">
      <w:pPr>
        <w:spacing w:after="0" w:line="360" w:lineRule="auto"/>
        <w:rPr>
          <w:rFonts w:cs="Times New Roman"/>
          <w:szCs w:val="24"/>
        </w:rPr>
      </w:pPr>
      <w:r w:rsidRPr="007E253F">
        <w:rPr>
          <w:rFonts w:cs="Times New Roman"/>
          <w:szCs w:val="24"/>
        </w:rPr>
        <w:t xml:space="preserve">En la mayoría de los cultivos anuales, incluyendo los cereales y las hortalizas, los fertilizantes potásicos deben aplicarse a la siembra o al trasplante, debido a que las plantas absorben una buena porción del potasio en las etapas tempranas del crecimiento. Sin embargo, en suelos de textura liviana (arenosos, o francos arenosos), con un alto potencial de perder potasio por lixiviación, se recomienda una aplicación fraccionada </w:t>
      </w:r>
      <w:sdt>
        <w:sdtPr>
          <w:rPr>
            <w:rFonts w:cs="Times New Roman"/>
            <w:szCs w:val="24"/>
          </w:rPr>
          <w:id w:val="2134900614"/>
          <w:citation/>
        </w:sdtPr>
        <w:sdtEndPr/>
        <w:sdtContent>
          <w:r w:rsidR="00326314" w:rsidRPr="007E253F">
            <w:rPr>
              <w:rFonts w:cs="Times New Roman"/>
              <w:szCs w:val="24"/>
            </w:rPr>
            <w:fldChar w:fldCharType="begin"/>
          </w:r>
          <w:r w:rsidR="00326314" w:rsidRPr="007E253F">
            <w:rPr>
              <w:rFonts w:cs="Times New Roman"/>
              <w:szCs w:val="24"/>
              <w:lang w:val="es-MX"/>
            </w:rPr>
            <w:instrText xml:space="preserve"> CITATION Inf12 \l 2058 </w:instrText>
          </w:r>
          <w:r w:rsidR="00326314" w:rsidRPr="007E253F">
            <w:rPr>
              <w:rFonts w:cs="Times New Roman"/>
              <w:szCs w:val="24"/>
            </w:rPr>
            <w:fldChar w:fldCharType="separate"/>
          </w:r>
          <w:r w:rsidR="005106B9" w:rsidRPr="005106B9">
            <w:rPr>
              <w:rFonts w:cs="Times New Roman"/>
              <w:noProof/>
              <w:szCs w:val="24"/>
              <w:lang w:val="es-MX"/>
            </w:rPr>
            <w:t>(Infoagro, 2012)</w:t>
          </w:r>
          <w:r w:rsidR="00326314" w:rsidRPr="007E253F">
            <w:rPr>
              <w:rFonts w:cs="Times New Roman"/>
              <w:szCs w:val="24"/>
            </w:rPr>
            <w:fldChar w:fldCharType="end"/>
          </w:r>
        </w:sdtContent>
      </w:sdt>
    </w:p>
    <w:p w14:paraId="7D37673A" w14:textId="3D191E0B" w:rsidR="0077235D" w:rsidRPr="00F67B88" w:rsidRDefault="0077235D" w:rsidP="00135DE8">
      <w:pPr>
        <w:pStyle w:val="Ttulo3"/>
        <w:numPr>
          <w:ilvl w:val="2"/>
          <w:numId w:val="44"/>
        </w:numPr>
        <w:spacing w:before="360" w:after="360"/>
      </w:pPr>
      <w:bookmarkStart w:id="805" w:name="_Toc80312266"/>
      <w:r w:rsidRPr="00F67B88">
        <w:lastRenderedPageBreak/>
        <w:t>Funciones del potasio en la planta</w:t>
      </w:r>
      <w:bookmarkEnd w:id="805"/>
    </w:p>
    <w:p w14:paraId="518008DE" w14:textId="39601E03" w:rsidR="0077235D" w:rsidRPr="007E253F" w:rsidRDefault="0077235D" w:rsidP="000E2B3A">
      <w:pPr>
        <w:spacing w:after="0" w:line="360" w:lineRule="auto"/>
        <w:rPr>
          <w:rFonts w:cs="Times New Roman"/>
          <w:szCs w:val="24"/>
        </w:rPr>
      </w:pPr>
      <w:r w:rsidRPr="007E253F">
        <w:rPr>
          <w:rFonts w:cs="Times New Roman"/>
          <w:szCs w:val="24"/>
        </w:rPr>
        <w:t xml:space="preserve">El potasio (K) es el tercer elemento más importante que requiere el cultivo de maíz para un mejor desarrollo ya que ayuda a la planta a mejorar su estructura celular, asimilación de carbono, fotosíntesis, síntesis de proteínas, formación de almidón, translocación de proteínas y azúcares, absorción de agua por las plantas y el desarrollo normal de raíces. El potasio es muy importante en el metabolismo de carbohidratos, la formación de proteínas, la promoción de desarrollo de meristemos y el ajuste del movimiento de estomas. Las plantas que crecen en condiciones deficitarias de potasio no son muy eficaces en su actividad fotosintética, son más susceptibles a las enfermedades y no son tan resistentes a la sequía como aquellas que reciben suficientes cantidades de fertilizantes potásicos </w:t>
      </w:r>
      <w:sdt>
        <w:sdtPr>
          <w:rPr>
            <w:rFonts w:cs="Times New Roman"/>
            <w:szCs w:val="24"/>
          </w:rPr>
          <w:id w:val="-1886780247"/>
          <w:citation/>
        </w:sdtPr>
        <w:sdtEndPr/>
        <w:sdtContent>
          <w:r w:rsidR="00326314" w:rsidRPr="007E253F">
            <w:rPr>
              <w:rFonts w:cs="Times New Roman"/>
              <w:szCs w:val="24"/>
            </w:rPr>
            <w:fldChar w:fldCharType="begin"/>
          </w:r>
          <w:r w:rsidR="00326314" w:rsidRPr="007E253F">
            <w:rPr>
              <w:rFonts w:cs="Times New Roman"/>
              <w:szCs w:val="24"/>
              <w:lang w:val="es-MX"/>
            </w:rPr>
            <w:instrText xml:space="preserve"> CITATION Fer11 \l 2058 </w:instrText>
          </w:r>
          <w:r w:rsidR="00326314" w:rsidRPr="007E253F">
            <w:rPr>
              <w:rFonts w:cs="Times New Roman"/>
              <w:szCs w:val="24"/>
            </w:rPr>
            <w:fldChar w:fldCharType="separate"/>
          </w:r>
          <w:r w:rsidR="005106B9" w:rsidRPr="005106B9">
            <w:rPr>
              <w:rFonts w:cs="Times New Roman"/>
              <w:noProof/>
              <w:szCs w:val="24"/>
              <w:lang w:val="es-MX"/>
            </w:rPr>
            <w:t>(Fertiquisa, 2011)</w:t>
          </w:r>
          <w:r w:rsidR="00326314" w:rsidRPr="007E253F">
            <w:rPr>
              <w:rFonts w:cs="Times New Roman"/>
              <w:szCs w:val="24"/>
            </w:rPr>
            <w:fldChar w:fldCharType="end"/>
          </w:r>
        </w:sdtContent>
      </w:sdt>
    </w:p>
    <w:p w14:paraId="4D474C27" w14:textId="09684883" w:rsidR="0077235D" w:rsidRPr="007E253F" w:rsidRDefault="0077235D" w:rsidP="00135DE8">
      <w:pPr>
        <w:pStyle w:val="Ttulo3"/>
        <w:numPr>
          <w:ilvl w:val="2"/>
          <w:numId w:val="44"/>
        </w:numPr>
        <w:spacing w:before="360" w:after="360"/>
      </w:pPr>
      <w:bookmarkStart w:id="806" w:name="_Toc72741108"/>
      <w:bookmarkStart w:id="807" w:name="_Toc72741906"/>
      <w:bookmarkStart w:id="808" w:name="_Toc72742704"/>
      <w:bookmarkStart w:id="809" w:name="_Toc72881456"/>
      <w:bookmarkStart w:id="810" w:name="_Toc72882538"/>
      <w:bookmarkStart w:id="811" w:name="_Toc75608883"/>
      <w:bookmarkStart w:id="812" w:name="_Toc75611809"/>
      <w:bookmarkStart w:id="813" w:name="_Toc75612655"/>
      <w:bookmarkStart w:id="814" w:name="_Toc75679810"/>
      <w:bookmarkStart w:id="815" w:name="_Toc75702418"/>
      <w:bookmarkStart w:id="816" w:name="_Toc80312267"/>
      <w:r w:rsidRPr="007E253F">
        <w:t>Disponibilidad de potasio en los suelos</w:t>
      </w:r>
      <w:bookmarkEnd w:id="806"/>
      <w:bookmarkEnd w:id="807"/>
      <w:bookmarkEnd w:id="808"/>
      <w:bookmarkEnd w:id="809"/>
      <w:bookmarkEnd w:id="810"/>
      <w:bookmarkEnd w:id="811"/>
      <w:bookmarkEnd w:id="812"/>
      <w:bookmarkEnd w:id="813"/>
      <w:bookmarkEnd w:id="814"/>
      <w:bookmarkEnd w:id="815"/>
      <w:bookmarkEnd w:id="816"/>
    </w:p>
    <w:p w14:paraId="43415473" w14:textId="19A85F38" w:rsidR="0077235D" w:rsidRPr="007E253F" w:rsidRDefault="0077235D" w:rsidP="000E2B3A">
      <w:pPr>
        <w:spacing w:after="0" w:line="360" w:lineRule="auto"/>
        <w:rPr>
          <w:rFonts w:cs="Times New Roman"/>
          <w:szCs w:val="24"/>
        </w:rPr>
      </w:pPr>
      <w:r w:rsidRPr="007E253F">
        <w:rPr>
          <w:rFonts w:cs="Times New Roman"/>
          <w:szCs w:val="24"/>
        </w:rPr>
        <w:t xml:space="preserve"> En contraste con el fósforo, el potasio se encuentra en altos niveles en la mayoría de los suelos minerales, excepto en suelos arenosos. No obstante, la cantidad de potasio disponible para las plantas a menudo es muy pequeña. La mayor parte de este elemento se encuentra como parte de minerales primarios o es fijado en formas que presentan poca o moderada disponibilidad para las plantas. Por lo tanto, la situación con respecto a la utilización del potasio es semejante que para el fósforo y el nitrógeno en último término. Una proporción muy grande de estos tres elementos en los suelos es insoluble y relativamente no disponible para las plantas </w:t>
      </w:r>
      <w:sdt>
        <w:sdtPr>
          <w:rPr>
            <w:rFonts w:cs="Times New Roman"/>
            <w:szCs w:val="24"/>
          </w:rPr>
          <w:id w:val="-243422628"/>
          <w:citation/>
        </w:sdtPr>
        <w:sdtEndPr/>
        <w:sdtContent>
          <w:r w:rsidR="00326314" w:rsidRPr="007E253F">
            <w:rPr>
              <w:rFonts w:cs="Times New Roman"/>
              <w:szCs w:val="24"/>
            </w:rPr>
            <w:fldChar w:fldCharType="begin"/>
          </w:r>
          <w:r w:rsidR="00326314" w:rsidRPr="007E253F">
            <w:rPr>
              <w:rFonts w:cs="Times New Roman"/>
              <w:szCs w:val="24"/>
              <w:lang w:val="es-MX"/>
            </w:rPr>
            <w:instrText xml:space="preserve"> CITATION Inf12 \l 2058 </w:instrText>
          </w:r>
          <w:r w:rsidR="00326314" w:rsidRPr="007E253F">
            <w:rPr>
              <w:rFonts w:cs="Times New Roman"/>
              <w:szCs w:val="24"/>
            </w:rPr>
            <w:fldChar w:fldCharType="separate"/>
          </w:r>
          <w:r w:rsidR="005106B9" w:rsidRPr="005106B9">
            <w:rPr>
              <w:rFonts w:cs="Times New Roman"/>
              <w:noProof/>
              <w:szCs w:val="24"/>
              <w:lang w:val="es-MX"/>
            </w:rPr>
            <w:t>(Infoagro, 2012)</w:t>
          </w:r>
          <w:r w:rsidR="00326314" w:rsidRPr="007E253F">
            <w:rPr>
              <w:rFonts w:cs="Times New Roman"/>
              <w:szCs w:val="24"/>
            </w:rPr>
            <w:fldChar w:fldCharType="end"/>
          </w:r>
        </w:sdtContent>
      </w:sdt>
      <w:r w:rsidR="00326314" w:rsidRPr="007E253F">
        <w:rPr>
          <w:rFonts w:cs="Times New Roman"/>
          <w:szCs w:val="24"/>
        </w:rPr>
        <w:t>.</w:t>
      </w:r>
    </w:p>
    <w:p w14:paraId="23D7D90B" w14:textId="75ACF63B" w:rsidR="0077235D" w:rsidRPr="007E253F" w:rsidRDefault="0077235D" w:rsidP="00135DE8">
      <w:pPr>
        <w:pStyle w:val="Ttulo3"/>
        <w:numPr>
          <w:ilvl w:val="2"/>
          <w:numId w:val="44"/>
        </w:numPr>
        <w:spacing w:before="360" w:after="360"/>
      </w:pPr>
      <w:bookmarkStart w:id="817" w:name="_Toc72741109"/>
      <w:bookmarkStart w:id="818" w:name="_Toc72741907"/>
      <w:bookmarkStart w:id="819" w:name="_Toc72742705"/>
      <w:bookmarkStart w:id="820" w:name="_Toc72881457"/>
      <w:bookmarkStart w:id="821" w:name="_Toc72882539"/>
      <w:bookmarkStart w:id="822" w:name="_Toc75608884"/>
      <w:bookmarkStart w:id="823" w:name="_Toc75611810"/>
      <w:bookmarkStart w:id="824" w:name="_Toc75612656"/>
      <w:bookmarkStart w:id="825" w:name="_Toc75679811"/>
      <w:bookmarkStart w:id="826" w:name="_Toc75702419"/>
      <w:bookmarkStart w:id="827" w:name="_Toc80312268"/>
      <w:r w:rsidRPr="007E253F">
        <w:t>Deficiencia de potasio en la planta</w:t>
      </w:r>
      <w:bookmarkEnd w:id="817"/>
      <w:bookmarkEnd w:id="818"/>
      <w:bookmarkEnd w:id="819"/>
      <w:bookmarkEnd w:id="820"/>
      <w:bookmarkEnd w:id="821"/>
      <w:bookmarkEnd w:id="822"/>
      <w:bookmarkEnd w:id="823"/>
      <w:bookmarkEnd w:id="824"/>
      <w:bookmarkEnd w:id="825"/>
      <w:bookmarkEnd w:id="826"/>
      <w:bookmarkEnd w:id="827"/>
    </w:p>
    <w:p w14:paraId="2AAE4314" w14:textId="6D083722" w:rsidR="0077235D" w:rsidRPr="007E253F" w:rsidRDefault="0077235D" w:rsidP="000E2B3A">
      <w:pPr>
        <w:spacing w:after="0" w:line="360" w:lineRule="auto"/>
        <w:rPr>
          <w:rFonts w:cs="Times New Roman"/>
          <w:szCs w:val="24"/>
        </w:rPr>
      </w:pPr>
      <w:r w:rsidRPr="007E253F">
        <w:rPr>
          <w:rFonts w:cs="Times New Roman"/>
          <w:szCs w:val="24"/>
        </w:rPr>
        <w:t xml:space="preserve">Uno de los síntomas de deficiencia más comunes es el quemado en los bordes de las hojas. En la mayoría de las plantas este quemado aparece primero en las hojas más viejas; especialmente en las gramíneas. Las deficiencias de potasio hacen que las plantas crezcan lentamente presentando un sistema radicular con desarrollo pobre, los tallos son débiles al acame de las plantas es común. Las plantas presentan una resistencia baja a las enfermedades </w:t>
      </w:r>
      <w:sdt>
        <w:sdtPr>
          <w:rPr>
            <w:rFonts w:cs="Times New Roman"/>
            <w:szCs w:val="24"/>
          </w:rPr>
          <w:id w:val="750402589"/>
          <w:citation/>
        </w:sdtPr>
        <w:sdtEndPr/>
        <w:sdtContent>
          <w:r w:rsidR="00326314" w:rsidRPr="007E253F">
            <w:rPr>
              <w:rFonts w:cs="Times New Roman"/>
              <w:szCs w:val="24"/>
            </w:rPr>
            <w:fldChar w:fldCharType="begin"/>
          </w:r>
          <w:r w:rsidR="00326314" w:rsidRPr="007E253F">
            <w:rPr>
              <w:rFonts w:cs="Times New Roman"/>
              <w:szCs w:val="24"/>
              <w:lang w:val="es-MX"/>
            </w:rPr>
            <w:instrText xml:space="preserve"> CITATION Fer11 \l 2058 </w:instrText>
          </w:r>
          <w:r w:rsidR="00326314" w:rsidRPr="007E253F">
            <w:rPr>
              <w:rFonts w:cs="Times New Roman"/>
              <w:szCs w:val="24"/>
            </w:rPr>
            <w:fldChar w:fldCharType="separate"/>
          </w:r>
          <w:r w:rsidR="005106B9" w:rsidRPr="005106B9">
            <w:rPr>
              <w:rFonts w:cs="Times New Roman"/>
              <w:noProof/>
              <w:szCs w:val="24"/>
              <w:lang w:val="es-MX"/>
            </w:rPr>
            <w:t>(Fertiquisa, 2011)</w:t>
          </w:r>
          <w:r w:rsidR="00326314" w:rsidRPr="007E253F">
            <w:rPr>
              <w:rFonts w:cs="Times New Roman"/>
              <w:szCs w:val="24"/>
            </w:rPr>
            <w:fldChar w:fldCharType="end"/>
          </w:r>
        </w:sdtContent>
      </w:sdt>
    </w:p>
    <w:p w14:paraId="6FD11ECF" w14:textId="18791591" w:rsidR="0077235D" w:rsidRPr="007E253F" w:rsidRDefault="0077235D" w:rsidP="00135DE8">
      <w:pPr>
        <w:pStyle w:val="Ttulo3"/>
        <w:numPr>
          <w:ilvl w:val="2"/>
          <w:numId w:val="45"/>
        </w:numPr>
        <w:spacing w:before="360" w:after="360"/>
      </w:pPr>
      <w:bookmarkStart w:id="828" w:name="_Toc72741110"/>
      <w:bookmarkStart w:id="829" w:name="_Toc72741908"/>
      <w:bookmarkStart w:id="830" w:name="_Toc72742706"/>
      <w:bookmarkStart w:id="831" w:name="_Toc72881458"/>
      <w:bookmarkStart w:id="832" w:name="_Toc72882540"/>
      <w:bookmarkStart w:id="833" w:name="_Toc75608885"/>
      <w:bookmarkStart w:id="834" w:name="_Toc75611811"/>
      <w:bookmarkStart w:id="835" w:name="_Toc75612657"/>
      <w:bookmarkStart w:id="836" w:name="_Toc75679812"/>
      <w:bookmarkStart w:id="837" w:name="_Toc75702420"/>
      <w:bookmarkStart w:id="838" w:name="_Toc80312269"/>
      <w:r w:rsidRPr="007E253F">
        <w:lastRenderedPageBreak/>
        <w:t>Potasio aprovechado por el maíz</w:t>
      </w:r>
      <w:bookmarkEnd w:id="828"/>
      <w:bookmarkEnd w:id="829"/>
      <w:bookmarkEnd w:id="830"/>
      <w:bookmarkEnd w:id="831"/>
      <w:bookmarkEnd w:id="832"/>
      <w:bookmarkEnd w:id="833"/>
      <w:bookmarkEnd w:id="834"/>
      <w:bookmarkEnd w:id="835"/>
      <w:bookmarkEnd w:id="836"/>
      <w:bookmarkEnd w:id="837"/>
      <w:bookmarkEnd w:id="838"/>
      <w:r w:rsidRPr="007E253F">
        <w:t xml:space="preserve"> </w:t>
      </w:r>
    </w:p>
    <w:p w14:paraId="4497D3B9" w14:textId="6BBED672" w:rsidR="0077235D" w:rsidRPr="007E253F" w:rsidRDefault="0077235D" w:rsidP="000E2B3A">
      <w:pPr>
        <w:spacing w:after="0" w:line="360" w:lineRule="auto"/>
        <w:rPr>
          <w:rFonts w:cs="Times New Roman"/>
          <w:szCs w:val="24"/>
        </w:rPr>
      </w:pPr>
      <w:r w:rsidRPr="007E253F">
        <w:rPr>
          <w:rFonts w:cs="Times New Roman"/>
          <w:szCs w:val="24"/>
        </w:rPr>
        <w:t>La tasa de acumulación de K</w:t>
      </w:r>
      <w:r w:rsidRPr="00697442">
        <w:rPr>
          <w:rFonts w:cs="Times New Roman"/>
          <w:szCs w:val="24"/>
          <w:vertAlign w:val="subscript"/>
        </w:rPr>
        <w:t>2</w:t>
      </w:r>
      <w:r w:rsidRPr="007E253F">
        <w:rPr>
          <w:rFonts w:cs="Times New Roman"/>
          <w:szCs w:val="24"/>
        </w:rPr>
        <w:t>O durante los primeros 30 días de crecimiento del cultivo de maíz excede al nitrógeno y fósforo, lo que sugiere un mayor requerimiento de K</w:t>
      </w:r>
      <w:r w:rsidRPr="00697442">
        <w:rPr>
          <w:rFonts w:cs="Times New Roman"/>
          <w:szCs w:val="24"/>
          <w:vertAlign w:val="subscript"/>
        </w:rPr>
        <w:t>2</w:t>
      </w:r>
      <w:r w:rsidRPr="007E253F">
        <w:rPr>
          <w:rFonts w:cs="Times New Roman"/>
          <w:szCs w:val="24"/>
        </w:rPr>
        <w:t>O que de nitrógeno y fósforo como un elemento iniciador. En el maíz, las tasas de absorción de nitrógeno y fósforo se alcanzan 28 días después de la germinación. Durante el período de un mes empezando dos semanas antes y después de la floración, la tasa diaria de absorción es de 4 kg /ha de K</w:t>
      </w:r>
      <w:r w:rsidRPr="00187241">
        <w:rPr>
          <w:rFonts w:cs="Times New Roman"/>
          <w:szCs w:val="24"/>
          <w:vertAlign w:val="subscript"/>
        </w:rPr>
        <w:t>2</w:t>
      </w:r>
      <w:r w:rsidRPr="007E253F">
        <w:rPr>
          <w:rFonts w:cs="Times New Roman"/>
          <w:szCs w:val="24"/>
        </w:rPr>
        <w:t>O, puede alcanzar hasta 7.3 kg de K</w:t>
      </w:r>
      <w:r w:rsidRPr="00187241">
        <w:rPr>
          <w:rFonts w:cs="Times New Roman"/>
          <w:szCs w:val="24"/>
          <w:vertAlign w:val="subscript"/>
        </w:rPr>
        <w:t>2</w:t>
      </w:r>
      <w:r w:rsidRPr="007E253F">
        <w:rPr>
          <w:rFonts w:cs="Times New Roman"/>
          <w:szCs w:val="24"/>
        </w:rPr>
        <w:t xml:space="preserve">O por ha. Durante un periodo de un mes desde antes del jiloteo hasta llegar a la madurez, el aumento en la absorción de Potasio sigue un patrón lineal; antes del jiloteo la tasa relativa de absorción de Potasio fue mayor que el aumento relativo de la materia seca. Para el momento del jiloteo la planta ha acumulado un 90% del total de Potasio a absorber. El aumento en la tasa relativa de absorción de </w:t>
      </w:r>
      <w:r w:rsidRPr="009A4D68">
        <w:rPr>
          <w:rFonts w:cs="Times New Roman"/>
          <w:szCs w:val="24"/>
        </w:rPr>
        <w:t>K</w:t>
      </w:r>
      <w:r w:rsidR="009A4D68" w:rsidRPr="00187241">
        <w:rPr>
          <w:rFonts w:cs="Times New Roman"/>
          <w:szCs w:val="24"/>
          <w:vertAlign w:val="subscript"/>
        </w:rPr>
        <w:t>2</w:t>
      </w:r>
      <w:r w:rsidRPr="009A4D68">
        <w:rPr>
          <w:rFonts w:cs="Times New Roman"/>
          <w:szCs w:val="24"/>
        </w:rPr>
        <w:t>O</w:t>
      </w:r>
      <w:r w:rsidRPr="007E253F">
        <w:rPr>
          <w:rFonts w:cs="Times New Roman"/>
          <w:szCs w:val="24"/>
        </w:rPr>
        <w:t xml:space="preserve"> prácticamente termina alrededor de 10 a 15 días después del jiloteo </w:t>
      </w:r>
      <w:sdt>
        <w:sdtPr>
          <w:rPr>
            <w:rFonts w:cs="Times New Roman"/>
            <w:szCs w:val="24"/>
          </w:rPr>
          <w:id w:val="1586797796"/>
          <w:citation/>
        </w:sdtPr>
        <w:sdtEndPr/>
        <w:sdtContent>
          <w:r w:rsidR="00326314" w:rsidRPr="007E253F">
            <w:rPr>
              <w:rFonts w:cs="Times New Roman"/>
              <w:szCs w:val="24"/>
            </w:rPr>
            <w:fldChar w:fldCharType="begin"/>
          </w:r>
          <w:r w:rsidR="00326314" w:rsidRPr="007E253F">
            <w:rPr>
              <w:rFonts w:cs="Times New Roman"/>
              <w:szCs w:val="24"/>
              <w:lang w:val="es-MX"/>
            </w:rPr>
            <w:instrText xml:space="preserve"> CITATION Rod92 \l 2058 </w:instrText>
          </w:r>
          <w:r w:rsidR="00326314" w:rsidRPr="007E253F">
            <w:rPr>
              <w:rFonts w:cs="Times New Roman"/>
              <w:szCs w:val="24"/>
            </w:rPr>
            <w:fldChar w:fldCharType="separate"/>
          </w:r>
          <w:r w:rsidR="005106B9" w:rsidRPr="005106B9">
            <w:rPr>
              <w:rFonts w:cs="Times New Roman"/>
              <w:noProof/>
              <w:szCs w:val="24"/>
              <w:lang w:val="es-MX"/>
            </w:rPr>
            <w:t>(Rodríguez, 1992)</w:t>
          </w:r>
          <w:r w:rsidR="00326314" w:rsidRPr="007E253F">
            <w:rPr>
              <w:rFonts w:cs="Times New Roman"/>
              <w:szCs w:val="24"/>
            </w:rPr>
            <w:fldChar w:fldCharType="end"/>
          </w:r>
        </w:sdtContent>
      </w:sdt>
    </w:p>
    <w:p w14:paraId="5FD8962A" w14:textId="77908244" w:rsidR="0077235D" w:rsidRPr="007E253F" w:rsidRDefault="0077235D" w:rsidP="00135DE8">
      <w:pPr>
        <w:pStyle w:val="Ttulo3"/>
        <w:numPr>
          <w:ilvl w:val="2"/>
          <w:numId w:val="45"/>
        </w:numPr>
        <w:spacing w:before="360" w:after="360"/>
      </w:pPr>
      <w:bookmarkStart w:id="839" w:name="_Toc72741111"/>
      <w:bookmarkStart w:id="840" w:name="_Toc72741909"/>
      <w:bookmarkStart w:id="841" w:name="_Toc72742707"/>
      <w:bookmarkStart w:id="842" w:name="_Toc72881459"/>
      <w:bookmarkStart w:id="843" w:name="_Toc72882541"/>
      <w:bookmarkStart w:id="844" w:name="_Toc75608886"/>
      <w:bookmarkStart w:id="845" w:name="_Toc75611812"/>
      <w:bookmarkStart w:id="846" w:name="_Toc75612658"/>
      <w:bookmarkStart w:id="847" w:name="_Toc75679813"/>
      <w:bookmarkStart w:id="848" w:name="_Toc75702421"/>
      <w:bookmarkStart w:id="849" w:name="_Toc80312270"/>
      <w:r w:rsidRPr="007E253F">
        <w:t>Formas del potasio en el suelo</w:t>
      </w:r>
      <w:bookmarkEnd w:id="839"/>
      <w:bookmarkEnd w:id="840"/>
      <w:bookmarkEnd w:id="841"/>
      <w:bookmarkEnd w:id="842"/>
      <w:bookmarkEnd w:id="843"/>
      <w:bookmarkEnd w:id="844"/>
      <w:bookmarkEnd w:id="845"/>
      <w:bookmarkEnd w:id="846"/>
      <w:bookmarkEnd w:id="847"/>
      <w:bookmarkEnd w:id="848"/>
      <w:bookmarkEnd w:id="849"/>
    </w:p>
    <w:p w14:paraId="5D346663" w14:textId="12B13604" w:rsidR="0077235D" w:rsidRPr="007E253F" w:rsidRDefault="0077235D" w:rsidP="000E2B3A">
      <w:pPr>
        <w:spacing w:after="0" w:line="360" w:lineRule="auto"/>
        <w:rPr>
          <w:rFonts w:cs="Times New Roman"/>
          <w:szCs w:val="24"/>
        </w:rPr>
      </w:pPr>
      <w:r w:rsidRPr="007E253F">
        <w:rPr>
          <w:rFonts w:cs="Times New Roman"/>
          <w:szCs w:val="24"/>
        </w:rPr>
        <w:t xml:space="preserve"> El potasio existe en el suelo en cuatro formas:</w:t>
      </w:r>
    </w:p>
    <w:p w14:paraId="3E48C84B" w14:textId="77777777" w:rsidR="0077235D" w:rsidRPr="007E253F" w:rsidRDefault="0077235D" w:rsidP="00135DE8">
      <w:pPr>
        <w:pStyle w:val="Prrafodelista"/>
        <w:numPr>
          <w:ilvl w:val="1"/>
          <w:numId w:val="10"/>
        </w:numPr>
        <w:spacing w:after="0" w:line="360" w:lineRule="auto"/>
        <w:rPr>
          <w:rFonts w:cs="Times New Roman"/>
          <w:szCs w:val="24"/>
        </w:rPr>
      </w:pPr>
      <w:r w:rsidRPr="007E253F">
        <w:rPr>
          <w:rFonts w:cs="Times New Roman"/>
          <w:szCs w:val="24"/>
        </w:rPr>
        <w:t xml:space="preserve">Como catión K+ en la solución del suelo. </w:t>
      </w:r>
    </w:p>
    <w:p w14:paraId="0938C768" w14:textId="77777777" w:rsidR="0077235D" w:rsidRPr="007E253F" w:rsidRDefault="0077235D" w:rsidP="00135DE8">
      <w:pPr>
        <w:pStyle w:val="Prrafodelista"/>
        <w:numPr>
          <w:ilvl w:val="1"/>
          <w:numId w:val="10"/>
        </w:numPr>
        <w:spacing w:after="0" w:line="360" w:lineRule="auto"/>
        <w:rPr>
          <w:rFonts w:cs="Times New Roman"/>
          <w:szCs w:val="24"/>
        </w:rPr>
      </w:pPr>
      <w:r w:rsidRPr="007E253F">
        <w:rPr>
          <w:rFonts w:cs="Times New Roman"/>
          <w:szCs w:val="24"/>
        </w:rPr>
        <w:t xml:space="preserve">Como K+ intercambiable en los coloides del suelo. </w:t>
      </w:r>
    </w:p>
    <w:p w14:paraId="6246924F" w14:textId="77777777" w:rsidR="0077235D" w:rsidRPr="007E253F" w:rsidRDefault="0077235D" w:rsidP="00135DE8">
      <w:pPr>
        <w:pStyle w:val="Prrafodelista"/>
        <w:numPr>
          <w:ilvl w:val="1"/>
          <w:numId w:val="10"/>
        </w:numPr>
        <w:spacing w:after="0" w:line="360" w:lineRule="auto"/>
        <w:rPr>
          <w:rFonts w:cs="Times New Roman"/>
          <w:szCs w:val="24"/>
        </w:rPr>
      </w:pPr>
      <w:r w:rsidRPr="007E253F">
        <w:rPr>
          <w:rFonts w:cs="Times New Roman"/>
          <w:szCs w:val="24"/>
        </w:rPr>
        <w:t xml:space="preserve">Fijado en las arcillas. </w:t>
      </w:r>
    </w:p>
    <w:p w14:paraId="650D0A53" w14:textId="41CA9B1B" w:rsidR="00F67B88" w:rsidRPr="00C26AF2" w:rsidRDefault="0077235D" w:rsidP="00135DE8">
      <w:pPr>
        <w:pStyle w:val="Prrafodelista"/>
        <w:numPr>
          <w:ilvl w:val="1"/>
          <w:numId w:val="10"/>
        </w:numPr>
        <w:spacing w:after="0" w:line="360" w:lineRule="auto"/>
        <w:rPr>
          <w:rFonts w:cs="Times New Roman"/>
          <w:szCs w:val="24"/>
        </w:rPr>
      </w:pPr>
      <w:r w:rsidRPr="007E253F">
        <w:rPr>
          <w:rFonts w:cs="Times New Roman"/>
          <w:szCs w:val="24"/>
        </w:rPr>
        <w:t xml:space="preserve">Como un componente en minerales potásicos </w:t>
      </w:r>
      <w:sdt>
        <w:sdtPr>
          <w:rPr>
            <w:rFonts w:cs="Times New Roman"/>
            <w:szCs w:val="24"/>
          </w:rPr>
          <w:id w:val="-2021620758"/>
          <w:citation/>
        </w:sdtPr>
        <w:sdtEndPr/>
        <w:sdtContent>
          <w:r w:rsidR="008B5DE4" w:rsidRPr="007E253F">
            <w:rPr>
              <w:rFonts w:cs="Times New Roman"/>
              <w:szCs w:val="24"/>
            </w:rPr>
            <w:fldChar w:fldCharType="begin"/>
          </w:r>
          <w:r w:rsidR="008B5DE4" w:rsidRPr="007E253F">
            <w:rPr>
              <w:rFonts w:cs="Times New Roman"/>
              <w:szCs w:val="24"/>
              <w:lang w:val="es-MX"/>
            </w:rPr>
            <w:instrText xml:space="preserve"> CITATION Inf12 \l 2058 </w:instrText>
          </w:r>
          <w:r w:rsidR="008B5DE4" w:rsidRPr="007E253F">
            <w:rPr>
              <w:rFonts w:cs="Times New Roman"/>
              <w:szCs w:val="24"/>
            </w:rPr>
            <w:fldChar w:fldCharType="separate"/>
          </w:r>
          <w:r w:rsidR="005106B9" w:rsidRPr="005106B9">
            <w:rPr>
              <w:rFonts w:cs="Times New Roman"/>
              <w:noProof/>
              <w:szCs w:val="24"/>
              <w:lang w:val="es-MX"/>
            </w:rPr>
            <w:t>(Infoagro, 2012)</w:t>
          </w:r>
          <w:r w:rsidR="008B5DE4" w:rsidRPr="007E253F">
            <w:rPr>
              <w:rFonts w:cs="Times New Roman"/>
              <w:szCs w:val="24"/>
            </w:rPr>
            <w:fldChar w:fldCharType="end"/>
          </w:r>
        </w:sdtContent>
      </w:sdt>
      <w:bookmarkStart w:id="850" w:name="_Toc72741112"/>
      <w:bookmarkStart w:id="851" w:name="_Toc72741910"/>
      <w:bookmarkStart w:id="852" w:name="_Toc72742708"/>
      <w:bookmarkStart w:id="853" w:name="_Toc72881460"/>
      <w:bookmarkStart w:id="854" w:name="_Toc72882542"/>
      <w:bookmarkStart w:id="855" w:name="_Toc75608887"/>
      <w:bookmarkStart w:id="856" w:name="_Toc75611813"/>
      <w:bookmarkStart w:id="857" w:name="_Toc75612659"/>
      <w:bookmarkStart w:id="858" w:name="_Toc75679814"/>
      <w:bookmarkStart w:id="859" w:name="_Toc75702422"/>
    </w:p>
    <w:p w14:paraId="5A078B9E" w14:textId="15CB4674" w:rsidR="0077235D" w:rsidRPr="007E253F" w:rsidRDefault="0077235D" w:rsidP="00135DE8">
      <w:pPr>
        <w:pStyle w:val="Ttulo3"/>
        <w:numPr>
          <w:ilvl w:val="2"/>
          <w:numId w:val="45"/>
        </w:numPr>
        <w:spacing w:before="360" w:after="360"/>
      </w:pPr>
      <w:bookmarkStart w:id="860" w:name="_Toc80312271"/>
      <w:r w:rsidRPr="007E253F">
        <w:t xml:space="preserve">Absorción de </w:t>
      </w:r>
      <w:r w:rsidR="00187241">
        <w:t>p</w:t>
      </w:r>
      <w:r w:rsidRPr="007E253F">
        <w:t>otasio por las plantas</w:t>
      </w:r>
      <w:bookmarkEnd w:id="850"/>
      <w:bookmarkEnd w:id="851"/>
      <w:bookmarkEnd w:id="852"/>
      <w:bookmarkEnd w:id="853"/>
      <w:bookmarkEnd w:id="854"/>
      <w:bookmarkEnd w:id="855"/>
      <w:bookmarkEnd w:id="856"/>
      <w:bookmarkEnd w:id="857"/>
      <w:bookmarkEnd w:id="858"/>
      <w:bookmarkEnd w:id="859"/>
      <w:bookmarkEnd w:id="860"/>
    </w:p>
    <w:p w14:paraId="6E8406FC" w14:textId="46EB64CB" w:rsidR="0077235D" w:rsidRPr="007E253F" w:rsidRDefault="0077235D" w:rsidP="000E2B3A">
      <w:pPr>
        <w:spacing w:after="0" w:line="360" w:lineRule="auto"/>
        <w:rPr>
          <w:rFonts w:cs="Times New Roman"/>
          <w:szCs w:val="24"/>
        </w:rPr>
      </w:pPr>
      <w:r w:rsidRPr="007E253F">
        <w:rPr>
          <w:rFonts w:cs="Times New Roman"/>
          <w:szCs w:val="24"/>
        </w:rPr>
        <w:t xml:space="preserve">El potasio se absorbe durante las etapas tempranas del crecimiento en los cultivos de grano, mucho más que el nitrógeno o el fósforo. Al momento en que un cultivo de maíz acumuló el 50 % del total de la biomasa, se habrá absorbido el 68, 56 y 95 % del N, P y K respectivamente. Los requerimientos de potasio necesarios para alcanzar un óptimo crecimiento cambian con las etapas de desarrollo. Las frutas y hojas verdes contienen generalmente niveles más altos de K en sus primeros </w:t>
      </w:r>
      <w:r w:rsidRPr="007E253F">
        <w:rPr>
          <w:rFonts w:cs="Times New Roman"/>
          <w:szCs w:val="24"/>
        </w:rPr>
        <w:lastRenderedPageBreak/>
        <w:t xml:space="preserve">estadios. La absorción de potasio precede generalmente a la producción de materia seca </w:t>
      </w:r>
      <w:sdt>
        <w:sdtPr>
          <w:rPr>
            <w:rFonts w:cs="Times New Roman"/>
            <w:szCs w:val="24"/>
          </w:rPr>
          <w:id w:val="-1422943007"/>
          <w:citation/>
        </w:sdtPr>
        <w:sdtEndPr/>
        <w:sdtContent>
          <w:r w:rsidR="00DD798F" w:rsidRPr="007E253F">
            <w:rPr>
              <w:rFonts w:cs="Times New Roman"/>
              <w:szCs w:val="24"/>
            </w:rPr>
            <w:fldChar w:fldCharType="begin"/>
          </w:r>
          <w:r w:rsidR="00DD798F" w:rsidRPr="007E253F">
            <w:rPr>
              <w:rFonts w:cs="Times New Roman"/>
              <w:szCs w:val="24"/>
              <w:lang w:val="es-MX"/>
            </w:rPr>
            <w:instrText xml:space="preserve"> CITATION INP00 \l 2058 </w:instrText>
          </w:r>
          <w:r w:rsidR="00DD798F" w:rsidRPr="007E253F">
            <w:rPr>
              <w:rFonts w:cs="Times New Roman"/>
              <w:szCs w:val="24"/>
            </w:rPr>
            <w:fldChar w:fldCharType="separate"/>
          </w:r>
          <w:r w:rsidR="005106B9" w:rsidRPr="005106B9">
            <w:rPr>
              <w:rFonts w:cs="Times New Roman"/>
              <w:noProof/>
              <w:szCs w:val="24"/>
              <w:lang w:val="es-MX"/>
            </w:rPr>
            <w:t>(INPOFOS, 2000)</w:t>
          </w:r>
          <w:r w:rsidR="00DD798F" w:rsidRPr="007E253F">
            <w:rPr>
              <w:rFonts w:cs="Times New Roman"/>
              <w:szCs w:val="24"/>
            </w:rPr>
            <w:fldChar w:fldCharType="end"/>
          </w:r>
        </w:sdtContent>
      </w:sdt>
    </w:p>
    <w:p w14:paraId="3B5B9EAD" w14:textId="6E98C32C" w:rsidR="0077235D" w:rsidRPr="007E253F" w:rsidRDefault="0077235D" w:rsidP="00185396">
      <w:pPr>
        <w:pStyle w:val="Ttulo3"/>
        <w:numPr>
          <w:ilvl w:val="2"/>
          <w:numId w:val="45"/>
        </w:numPr>
        <w:spacing w:before="360" w:after="360"/>
      </w:pPr>
      <w:bookmarkStart w:id="861" w:name="_Toc72741113"/>
      <w:bookmarkStart w:id="862" w:name="_Toc72741911"/>
      <w:bookmarkStart w:id="863" w:name="_Toc72742709"/>
      <w:bookmarkStart w:id="864" w:name="_Toc72881461"/>
      <w:bookmarkStart w:id="865" w:name="_Toc72882543"/>
      <w:bookmarkStart w:id="866" w:name="_Toc75608888"/>
      <w:bookmarkStart w:id="867" w:name="_Toc75611814"/>
      <w:bookmarkStart w:id="868" w:name="_Toc75612660"/>
      <w:bookmarkStart w:id="869" w:name="_Toc75679815"/>
      <w:bookmarkStart w:id="870" w:name="_Toc75702423"/>
      <w:bookmarkStart w:id="871" w:name="_Toc80312272"/>
      <w:r w:rsidRPr="007E253F">
        <w:t>Movimiento del potasio en el suelo</w:t>
      </w:r>
      <w:bookmarkEnd w:id="861"/>
      <w:bookmarkEnd w:id="862"/>
      <w:bookmarkEnd w:id="863"/>
      <w:bookmarkEnd w:id="864"/>
      <w:bookmarkEnd w:id="865"/>
      <w:bookmarkEnd w:id="866"/>
      <w:bookmarkEnd w:id="867"/>
      <w:bookmarkEnd w:id="868"/>
      <w:bookmarkEnd w:id="869"/>
      <w:bookmarkEnd w:id="870"/>
      <w:bookmarkEnd w:id="871"/>
      <w:r w:rsidRPr="007E253F">
        <w:t xml:space="preserve"> </w:t>
      </w:r>
    </w:p>
    <w:p w14:paraId="59085B30" w14:textId="67A77BAA" w:rsidR="0077235D" w:rsidRPr="007E253F" w:rsidRDefault="0077235D" w:rsidP="000E2B3A">
      <w:pPr>
        <w:spacing w:after="0" w:line="360" w:lineRule="auto"/>
        <w:rPr>
          <w:rFonts w:cs="Times New Roman"/>
          <w:szCs w:val="24"/>
        </w:rPr>
      </w:pPr>
      <w:r w:rsidRPr="007E253F">
        <w:rPr>
          <w:rFonts w:cs="Times New Roman"/>
          <w:szCs w:val="24"/>
        </w:rPr>
        <w:t>El potasio no se mueve mucho en el suelo, a diferencia de otros nutrientes, el potasio tiende a permanecer en el lugar donde se coloca el fertilizante. Si el potasio llega a moverse lo hace por difusión, lento y a corta distancia en las películas de agua que rodean las partículas de suelo. Las condiciones de sequía hacen a este movimiento aún más lento.</w:t>
      </w:r>
      <w:sdt>
        <w:sdtPr>
          <w:rPr>
            <w:rFonts w:cs="Times New Roman"/>
            <w:szCs w:val="24"/>
          </w:rPr>
          <w:id w:val="822078951"/>
          <w:citation/>
        </w:sdtPr>
        <w:sdtEndPr/>
        <w:sdtContent>
          <w:r w:rsidR="00DD798F" w:rsidRPr="007E253F">
            <w:rPr>
              <w:rFonts w:cs="Times New Roman"/>
              <w:szCs w:val="24"/>
            </w:rPr>
            <w:fldChar w:fldCharType="begin"/>
          </w:r>
          <w:r w:rsidR="00DD798F" w:rsidRPr="007E253F">
            <w:rPr>
              <w:rFonts w:cs="Times New Roman"/>
              <w:szCs w:val="24"/>
              <w:lang w:val="es-MX"/>
            </w:rPr>
            <w:instrText xml:space="preserve"> CITATION INP00 \l 2058 </w:instrText>
          </w:r>
          <w:r w:rsidR="00DD798F" w:rsidRPr="007E253F">
            <w:rPr>
              <w:rFonts w:cs="Times New Roman"/>
              <w:szCs w:val="24"/>
            </w:rPr>
            <w:fldChar w:fldCharType="separate"/>
          </w:r>
          <w:r w:rsidR="005106B9">
            <w:rPr>
              <w:rFonts w:cs="Times New Roman"/>
              <w:noProof/>
              <w:szCs w:val="24"/>
              <w:lang w:val="es-MX"/>
            </w:rPr>
            <w:t xml:space="preserve"> </w:t>
          </w:r>
          <w:r w:rsidR="005106B9" w:rsidRPr="005106B9">
            <w:rPr>
              <w:rFonts w:cs="Times New Roman"/>
              <w:noProof/>
              <w:szCs w:val="24"/>
              <w:lang w:val="es-MX"/>
            </w:rPr>
            <w:t>(INPOFOS, 2000)</w:t>
          </w:r>
          <w:r w:rsidR="00DD798F" w:rsidRPr="007E253F">
            <w:rPr>
              <w:rFonts w:cs="Times New Roman"/>
              <w:szCs w:val="24"/>
            </w:rPr>
            <w:fldChar w:fldCharType="end"/>
          </w:r>
        </w:sdtContent>
      </w:sdt>
    </w:p>
    <w:p w14:paraId="6449B5BF" w14:textId="1121389B" w:rsidR="0077235D" w:rsidRPr="007E253F" w:rsidRDefault="0077235D" w:rsidP="00135DE8">
      <w:pPr>
        <w:pStyle w:val="Ttulo3"/>
        <w:numPr>
          <w:ilvl w:val="2"/>
          <w:numId w:val="46"/>
        </w:numPr>
        <w:spacing w:before="360" w:after="360"/>
      </w:pPr>
      <w:bookmarkStart w:id="872" w:name="_Toc72741114"/>
      <w:bookmarkStart w:id="873" w:name="_Toc72741912"/>
      <w:bookmarkStart w:id="874" w:name="_Toc72742710"/>
      <w:bookmarkStart w:id="875" w:name="_Toc72881462"/>
      <w:bookmarkStart w:id="876" w:name="_Toc72882544"/>
      <w:bookmarkStart w:id="877" w:name="_Toc75608889"/>
      <w:bookmarkStart w:id="878" w:name="_Toc75611815"/>
      <w:bookmarkStart w:id="879" w:name="_Toc75612661"/>
      <w:bookmarkStart w:id="880" w:name="_Toc75679816"/>
      <w:bookmarkStart w:id="881" w:name="_Toc75702424"/>
      <w:bookmarkStart w:id="882" w:name="_Toc80312273"/>
      <w:r w:rsidRPr="007E253F">
        <w:t>Factores que afectan el equilibrio del potasio en el suelo</w:t>
      </w:r>
      <w:bookmarkEnd w:id="872"/>
      <w:bookmarkEnd w:id="873"/>
      <w:bookmarkEnd w:id="874"/>
      <w:bookmarkEnd w:id="875"/>
      <w:bookmarkEnd w:id="876"/>
      <w:bookmarkEnd w:id="877"/>
      <w:bookmarkEnd w:id="878"/>
      <w:bookmarkEnd w:id="879"/>
      <w:bookmarkEnd w:id="880"/>
      <w:bookmarkEnd w:id="881"/>
      <w:bookmarkEnd w:id="882"/>
    </w:p>
    <w:p w14:paraId="7ACE44A3" w14:textId="77777777" w:rsidR="0077235D" w:rsidRPr="007E253F" w:rsidRDefault="0077235D" w:rsidP="00135DE8">
      <w:pPr>
        <w:pStyle w:val="Prrafodelista"/>
        <w:numPr>
          <w:ilvl w:val="0"/>
          <w:numId w:val="11"/>
        </w:numPr>
        <w:spacing w:before="360" w:after="360" w:line="360" w:lineRule="auto"/>
        <w:ind w:left="714" w:hanging="357"/>
        <w:rPr>
          <w:rFonts w:cs="Times New Roman"/>
          <w:b/>
          <w:bCs/>
          <w:szCs w:val="24"/>
        </w:rPr>
      </w:pPr>
      <w:r w:rsidRPr="007E253F">
        <w:rPr>
          <w:rFonts w:cs="Times New Roman"/>
          <w:b/>
          <w:bCs/>
          <w:szCs w:val="24"/>
        </w:rPr>
        <w:t>Tipo de coloide</w:t>
      </w:r>
    </w:p>
    <w:p w14:paraId="763E9549" w14:textId="188CB84E" w:rsidR="0077235D" w:rsidRPr="007E253F" w:rsidRDefault="0077235D" w:rsidP="000E2B3A">
      <w:pPr>
        <w:spacing w:after="0" w:line="360" w:lineRule="auto"/>
        <w:rPr>
          <w:rFonts w:cs="Times New Roman"/>
          <w:szCs w:val="24"/>
        </w:rPr>
      </w:pPr>
      <w:r w:rsidRPr="007E253F">
        <w:rPr>
          <w:rFonts w:cs="Times New Roman"/>
          <w:szCs w:val="24"/>
        </w:rPr>
        <w:t xml:space="preserve">Los coloides del suelo tienen cargas negativas y atraen los cationes, como es el K+ Los coloides del suelo repelen los aniones, como son los nitratos. De modo que los cationes son retenidos en forma intercambiable </w:t>
      </w:r>
      <w:sdt>
        <w:sdtPr>
          <w:rPr>
            <w:rFonts w:cs="Times New Roman"/>
            <w:szCs w:val="24"/>
          </w:rPr>
          <w:id w:val="1510789388"/>
          <w:citation/>
        </w:sdtPr>
        <w:sdtEndPr/>
        <w:sdtContent>
          <w:r w:rsidR="00DD798F" w:rsidRPr="007E253F">
            <w:rPr>
              <w:rFonts w:cs="Times New Roman"/>
              <w:szCs w:val="24"/>
            </w:rPr>
            <w:fldChar w:fldCharType="begin"/>
          </w:r>
          <w:r w:rsidR="00DD798F" w:rsidRPr="007E253F">
            <w:rPr>
              <w:rFonts w:cs="Times New Roman"/>
              <w:szCs w:val="24"/>
              <w:lang w:val="es-MX"/>
            </w:rPr>
            <w:instrText xml:space="preserve"> CITATION INP00 \l 2058 </w:instrText>
          </w:r>
          <w:r w:rsidR="00DD798F" w:rsidRPr="007E253F">
            <w:rPr>
              <w:rFonts w:cs="Times New Roman"/>
              <w:szCs w:val="24"/>
            </w:rPr>
            <w:fldChar w:fldCharType="separate"/>
          </w:r>
          <w:r w:rsidR="005106B9" w:rsidRPr="005106B9">
            <w:rPr>
              <w:rFonts w:cs="Times New Roman"/>
              <w:noProof/>
              <w:szCs w:val="24"/>
              <w:lang w:val="es-MX"/>
            </w:rPr>
            <w:t>(INPOFOS, 2000)</w:t>
          </w:r>
          <w:r w:rsidR="00DD798F" w:rsidRPr="007E253F">
            <w:rPr>
              <w:rFonts w:cs="Times New Roman"/>
              <w:szCs w:val="24"/>
            </w:rPr>
            <w:fldChar w:fldCharType="end"/>
          </w:r>
        </w:sdtContent>
      </w:sdt>
    </w:p>
    <w:p w14:paraId="37FA883B" w14:textId="77777777" w:rsidR="0077235D" w:rsidRPr="007E253F" w:rsidRDefault="0077235D" w:rsidP="00135DE8">
      <w:pPr>
        <w:pStyle w:val="Prrafodelista"/>
        <w:numPr>
          <w:ilvl w:val="0"/>
          <w:numId w:val="11"/>
        </w:numPr>
        <w:spacing w:before="360" w:after="360" w:line="360" w:lineRule="auto"/>
        <w:ind w:left="714" w:hanging="357"/>
        <w:rPr>
          <w:rFonts w:cs="Times New Roman"/>
          <w:szCs w:val="24"/>
        </w:rPr>
      </w:pPr>
      <w:r w:rsidRPr="007E253F">
        <w:rPr>
          <w:rFonts w:cs="Times New Roman"/>
          <w:b/>
          <w:bCs/>
          <w:szCs w:val="24"/>
        </w:rPr>
        <w:t>Temperatura</w:t>
      </w:r>
    </w:p>
    <w:p w14:paraId="5B42A47E" w14:textId="30FD1696" w:rsidR="005443DD" w:rsidRPr="007E253F" w:rsidRDefault="0077235D" w:rsidP="000E2B3A">
      <w:pPr>
        <w:spacing w:after="0" w:line="360" w:lineRule="auto"/>
        <w:rPr>
          <w:rFonts w:cs="Times New Roman"/>
          <w:szCs w:val="24"/>
        </w:rPr>
      </w:pPr>
      <w:r w:rsidRPr="007E253F">
        <w:rPr>
          <w:rFonts w:cs="Times New Roman"/>
          <w:szCs w:val="24"/>
        </w:rPr>
        <w:t xml:space="preserve">El efecto de la temperatura sobre el equilibrio del potasio en los suelos no ha sido demasiado estudiado. Sin embargo, los suelos que sufren un aumento en la temperatura dan por resultado un aumento de potasio intercambiable </w:t>
      </w:r>
      <w:sdt>
        <w:sdtPr>
          <w:rPr>
            <w:rFonts w:cs="Times New Roman"/>
            <w:szCs w:val="24"/>
          </w:rPr>
          <w:id w:val="-1616206595"/>
          <w:citation/>
        </w:sdtPr>
        <w:sdtEndPr/>
        <w:sdtContent>
          <w:r w:rsidR="00966BE6" w:rsidRPr="007E253F">
            <w:rPr>
              <w:rFonts w:cs="Times New Roman"/>
              <w:szCs w:val="24"/>
            </w:rPr>
            <w:fldChar w:fldCharType="begin"/>
          </w:r>
          <w:r w:rsidR="00966BE6" w:rsidRPr="007E253F">
            <w:rPr>
              <w:rFonts w:cs="Times New Roman"/>
              <w:szCs w:val="24"/>
              <w:lang w:val="es-MX"/>
            </w:rPr>
            <w:instrText xml:space="preserve">CITATION Fer00 \l 2058 </w:instrText>
          </w:r>
          <w:r w:rsidR="00966BE6" w:rsidRPr="007E253F">
            <w:rPr>
              <w:rFonts w:cs="Times New Roman"/>
              <w:szCs w:val="24"/>
            </w:rPr>
            <w:fldChar w:fldCharType="separate"/>
          </w:r>
          <w:r w:rsidR="005106B9" w:rsidRPr="005106B9">
            <w:rPr>
              <w:rFonts w:cs="Times New Roman"/>
              <w:noProof/>
              <w:szCs w:val="24"/>
              <w:lang w:val="es-MX"/>
            </w:rPr>
            <w:t>(Fertilizantes Químicos Comerciales, 2000)</w:t>
          </w:r>
          <w:r w:rsidR="00966BE6" w:rsidRPr="007E253F">
            <w:rPr>
              <w:rFonts w:cs="Times New Roman"/>
              <w:szCs w:val="24"/>
            </w:rPr>
            <w:fldChar w:fldCharType="end"/>
          </w:r>
        </w:sdtContent>
      </w:sdt>
    </w:p>
    <w:p w14:paraId="01BC0163" w14:textId="77777777" w:rsidR="0077235D" w:rsidRPr="007E253F" w:rsidRDefault="0077235D" w:rsidP="00135DE8">
      <w:pPr>
        <w:pStyle w:val="Prrafodelista"/>
        <w:numPr>
          <w:ilvl w:val="0"/>
          <w:numId w:val="11"/>
        </w:numPr>
        <w:spacing w:before="360" w:after="360" w:line="360" w:lineRule="auto"/>
        <w:ind w:left="714" w:hanging="357"/>
        <w:rPr>
          <w:rFonts w:cs="Times New Roman"/>
          <w:b/>
          <w:bCs/>
          <w:szCs w:val="24"/>
        </w:rPr>
      </w:pPr>
      <w:r w:rsidRPr="007E253F">
        <w:rPr>
          <w:rFonts w:cs="Times New Roman"/>
          <w:b/>
          <w:bCs/>
          <w:szCs w:val="24"/>
        </w:rPr>
        <w:t>Humedad y sequedad</w:t>
      </w:r>
    </w:p>
    <w:p w14:paraId="70C8E600" w14:textId="0C98BC86" w:rsidR="0077235D" w:rsidRPr="007E253F" w:rsidRDefault="0077235D" w:rsidP="000E2B3A">
      <w:pPr>
        <w:spacing w:after="0" w:line="360" w:lineRule="auto"/>
        <w:rPr>
          <w:rFonts w:cs="Times New Roman"/>
          <w:szCs w:val="24"/>
        </w:rPr>
      </w:pPr>
      <w:r w:rsidRPr="007E253F">
        <w:rPr>
          <w:rFonts w:cs="Times New Roman"/>
          <w:szCs w:val="24"/>
        </w:rPr>
        <w:t xml:space="preserve">Cuando en el campo los suelos húmedos se secan, hay usualmente un aumento en la cantidad de potasio cambiable que puede ser extraído de estos suelos. Esto es particularmente verdadero cuando los niveles de potasio en el suelo son medianos o bajos; cuando los niveles son altos, sin embargo, puede producirse un resultado totalmente contrario </w:t>
      </w:r>
      <w:sdt>
        <w:sdtPr>
          <w:rPr>
            <w:rFonts w:cs="Times New Roman"/>
            <w:szCs w:val="24"/>
          </w:rPr>
          <w:id w:val="-1578056698"/>
          <w:citation/>
        </w:sdtPr>
        <w:sdtEndPr/>
        <w:sdtContent>
          <w:r w:rsidR="00DD798F" w:rsidRPr="007E253F">
            <w:rPr>
              <w:rFonts w:cs="Times New Roman"/>
              <w:szCs w:val="24"/>
            </w:rPr>
            <w:fldChar w:fldCharType="begin"/>
          </w:r>
          <w:r w:rsidR="00DD798F" w:rsidRPr="007E253F">
            <w:rPr>
              <w:rFonts w:cs="Times New Roman"/>
              <w:szCs w:val="24"/>
              <w:lang w:val="es-MX"/>
            </w:rPr>
            <w:instrText xml:space="preserve"> CITATION INP00 \l 2058 </w:instrText>
          </w:r>
          <w:r w:rsidR="00DD798F" w:rsidRPr="007E253F">
            <w:rPr>
              <w:rFonts w:cs="Times New Roman"/>
              <w:szCs w:val="24"/>
            </w:rPr>
            <w:fldChar w:fldCharType="separate"/>
          </w:r>
          <w:r w:rsidR="005106B9" w:rsidRPr="005106B9">
            <w:rPr>
              <w:rFonts w:cs="Times New Roman"/>
              <w:noProof/>
              <w:szCs w:val="24"/>
              <w:lang w:val="es-MX"/>
            </w:rPr>
            <w:t>(INPOFOS, 2000)</w:t>
          </w:r>
          <w:r w:rsidR="00DD798F" w:rsidRPr="007E253F">
            <w:rPr>
              <w:rFonts w:cs="Times New Roman"/>
              <w:szCs w:val="24"/>
            </w:rPr>
            <w:fldChar w:fldCharType="end"/>
          </w:r>
        </w:sdtContent>
      </w:sdt>
    </w:p>
    <w:p w14:paraId="662C8B47" w14:textId="77777777" w:rsidR="0077235D" w:rsidRPr="007E253F" w:rsidRDefault="0077235D" w:rsidP="00135DE8">
      <w:pPr>
        <w:pStyle w:val="Prrafodelista"/>
        <w:numPr>
          <w:ilvl w:val="0"/>
          <w:numId w:val="11"/>
        </w:numPr>
        <w:spacing w:before="360" w:after="360" w:line="360" w:lineRule="auto"/>
        <w:ind w:left="714" w:hanging="357"/>
        <w:rPr>
          <w:rFonts w:cs="Times New Roman"/>
          <w:b/>
          <w:bCs/>
          <w:szCs w:val="24"/>
        </w:rPr>
      </w:pPr>
      <w:r w:rsidRPr="007E253F">
        <w:rPr>
          <w:rFonts w:cs="Times New Roman"/>
          <w:b/>
          <w:bCs/>
          <w:szCs w:val="24"/>
        </w:rPr>
        <w:lastRenderedPageBreak/>
        <w:t>pH del suelo</w:t>
      </w:r>
    </w:p>
    <w:p w14:paraId="55E8179B" w14:textId="6F8F031B" w:rsidR="0077235D" w:rsidRPr="007E253F" w:rsidRDefault="0077235D" w:rsidP="000E2B3A">
      <w:pPr>
        <w:spacing w:after="0" w:line="360" w:lineRule="auto"/>
        <w:rPr>
          <w:rFonts w:cs="Times New Roman"/>
          <w:szCs w:val="24"/>
        </w:rPr>
      </w:pPr>
      <w:r w:rsidRPr="007E253F">
        <w:rPr>
          <w:rFonts w:cs="Times New Roman"/>
          <w:szCs w:val="24"/>
        </w:rPr>
        <w:t xml:space="preserve">El efecto de pH sobre la liberación y fijación ha sido sujeto a controversias en varios estudios, llegándose a presentar las siguientes reacciones: si un coloide del suelo se satura con potasio y se añade una sal neutra como el sulfato cálcico, habrá reemplazamiento de parte de los iones potásicos absorbidos por los iones de calcio </w:t>
      </w:r>
      <w:sdt>
        <w:sdtPr>
          <w:rPr>
            <w:rFonts w:cs="Times New Roman"/>
            <w:szCs w:val="24"/>
          </w:rPr>
          <w:id w:val="1354459354"/>
          <w:citation/>
        </w:sdtPr>
        <w:sdtEndPr/>
        <w:sdtContent>
          <w:r w:rsidR="00A85B22" w:rsidRPr="007E253F">
            <w:rPr>
              <w:rFonts w:cs="Times New Roman"/>
              <w:szCs w:val="24"/>
            </w:rPr>
            <w:fldChar w:fldCharType="begin"/>
          </w:r>
          <w:r w:rsidR="00A85B22" w:rsidRPr="007E253F">
            <w:rPr>
              <w:rFonts w:cs="Times New Roman"/>
              <w:szCs w:val="24"/>
              <w:lang w:val="es-MX"/>
            </w:rPr>
            <w:instrText xml:space="preserve"> CITATION Fer00 \l 2058 </w:instrText>
          </w:r>
          <w:r w:rsidR="00A85B22" w:rsidRPr="007E253F">
            <w:rPr>
              <w:rFonts w:cs="Times New Roman"/>
              <w:szCs w:val="24"/>
            </w:rPr>
            <w:fldChar w:fldCharType="separate"/>
          </w:r>
          <w:r w:rsidR="005106B9" w:rsidRPr="005106B9">
            <w:rPr>
              <w:rFonts w:cs="Times New Roman"/>
              <w:noProof/>
              <w:szCs w:val="24"/>
              <w:lang w:val="es-MX"/>
            </w:rPr>
            <w:t>(Fertilizantes Químicos Comerciales, 2000)</w:t>
          </w:r>
          <w:r w:rsidR="00A85B22" w:rsidRPr="007E253F">
            <w:rPr>
              <w:rFonts w:cs="Times New Roman"/>
              <w:szCs w:val="24"/>
            </w:rPr>
            <w:fldChar w:fldCharType="end"/>
          </w:r>
        </w:sdtContent>
      </w:sdt>
    </w:p>
    <w:p w14:paraId="48606AB5" w14:textId="11B5D652" w:rsidR="0077235D" w:rsidRPr="007E253F" w:rsidRDefault="0077235D" w:rsidP="00135DE8">
      <w:pPr>
        <w:pStyle w:val="Ttulo3"/>
        <w:numPr>
          <w:ilvl w:val="2"/>
          <w:numId w:val="46"/>
        </w:numPr>
        <w:spacing w:before="360" w:after="360"/>
      </w:pPr>
      <w:bookmarkStart w:id="883" w:name="_Toc72741115"/>
      <w:bookmarkStart w:id="884" w:name="_Toc72741913"/>
      <w:bookmarkStart w:id="885" w:name="_Toc72742711"/>
      <w:bookmarkStart w:id="886" w:name="_Toc72881463"/>
      <w:bookmarkStart w:id="887" w:name="_Toc72882545"/>
      <w:bookmarkStart w:id="888" w:name="_Toc75608890"/>
      <w:bookmarkStart w:id="889" w:name="_Toc75611816"/>
      <w:bookmarkStart w:id="890" w:name="_Toc75612662"/>
      <w:bookmarkStart w:id="891" w:name="_Toc75679817"/>
      <w:bookmarkStart w:id="892" w:name="_Toc75702425"/>
      <w:bookmarkStart w:id="893" w:name="_Toc80312274"/>
      <w:r w:rsidRPr="007E253F">
        <w:t>Métodos de aplicación de potasio (K)</w:t>
      </w:r>
      <w:bookmarkEnd w:id="883"/>
      <w:bookmarkEnd w:id="884"/>
      <w:bookmarkEnd w:id="885"/>
      <w:bookmarkEnd w:id="886"/>
      <w:bookmarkEnd w:id="887"/>
      <w:bookmarkEnd w:id="888"/>
      <w:bookmarkEnd w:id="889"/>
      <w:bookmarkEnd w:id="890"/>
      <w:bookmarkEnd w:id="891"/>
      <w:bookmarkEnd w:id="892"/>
      <w:bookmarkEnd w:id="893"/>
    </w:p>
    <w:p w14:paraId="35EA83C3" w14:textId="73EC96E3" w:rsidR="0077235D" w:rsidRPr="007E253F" w:rsidRDefault="0077235D" w:rsidP="000E2B3A">
      <w:pPr>
        <w:spacing w:after="0" w:line="360" w:lineRule="auto"/>
        <w:rPr>
          <w:rFonts w:cs="Times New Roman"/>
          <w:szCs w:val="24"/>
        </w:rPr>
      </w:pPr>
      <w:r w:rsidRPr="007E253F">
        <w:rPr>
          <w:rFonts w:cs="Times New Roman"/>
          <w:szCs w:val="24"/>
        </w:rPr>
        <w:t xml:space="preserve">Los métodos dependen de las condiciones de suelos y cultivos y de las prácticas de manejo. A continuación, se listan algunos factores que influyen en el método o métodos de aplicación de potasio (K) en el suelo: cultivo, equipo y mano de obra disponible, tipo de suelo, cantidad de fertilizante y época de aplicación, uso de otros insumos en combinación con los fertilizantes, temperatura del suelo, humedad del suelo. Agrónomos y agricultores han probado diversos métodos de aplicación de potasio </w:t>
      </w:r>
      <w:sdt>
        <w:sdtPr>
          <w:rPr>
            <w:rFonts w:cs="Times New Roman"/>
            <w:szCs w:val="24"/>
          </w:rPr>
          <w:id w:val="80724951"/>
          <w:citation/>
        </w:sdtPr>
        <w:sdtEndPr/>
        <w:sdtContent>
          <w:r w:rsidR="00A85B22" w:rsidRPr="007E253F">
            <w:rPr>
              <w:rFonts w:cs="Times New Roman"/>
              <w:szCs w:val="24"/>
            </w:rPr>
            <w:fldChar w:fldCharType="begin"/>
          </w:r>
          <w:r w:rsidR="00A85B22" w:rsidRPr="007E253F">
            <w:rPr>
              <w:rFonts w:cs="Times New Roman"/>
              <w:szCs w:val="24"/>
              <w:lang w:val="es-MX"/>
            </w:rPr>
            <w:instrText xml:space="preserve"> CITATION Veg00 \l 2058 </w:instrText>
          </w:r>
          <w:r w:rsidR="00A85B22" w:rsidRPr="007E253F">
            <w:rPr>
              <w:rFonts w:cs="Times New Roman"/>
              <w:szCs w:val="24"/>
            </w:rPr>
            <w:fldChar w:fldCharType="separate"/>
          </w:r>
          <w:r w:rsidR="005106B9" w:rsidRPr="005106B9">
            <w:rPr>
              <w:rFonts w:cs="Times New Roman"/>
              <w:noProof/>
              <w:szCs w:val="24"/>
              <w:lang w:val="es-MX"/>
            </w:rPr>
            <w:t>(Vega, 2000)</w:t>
          </w:r>
          <w:r w:rsidR="00A85B22" w:rsidRPr="007E253F">
            <w:rPr>
              <w:rFonts w:cs="Times New Roman"/>
              <w:szCs w:val="24"/>
            </w:rPr>
            <w:fldChar w:fldCharType="end"/>
          </w:r>
        </w:sdtContent>
      </w:sdt>
    </w:p>
    <w:p w14:paraId="00CD99CC" w14:textId="33B59483" w:rsidR="0077235D" w:rsidRPr="007E253F" w:rsidRDefault="0077235D" w:rsidP="005443DD">
      <w:pPr>
        <w:spacing w:before="360" w:after="360" w:line="360" w:lineRule="auto"/>
        <w:rPr>
          <w:rFonts w:cs="Times New Roman"/>
          <w:szCs w:val="24"/>
        </w:rPr>
      </w:pPr>
      <w:r w:rsidRPr="007E253F">
        <w:rPr>
          <w:rFonts w:cs="Times New Roman"/>
          <w:szCs w:val="24"/>
        </w:rPr>
        <w:t xml:space="preserve">Existen muchas variaciones de estos métodos. Algunos de éstos se mencionan a continuación: aplicación al voleo sin incorporación; aplicación al voleo e incorporación por medio de labranza; colocación directa con la semilla; localización en banda, incluyendo varias combinaciones de distancias por debajo y a un lado de la semilla; colocación en banda profunda; aplicación sobre las líneas o entre las líneas; aplicación en el agua de riego (fertiirrigación); combinaciones de los métodos anteriores </w:t>
      </w:r>
      <w:sdt>
        <w:sdtPr>
          <w:rPr>
            <w:rFonts w:cs="Times New Roman"/>
            <w:szCs w:val="24"/>
          </w:rPr>
          <w:id w:val="-1603949481"/>
          <w:citation/>
        </w:sdtPr>
        <w:sdtEndPr/>
        <w:sdtContent>
          <w:r w:rsidR="00A85B22" w:rsidRPr="007E253F">
            <w:rPr>
              <w:rFonts w:cs="Times New Roman"/>
              <w:szCs w:val="24"/>
            </w:rPr>
            <w:fldChar w:fldCharType="begin"/>
          </w:r>
          <w:r w:rsidR="009D3420" w:rsidRPr="007E253F">
            <w:rPr>
              <w:rFonts w:cs="Times New Roman"/>
              <w:szCs w:val="24"/>
              <w:lang w:val="es-MX"/>
            </w:rPr>
            <w:instrText xml:space="preserve">CITATION Cas03 \l 2058 </w:instrText>
          </w:r>
          <w:r w:rsidR="00A85B22" w:rsidRPr="007E253F">
            <w:rPr>
              <w:rFonts w:cs="Times New Roman"/>
              <w:szCs w:val="24"/>
            </w:rPr>
            <w:fldChar w:fldCharType="separate"/>
          </w:r>
          <w:r w:rsidR="005106B9" w:rsidRPr="005106B9">
            <w:rPr>
              <w:rFonts w:cs="Times New Roman"/>
              <w:noProof/>
              <w:szCs w:val="24"/>
              <w:lang w:val="es-MX"/>
            </w:rPr>
            <w:t>(Castañeda &amp; Sánchez, 2003)</w:t>
          </w:r>
          <w:r w:rsidR="00A85B22" w:rsidRPr="007E253F">
            <w:rPr>
              <w:rFonts w:cs="Times New Roman"/>
              <w:szCs w:val="24"/>
            </w:rPr>
            <w:fldChar w:fldCharType="end"/>
          </w:r>
        </w:sdtContent>
      </w:sdt>
    </w:p>
    <w:p w14:paraId="7A168BAB" w14:textId="45D5EA65" w:rsidR="0077235D" w:rsidRPr="007E253F" w:rsidRDefault="0077235D" w:rsidP="00135DE8">
      <w:pPr>
        <w:pStyle w:val="Ttulo3"/>
        <w:numPr>
          <w:ilvl w:val="2"/>
          <w:numId w:val="46"/>
        </w:numPr>
        <w:spacing w:before="360" w:after="360"/>
      </w:pPr>
      <w:bookmarkStart w:id="894" w:name="_Toc72741116"/>
      <w:bookmarkStart w:id="895" w:name="_Toc72741914"/>
      <w:bookmarkStart w:id="896" w:name="_Toc72742712"/>
      <w:bookmarkStart w:id="897" w:name="_Toc72881464"/>
      <w:bookmarkStart w:id="898" w:name="_Toc72882546"/>
      <w:bookmarkStart w:id="899" w:name="_Toc75608891"/>
      <w:bookmarkStart w:id="900" w:name="_Toc75611817"/>
      <w:bookmarkStart w:id="901" w:name="_Toc75612663"/>
      <w:bookmarkStart w:id="902" w:name="_Toc75679818"/>
      <w:bookmarkStart w:id="903" w:name="_Toc75702426"/>
      <w:bookmarkStart w:id="904" w:name="_Toc80312275"/>
      <w:r w:rsidRPr="007E253F">
        <w:t>Contenido de potasio</w:t>
      </w:r>
      <w:bookmarkEnd w:id="894"/>
      <w:bookmarkEnd w:id="895"/>
      <w:bookmarkEnd w:id="896"/>
      <w:bookmarkEnd w:id="897"/>
      <w:bookmarkEnd w:id="898"/>
      <w:bookmarkEnd w:id="899"/>
      <w:bookmarkEnd w:id="900"/>
      <w:bookmarkEnd w:id="901"/>
      <w:bookmarkEnd w:id="902"/>
      <w:bookmarkEnd w:id="903"/>
      <w:bookmarkEnd w:id="904"/>
    </w:p>
    <w:p w14:paraId="19138DAF" w14:textId="1B8137DD" w:rsidR="00C26AF2" w:rsidRPr="00C26AF2" w:rsidRDefault="00C26AF2" w:rsidP="00C26AF2">
      <w:pPr>
        <w:pStyle w:val="Descripcin"/>
        <w:keepNext/>
        <w:rPr>
          <w:rFonts w:eastAsiaTheme="majorEastAsia" w:cs="Times New Roman"/>
          <w:bCs/>
          <w:i w:val="0"/>
          <w:iCs w:val="0"/>
          <w:color w:val="auto"/>
          <w:sz w:val="24"/>
          <w:szCs w:val="28"/>
          <w:lang w:val="es-ES" w:eastAsia="en-US"/>
        </w:rPr>
      </w:pPr>
      <w:bookmarkStart w:id="905" w:name="_Toc79313999"/>
      <w:r w:rsidRPr="00C26AF2">
        <w:rPr>
          <w:rFonts w:eastAsiaTheme="majorEastAsia" w:cs="Times New Roman"/>
          <w:b/>
          <w:bCs/>
          <w:i w:val="0"/>
          <w:iCs w:val="0"/>
          <w:color w:val="auto"/>
          <w:sz w:val="24"/>
          <w:szCs w:val="28"/>
          <w:lang w:val="es-ES" w:eastAsia="en-US"/>
        </w:rPr>
        <w:t xml:space="preserve">Cuadro </w:t>
      </w:r>
      <w:r w:rsidRPr="00C26AF2">
        <w:rPr>
          <w:rFonts w:eastAsiaTheme="majorEastAsia" w:cs="Times New Roman"/>
          <w:b/>
          <w:bCs/>
          <w:i w:val="0"/>
          <w:iCs w:val="0"/>
          <w:color w:val="auto"/>
          <w:sz w:val="24"/>
          <w:szCs w:val="28"/>
          <w:lang w:val="es-ES" w:eastAsia="en-US"/>
        </w:rPr>
        <w:fldChar w:fldCharType="begin"/>
      </w:r>
      <w:r w:rsidRPr="00C26AF2">
        <w:rPr>
          <w:rFonts w:eastAsiaTheme="majorEastAsia" w:cs="Times New Roman"/>
          <w:b/>
          <w:bCs/>
          <w:i w:val="0"/>
          <w:iCs w:val="0"/>
          <w:color w:val="auto"/>
          <w:sz w:val="24"/>
          <w:szCs w:val="28"/>
          <w:lang w:val="es-ES" w:eastAsia="en-US"/>
        </w:rPr>
        <w:instrText xml:space="preserve"> SEQ Cuadro \* ARABIC </w:instrText>
      </w:r>
      <w:r w:rsidRPr="00C26AF2">
        <w:rPr>
          <w:rFonts w:eastAsiaTheme="majorEastAsia" w:cs="Times New Roman"/>
          <w:b/>
          <w:bCs/>
          <w:i w:val="0"/>
          <w:iCs w:val="0"/>
          <w:color w:val="auto"/>
          <w:sz w:val="24"/>
          <w:szCs w:val="28"/>
          <w:lang w:val="es-ES" w:eastAsia="en-US"/>
        </w:rPr>
        <w:fldChar w:fldCharType="separate"/>
      </w:r>
      <w:r w:rsidR="000D1F55">
        <w:rPr>
          <w:rFonts w:eastAsiaTheme="majorEastAsia" w:cs="Times New Roman"/>
          <w:b/>
          <w:bCs/>
          <w:i w:val="0"/>
          <w:iCs w:val="0"/>
          <w:noProof/>
          <w:color w:val="auto"/>
          <w:sz w:val="24"/>
          <w:szCs w:val="28"/>
          <w:lang w:val="es-ES" w:eastAsia="en-US"/>
        </w:rPr>
        <w:t>7</w:t>
      </w:r>
      <w:r w:rsidRPr="00C26AF2">
        <w:rPr>
          <w:rFonts w:eastAsiaTheme="majorEastAsia" w:cs="Times New Roman"/>
          <w:b/>
          <w:bCs/>
          <w:i w:val="0"/>
          <w:iCs w:val="0"/>
          <w:color w:val="auto"/>
          <w:sz w:val="24"/>
          <w:szCs w:val="28"/>
          <w:lang w:val="es-ES" w:eastAsia="en-US"/>
        </w:rPr>
        <w:fldChar w:fldCharType="end"/>
      </w:r>
      <w:r w:rsidRPr="00C26AF2">
        <w:rPr>
          <w:rFonts w:eastAsiaTheme="majorEastAsia" w:cs="Times New Roman"/>
          <w:b/>
          <w:bCs/>
          <w:i w:val="0"/>
          <w:iCs w:val="0"/>
          <w:color w:val="auto"/>
          <w:sz w:val="24"/>
          <w:szCs w:val="28"/>
          <w:lang w:val="es-ES" w:eastAsia="en-US"/>
        </w:rPr>
        <w:t>. .</w:t>
      </w:r>
      <w:r w:rsidRPr="00C26AF2">
        <w:rPr>
          <w:rFonts w:eastAsiaTheme="majorEastAsia" w:cs="Times New Roman"/>
          <w:bCs/>
          <w:i w:val="0"/>
          <w:iCs w:val="0"/>
          <w:color w:val="auto"/>
          <w:sz w:val="24"/>
          <w:szCs w:val="28"/>
          <w:lang w:val="es-ES" w:eastAsia="en-US"/>
        </w:rPr>
        <w:t xml:space="preserve"> Niveles de fertilidad de potasio</w:t>
      </w:r>
      <w:bookmarkEnd w:id="905"/>
    </w:p>
    <w:tbl>
      <w:tblPr>
        <w:tblStyle w:val="Tablaconcuadrcula"/>
        <w:tblW w:w="0" w:type="auto"/>
        <w:tblInd w:w="1555" w:type="dxa"/>
        <w:tblLook w:val="04A0" w:firstRow="1" w:lastRow="0" w:firstColumn="1" w:lastColumn="0" w:noHBand="0" w:noVBand="1"/>
      </w:tblPr>
      <w:tblGrid>
        <w:gridCol w:w="1087"/>
        <w:gridCol w:w="1464"/>
        <w:gridCol w:w="1276"/>
      </w:tblGrid>
      <w:tr w:rsidR="0077235D" w:rsidRPr="007E253F" w14:paraId="24DBD1C5" w14:textId="77777777" w:rsidTr="003A4FF6">
        <w:tc>
          <w:tcPr>
            <w:tcW w:w="1087" w:type="dxa"/>
          </w:tcPr>
          <w:p w14:paraId="1A0A9412" w14:textId="77777777" w:rsidR="0077235D" w:rsidRPr="007E253F" w:rsidRDefault="0077235D" w:rsidP="005443DD">
            <w:pPr>
              <w:pStyle w:val="Sinespaciado"/>
              <w:jc w:val="center"/>
              <w:rPr>
                <w:rFonts w:ascii="Times New Roman" w:hAnsi="Times New Roman" w:cs="Times New Roman"/>
                <w:b/>
                <w:bCs/>
                <w:sz w:val="24"/>
                <w:szCs w:val="24"/>
              </w:rPr>
            </w:pPr>
            <w:r w:rsidRPr="007E253F">
              <w:rPr>
                <w:rFonts w:ascii="Times New Roman" w:hAnsi="Times New Roman" w:cs="Times New Roman"/>
                <w:b/>
                <w:bCs/>
                <w:sz w:val="24"/>
                <w:szCs w:val="24"/>
              </w:rPr>
              <w:t>Nivel</w:t>
            </w:r>
          </w:p>
        </w:tc>
        <w:tc>
          <w:tcPr>
            <w:tcW w:w="1464" w:type="dxa"/>
          </w:tcPr>
          <w:p w14:paraId="22DF3269" w14:textId="77777777" w:rsidR="0077235D" w:rsidRPr="007E253F" w:rsidRDefault="0077235D" w:rsidP="005443DD">
            <w:pPr>
              <w:pStyle w:val="Sinespaciado"/>
              <w:jc w:val="center"/>
              <w:rPr>
                <w:rFonts w:ascii="Times New Roman" w:hAnsi="Times New Roman" w:cs="Times New Roman"/>
                <w:b/>
                <w:bCs/>
                <w:sz w:val="24"/>
                <w:szCs w:val="24"/>
              </w:rPr>
            </w:pPr>
            <w:r w:rsidRPr="007E253F">
              <w:rPr>
                <w:rFonts w:ascii="Times New Roman" w:hAnsi="Times New Roman" w:cs="Times New Roman"/>
                <w:b/>
                <w:bCs/>
                <w:sz w:val="24"/>
                <w:szCs w:val="24"/>
              </w:rPr>
              <w:t>ppm</w:t>
            </w:r>
          </w:p>
        </w:tc>
        <w:tc>
          <w:tcPr>
            <w:tcW w:w="1276" w:type="dxa"/>
          </w:tcPr>
          <w:p w14:paraId="679D9EA3" w14:textId="77777777" w:rsidR="0077235D" w:rsidRPr="007E253F" w:rsidRDefault="0077235D" w:rsidP="005443DD">
            <w:pPr>
              <w:pStyle w:val="Sinespaciado"/>
              <w:jc w:val="center"/>
              <w:rPr>
                <w:rFonts w:ascii="Times New Roman" w:hAnsi="Times New Roman" w:cs="Times New Roman"/>
                <w:b/>
                <w:bCs/>
                <w:sz w:val="24"/>
                <w:szCs w:val="24"/>
              </w:rPr>
            </w:pPr>
            <w:r w:rsidRPr="007E253F">
              <w:rPr>
                <w:rFonts w:ascii="Times New Roman" w:hAnsi="Times New Roman" w:cs="Times New Roman"/>
                <w:b/>
                <w:bCs/>
                <w:sz w:val="24"/>
                <w:szCs w:val="24"/>
              </w:rPr>
              <w:t>meq/100g</w:t>
            </w:r>
          </w:p>
        </w:tc>
      </w:tr>
      <w:tr w:rsidR="0077235D" w:rsidRPr="007E253F" w14:paraId="42E97416" w14:textId="77777777" w:rsidTr="003A4FF6">
        <w:tc>
          <w:tcPr>
            <w:tcW w:w="1087" w:type="dxa"/>
          </w:tcPr>
          <w:p w14:paraId="200B4464"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Bajo</w:t>
            </w:r>
          </w:p>
        </w:tc>
        <w:tc>
          <w:tcPr>
            <w:tcW w:w="1464" w:type="dxa"/>
          </w:tcPr>
          <w:p w14:paraId="6B4B714A"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0-75</w:t>
            </w:r>
          </w:p>
        </w:tc>
        <w:tc>
          <w:tcPr>
            <w:tcW w:w="1276" w:type="dxa"/>
          </w:tcPr>
          <w:p w14:paraId="4846103B"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0-0,19</w:t>
            </w:r>
          </w:p>
        </w:tc>
      </w:tr>
      <w:tr w:rsidR="0077235D" w:rsidRPr="007E253F" w14:paraId="0125F1E8" w14:textId="77777777" w:rsidTr="003A4FF6">
        <w:tc>
          <w:tcPr>
            <w:tcW w:w="1087" w:type="dxa"/>
          </w:tcPr>
          <w:p w14:paraId="111742DE"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Medio</w:t>
            </w:r>
          </w:p>
        </w:tc>
        <w:tc>
          <w:tcPr>
            <w:tcW w:w="1464" w:type="dxa"/>
          </w:tcPr>
          <w:p w14:paraId="446CEE14"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75-150</w:t>
            </w:r>
          </w:p>
        </w:tc>
        <w:tc>
          <w:tcPr>
            <w:tcW w:w="1276" w:type="dxa"/>
          </w:tcPr>
          <w:p w14:paraId="21F64E48"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0.20-0.38</w:t>
            </w:r>
          </w:p>
        </w:tc>
      </w:tr>
      <w:tr w:rsidR="0077235D" w:rsidRPr="007E253F" w14:paraId="35296124" w14:textId="77777777" w:rsidTr="003A4FF6">
        <w:tc>
          <w:tcPr>
            <w:tcW w:w="1087" w:type="dxa"/>
          </w:tcPr>
          <w:p w14:paraId="27BE0B47"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Alto</w:t>
            </w:r>
          </w:p>
        </w:tc>
        <w:tc>
          <w:tcPr>
            <w:tcW w:w="1464" w:type="dxa"/>
          </w:tcPr>
          <w:p w14:paraId="40C36CE6"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˃150</w:t>
            </w:r>
          </w:p>
        </w:tc>
        <w:tc>
          <w:tcPr>
            <w:tcW w:w="1276" w:type="dxa"/>
          </w:tcPr>
          <w:p w14:paraId="24358B2F" w14:textId="77777777" w:rsidR="0077235D" w:rsidRPr="007E253F" w:rsidRDefault="0077235D" w:rsidP="005443DD">
            <w:pPr>
              <w:pStyle w:val="Sinespaciado"/>
              <w:jc w:val="center"/>
              <w:rPr>
                <w:rFonts w:ascii="Times New Roman" w:hAnsi="Times New Roman" w:cs="Times New Roman"/>
                <w:sz w:val="24"/>
                <w:szCs w:val="24"/>
              </w:rPr>
            </w:pPr>
            <w:r w:rsidRPr="007E253F">
              <w:rPr>
                <w:rFonts w:ascii="Times New Roman" w:hAnsi="Times New Roman" w:cs="Times New Roman"/>
                <w:sz w:val="24"/>
                <w:szCs w:val="24"/>
              </w:rPr>
              <w:t>˃0,38</w:t>
            </w:r>
          </w:p>
        </w:tc>
      </w:tr>
    </w:tbl>
    <w:p w14:paraId="0F807E78" w14:textId="4C0668DD" w:rsidR="0077235D" w:rsidRPr="009D6115" w:rsidRDefault="00C26AF2" w:rsidP="00C26AF2">
      <w:pPr>
        <w:pStyle w:val="Sinespaciado"/>
        <w:spacing w:line="360" w:lineRule="auto"/>
        <w:ind w:left="708" w:firstLine="708"/>
        <w:jc w:val="both"/>
        <w:rPr>
          <w:rFonts w:ascii="Times New Roman" w:hAnsi="Times New Roman" w:cs="Times New Roman"/>
          <w:sz w:val="20"/>
          <w:szCs w:val="20"/>
        </w:rPr>
      </w:pPr>
      <w:r>
        <w:rPr>
          <w:rFonts w:ascii="Times New Roman" w:hAnsi="Times New Roman" w:cs="Times New Roman"/>
          <w:sz w:val="16"/>
          <w:szCs w:val="16"/>
        </w:rPr>
        <w:t xml:space="preserve">   </w:t>
      </w:r>
      <w:r w:rsidR="0077235D" w:rsidRPr="009D6115">
        <w:rPr>
          <w:rFonts w:ascii="Times New Roman" w:hAnsi="Times New Roman" w:cs="Times New Roman"/>
          <w:b/>
          <w:sz w:val="20"/>
          <w:szCs w:val="20"/>
        </w:rPr>
        <w:t>Fuente:</w:t>
      </w:r>
      <w:r w:rsidR="0077235D" w:rsidRPr="009D6115">
        <w:rPr>
          <w:rFonts w:ascii="Times New Roman" w:hAnsi="Times New Roman" w:cs="Times New Roman"/>
          <w:sz w:val="20"/>
          <w:szCs w:val="20"/>
        </w:rPr>
        <w:t xml:space="preserve"> </w:t>
      </w:r>
      <w:sdt>
        <w:sdtPr>
          <w:rPr>
            <w:rFonts w:ascii="Times New Roman" w:hAnsi="Times New Roman" w:cs="Times New Roman"/>
            <w:sz w:val="20"/>
            <w:szCs w:val="20"/>
          </w:rPr>
          <w:id w:val="284156901"/>
          <w:citation/>
        </w:sdtPr>
        <w:sdtEndPr/>
        <w:sdtContent>
          <w:r w:rsidR="00FC2031" w:rsidRPr="009D6115">
            <w:rPr>
              <w:rFonts w:ascii="Times New Roman" w:hAnsi="Times New Roman" w:cs="Times New Roman"/>
              <w:sz w:val="20"/>
              <w:szCs w:val="20"/>
            </w:rPr>
            <w:fldChar w:fldCharType="begin"/>
          </w:r>
          <w:r w:rsidR="00FC2031" w:rsidRPr="009D6115">
            <w:rPr>
              <w:rFonts w:ascii="Times New Roman" w:hAnsi="Times New Roman" w:cs="Times New Roman"/>
              <w:sz w:val="20"/>
              <w:szCs w:val="20"/>
              <w:lang w:val="es-MX"/>
            </w:rPr>
            <w:instrText xml:space="preserve"> CITATION Arc05 \l 2058 </w:instrText>
          </w:r>
          <w:r w:rsidR="00FC2031" w:rsidRPr="009D6115">
            <w:rPr>
              <w:rFonts w:ascii="Times New Roman" w:hAnsi="Times New Roman" w:cs="Times New Roman"/>
              <w:sz w:val="20"/>
              <w:szCs w:val="20"/>
            </w:rPr>
            <w:fldChar w:fldCharType="separate"/>
          </w:r>
          <w:r w:rsidR="005106B9" w:rsidRPr="005106B9">
            <w:rPr>
              <w:rFonts w:ascii="Times New Roman" w:hAnsi="Times New Roman" w:cs="Times New Roman"/>
              <w:noProof/>
              <w:sz w:val="20"/>
              <w:szCs w:val="20"/>
              <w:lang w:val="es-MX"/>
            </w:rPr>
            <w:t>(Arcos, 2005)</w:t>
          </w:r>
          <w:r w:rsidR="00FC2031" w:rsidRPr="009D6115">
            <w:rPr>
              <w:rFonts w:ascii="Times New Roman" w:hAnsi="Times New Roman" w:cs="Times New Roman"/>
              <w:sz w:val="20"/>
              <w:szCs w:val="20"/>
            </w:rPr>
            <w:fldChar w:fldCharType="end"/>
          </w:r>
        </w:sdtContent>
      </w:sdt>
    </w:p>
    <w:p w14:paraId="0DE167AC" w14:textId="617478BA" w:rsidR="0077235D" w:rsidRPr="007E253F" w:rsidRDefault="0077235D" w:rsidP="00135DE8">
      <w:pPr>
        <w:pStyle w:val="Ttulo2"/>
        <w:numPr>
          <w:ilvl w:val="1"/>
          <w:numId w:val="46"/>
        </w:numPr>
        <w:spacing w:before="360" w:after="360"/>
        <w:ind w:left="1077"/>
      </w:pPr>
      <w:bookmarkStart w:id="906" w:name="_Toc72741118"/>
      <w:bookmarkStart w:id="907" w:name="_Toc72741916"/>
      <w:bookmarkStart w:id="908" w:name="_Toc72742714"/>
      <w:bookmarkStart w:id="909" w:name="_Toc72881466"/>
      <w:bookmarkStart w:id="910" w:name="_Toc72882548"/>
      <w:bookmarkStart w:id="911" w:name="_Toc75608893"/>
      <w:bookmarkStart w:id="912" w:name="_Toc75611819"/>
      <w:bookmarkStart w:id="913" w:name="_Toc75612665"/>
      <w:bookmarkStart w:id="914" w:name="_Toc75679820"/>
      <w:bookmarkStart w:id="915" w:name="_Toc75702428"/>
      <w:bookmarkStart w:id="916" w:name="_Toc80312276"/>
      <w:r w:rsidRPr="007E253F">
        <w:lastRenderedPageBreak/>
        <w:t>Azufre (S)</w:t>
      </w:r>
      <w:bookmarkEnd w:id="906"/>
      <w:bookmarkEnd w:id="907"/>
      <w:bookmarkEnd w:id="908"/>
      <w:bookmarkEnd w:id="909"/>
      <w:bookmarkEnd w:id="910"/>
      <w:bookmarkEnd w:id="911"/>
      <w:bookmarkEnd w:id="912"/>
      <w:bookmarkEnd w:id="913"/>
      <w:bookmarkEnd w:id="914"/>
      <w:bookmarkEnd w:id="915"/>
      <w:bookmarkEnd w:id="916"/>
      <w:r w:rsidRPr="007E253F">
        <w:t xml:space="preserve"> </w:t>
      </w:r>
    </w:p>
    <w:p w14:paraId="1B52E616" w14:textId="0E3417B4" w:rsidR="0077235D" w:rsidRPr="007E253F" w:rsidRDefault="0077235D" w:rsidP="000E2B3A">
      <w:pPr>
        <w:spacing w:after="0" w:line="360" w:lineRule="auto"/>
        <w:rPr>
          <w:rFonts w:cs="Times New Roman"/>
          <w:szCs w:val="24"/>
        </w:rPr>
      </w:pPr>
      <w:r w:rsidRPr="007E253F">
        <w:rPr>
          <w:rFonts w:cs="Times New Roman"/>
          <w:szCs w:val="24"/>
        </w:rPr>
        <w:t>El S es absorbido por la planta desde la solución del suelo en forma de SO</w:t>
      </w:r>
      <w:r w:rsidRPr="007E253F">
        <w:rPr>
          <w:rFonts w:cs="Times New Roman"/>
          <w:szCs w:val="24"/>
          <w:vertAlign w:val="subscript"/>
        </w:rPr>
        <w:t>4</w:t>
      </w:r>
      <w:r w:rsidRPr="007E253F">
        <w:rPr>
          <w:rFonts w:cs="Times New Roman"/>
          <w:szCs w:val="24"/>
        </w:rPr>
        <w:t xml:space="preserve"> siendo el S parte de todas y cada una de las células vivientes participa en la síntesis de proteínas, forma parte 2 de los 21 aminoácidos. También interviene en el metabolismo de los carbohidratos, ayuda a la formación de la semilla. Las plantas que tienen deficiencia de S presentan un color verde pálido y crecimiento lento, las hojas se arrugan a medida que la deficiencia avanza, los síntomas de deficiencia son similares a los de N con la diferencia que siendo menos móvil que este les deficiencias de S son más visibles en las hojas más jóvenes</w:t>
      </w:r>
      <w:sdt>
        <w:sdtPr>
          <w:rPr>
            <w:rFonts w:cs="Times New Roman"/>
            <w:szCs w:val="24"/>
          </w:rPr>
          <w:id w:val="-641423621"/>
          <w:citation/>
        </w:sdtPr>
        <w:sdtEndPr/>
        <w:sdtContent>
          <w:r w:rsidR="00FC2031" w:rsidRPr="007E253F">
            <w:rPr>
              <w:rFonts w:cs="Times New Roman"/>
              <w:szCs w:val="24"/>
            </w:rPr>
            <w:fldChar w:fldCharType="begin"/>
          </w:r>
          <w:r w:rsidR="00FC2031" w:rsidRPr="007E253F">
            <w:rPr>
              <w:rFonts w:cs="Times New Roman"/>
              <w:szCs w:val="24"/>
              <w:lang w:val="es-MX"/>
            </w:rPr>
            <w:instrText xml:space="preserve"> CITATION Rod92 \l 2058 </w:instrText>
          </w:r>
          <w:r w:rsidR="00FC2031" w:rsidRPr="007E253F">
            <w:rPr>
              <w:rFonts w:cs="Times New Roman"/>
              <w:szCs w:val="24"/>
            </w:rPr>
            <w:fldChar w:fldCharType="separate"/>
          </w:r>
          <w:r w:rsidR="005106B9">
            <w:rPr>
              <w:rFonts w:cs="Times New Roman"/>
              <w:noProof/>
              <w:szCs w:val="24"/>
              <w:lang w:val="es-MX"/>
            </w:rPr>
            <w:t xml:space="preserve"> </w:t>
          </w:r>
          <w:r w:rsidR="005106B9" w:rsidRPr="005106B9">
            <w:rPr>
              <w:rFonts w:cs="Times New Roman"/>
              <w:noProof/>
              <w:szCs w:val="24"/>
              <w:lang w:val="es-MX"/>
            </w:rPr>
            <w:t>(Rodríguez, 1992)</w:t>
          </w:r>
          <w:r w:rsidR="00FC2031" w:rsidRPr="007E253F">
            <w:rPr>
              <w:rFonts w:cs="Times New Roman"/>
              <w:szCs w:val="24"/>
            </w:rPr>
            <w:fldChar w:fldCharType="end"/>
          </w:r>
        </w:sdtContent>
      </w:sdt>
      <w:r w:rsidR="00FC2031" w:rsidRPr="007E253F">
        <w:rPr>
          <w:rFonts w:cs="Times New Roman"/>
          <w:szCs w:val="24"/>
        </w:rPr>
        <w:t>.</w:t>
      </w:r>
    </w:p>
    <w:p w14:paraId="149E2463" w14:textId="109C4362" w:rsidR="0077235D" w:rsidRPr="007E253F" w:rsidRDefault="0077235D" w:rsidP="00135DE8">
      <w:pPr>
        <w:pStyle w:val="Ttulo3"/>
        <w:numPr>
          <w:ilvl w:val="2"/>
          <w:numId w:val="46"/>
        </w:numPr>
        <w:spacing w:before="360" w:after="360"/>
      </w:pPr>
      <w:bookmarkStart w:id="917" w:name="_Toc72741119"/>
      <w:bookmarkStart w:id="918" w:name="_Toc72741917"/>
      <w:bookmarkStart w:id="919" w:name="_Toc72742715"/>
      <w:bookmarkStart w:id="920" w:name="_Toc72881467"/>
      <w:bookmarkStart w:id="921" w:name="_Toc72882549"/>
      <w:bookmarkStart w:id="922" w:name="_Toc75608894"/>
      <w:bookmarkStart w:id="923" w:name="_Toc75611820"/>
      <w:bookmarkStart w:id="924" w:name="_Toc75612666"/>
      <w:bookmarkStart w:id="925" w:name="_Toc75679821"/>
      <w:bookmarkStart w:id="926" w:name="_Toc75702429"/>
      <w:bookmarkStart w:id="927" w:name="_Toc80312277"/>
      <w:r w:rsidRPr="007E253F">
        <w:t>Absorción y asimilación de azufre por las plantas</w:t>
      </w:r>
      <w:bookmarkEnd w:id="917"/>
      <w:bookmarkEnd w:id="918"/>
      <w:bookmarkEnd w:id="919"/>
      <w:bookmarkEnd w:id="920"/>
      <w:bookmarkEnd w:id="921"/>
      <w:bookmarkEnd w:id="922"/>
      <w:bookmarkEnd w:id="923"/>
      <w:bookmarkEnd w:id="924"/>
      <w:bookmarkEnd w:id="925"/>
      <w:bookmarkEnd w:id="926"/>
      <w:bookmarkEnd w:id="927"/>
    </w:p>
    <w:p w14:paraId="11E69773" w14:textId="422112F1" w:rsidR="0077235D" w:rsidRPr="007E253F" w:rsidRDefault="0077235D" w:rsidP="000E2B3A">
      <w:pPr>
        <w:spacing w:after="0" w:line="360" w:lineRule="auto"/>
        <w:rPr>
          <w:rFonts w:cs="Times New Roman"/>
          <w:szCs w:val="24"/>
        </w:rPr>
      </w:pPr>
      <w:r w:rsidRPr="007E253F">
        <w:rPr>
          <w:rFonts w:cs="Times New Roman"/>
          <w:szCs w:val="24"/>
        </w:rPr>
        <w:t>Si no se toma en cuenta la absorción de dióxido de azufre (SO</w:t>
      </w:r>
      <w:r w:rsidRPr="00187241">
        <w:rPr>
          <w:rFonts w:cs="Times New Roman"/>
          <w:szCs w:val="24"/>
          <w:vertAlign w:val="subscript"/>
        </w:rPr>
        <w:t>2</w:t>
      </w:r>
      <w:r w:rsidRPr="007E253F">
        <w:rPr>
          <w:rFonts w:cs="Times New Roman"/>
          <w:szCs w:val="24"/>
        </w:rPr>
        <w:t>) de la atmósfera, actividad que puede representar un aporte importante de azufre para muchas plantas la mayor parte del, azufre tomado por las plantas del suelo es absorbido en forma de SO</w:t>
      </w:r>
      <w:r w:rsidRPr="00187241">
        <w:rPr>
          <w:rFonts w:cs="Times New Roman"/>
          <w:szCs w:val="24"/>
          <w:vertAlign w:val="subscript"/>
        </w:rPr>
        <w:t>4</w:t>
      </w:r>
      <w:r w:rsidRPr="007E253F">
        <w:rPr>
          <w:rFonts w:cs="Times New Roman"/>
          <w:szCs w:val="24"/>
        </w:rPr>
        <w:t xml:space="preserve">-2 e incorporado al aminoácido cisteína en los tejidos fotosintéticos. La reducción asimilativa del azufre del sulfato es un proceso dependiente de la luz llevado a cabo en los cloroplastos </w:t>
      </w:r>
      <w:sdt>
        <w:sdtPr>
          <w:rPr>
            <w:rFonts w:cs="Times New Roman"/>
            <w:szCs w:val="24"/>
          </w:rPr>
          <w:id w:val="-712961055"/>
          <w:citation/>
        </w:sdtPr>
        <w:sdtEndPr/>
        <w:sdtContent>
          <w:r w:rsidR="00FC2031" w:rsidRPr="007E253F">
            <w:rPr>
              <w:rFonts w:cs="Times New Roman"/>
              <w:szCs w:val="24"/>
            </w:rPr>
            <w:fldChar w:fldCharType="begin"/>
          </w:r>
          <w:r w:rsidR="00FC2031" w:rsidRPr="007E253F">
            <w:rPr>
              <w:rFonts w:cs="Times New Roman"/>
              <w:szCs w:val="24"/>
              <w:lang w:val="es-MX"/>
            </w:rPr>
            <w:instrText xml:space="preserve"> CITATION And82 \l 2058 </w:instrText>
          </w:r>
          <w:r w:rsidR="00FC2031" w:rsidRPr="007E253F">
            <w:rPr>
              <w:rFonts w:cs="Times New Roman"/>
              <w:szCs w:val="24"/>
            </w:rPr>
            <w:fldChar w:fldCharType="separate"/>
          </w:r>
          <w:r w:rsidR="005106B9" w:rsidRPr="005106B9">
            <w:rPr>
              <w:rFonts w:cs="Times New Roman"/>
              <w:noProof/>
              <w:szCs w:val="24"/>
              <w:lang w:val="es-MX"/>
            </w:rPr>
            <w:t>(Anderson, 1982)</w:t>
          </w:r>
          <w:r w:rsidR="00FC2031" w:rsidRPr="007E253F">
            <w:rPr>
              <w:rFonts w:cs="Times New Roman"/>
              <w:szCs w:val="24"/>
            </w:rPr>
            <w:fldChar w:fldCharType="end"/>
          </w:r>
        </w:sdtContent>
      </w:sdt>
    </w:p>
    <w:p w14:paraId="564CD411" w14:textId="0A6E8399" w:rsidR="0077235D" w:rsidRPr="007E253F" w:rsidRDefault="0077235D" w:rsidP="00150C77">
      <w:pPr>
        <w:spacing w:before="360" w:after="360" w:line="360" w:lineRule="auto"/>
        <w:rPr>
          <w:rFonts w:cs="Times New Roman"/>
          <w:szCs w:val="24"/>
        </w:rPr>
      </w:pPr>
      <w:r w:rsidRPr="007E253F">
        <w:rPr>
          <w:rFonts w:cs="Times New Roman"/>
          <w:szCs w:val="24"/>
        </w:rPr>
        <w:t>La absorción de sulfato por las raíces es, en su mayor parte, un proceso metabólico mediado por proteínas acarreadoras las cuales son sujetas a un control negativo de su actividad por medio del monitoreo de la concentración intracelular de sulfato y de los productos del metabolismo del azufre. Sin embargo, tal parece que dichos mecanismos regulatorios son incapaces de evitar la presencia de SO</w:t>
      </w:r>
      <w:r w:rsidRPr="00187241">
        <w:rPr>
          <w:rFonts w:cs="Times New Roman"/>
          <w:szCs w:val="24"/>
          <w:vertAlign w:val="subscript"/>
        </w:rPr>
        <w:t>4</w:t>
      </w:r>
      <w:r w:rsidRPr="007E253F">
        <w:rPr>
          <w:rFonts w:cs="Times New Roman"/>
          <w:szCs w:val="24"/>
        </w:rPr>
        <w:t xml:space="preserve">-2 intracelular en exceso. Como resultado de esto las plantas presentan mecanismos alternos de regulación como el descrito en el modelo en forma de un ciclo intracelular del azufre el cual, según los autores, tendría como función la regulación de la cantidad de cisteína libre en las células </w:t>
      </w:r>
      <w:sdt>
        <w:sdtPr>
          <w:rPr>
            <w:rFonts w:cs="Times New Roman"/>
            <w:szCs w:val="24"/>
          </w:rPr>
          <w:id w:val="-303472002"/>
          <w:citation/>
        </w:sdtPr>
        <w:sdtEndPr/>
        <w:sdtContent>
          <w:r w:rsidR="00FC2031" w:rsidRPr="007E253F">
            <w:rPr>
              <w:rFonts w:cs="Times New Roman"/>
              <w:szCs w:val="24"/>
            </w:rPr>
            <w:fldChar w:fldCharType="begin"/>
          </w:r>
          <w:r w:rsidR="00FC2031" w:rsidRPr="007E253F">
            <w:rPr>
              <w:rFonts w:cs="Times New Roman"/>
              <w:szCs w:val="24"/>
              <w:lang w:val="es-MX"/>
            </w:rPr>
            <w:instrText xml:space="preserve"> CITATION Leh05 \l 2058 </w:instrText>
          </w:r>
          <w:r w:rsidR="00FC2031" w:rsidRPr="007E253F">
            <w:rPr>
              <w:rFonts w:cs="Times New Roman"/>
              <w:szCs w:val="24"/>
            </w:rPr>
            <w:fldChar w:fldCharType="separate"/>
          </w:r>
          <w:r w:rsidR="005106B9" w:rsidRPr="005106B9">
            <w:rPr>
              <w:rFonts w:cs="Times New Roman"/>
              <w:noProof/>
              <w:szCs w:val="24"/>
              <w:lang w:val="es-MX"/>
            </w:rPr>
            <w:t>(Lehninger, 2005)</w:t>
          </w:r>
          <w:r w:rsidR="00FC2031" w:rsidRPr="007E253F">
            <w:rPr>
              <w:rFonts w:cs="Times New Roman"/>
              <w:szCs w:val="24"/>
            </w:rPr>
            <w:fldChar w:fldCharType="end"/>
          </w:r>
        </w:sdtContent>
      </w:sdt>
    </w:p>
    <w:p w14:paraId="62F88696" w14:textId="32B479EC" w:rsidR="0077235D" w:rsidRPr="007E253F" w:rsidRDefault="0077235D" w:rsidP="00135DE8">
      <w:pPr>
        <w:pStyle w:val="Ttulo2"/>
        <w:numPr>
          <w:ilvl w:val="1"/>
          <w:numId w:val="46"/>
        </w:numPr>
      </w:pPr>
      <w:bookmarkStart w:id="928" w:name="_Toc72741120"/>
      <w:bookmarkStart w:id="929" w:name="_Toc72741918"/>
      <w:bookmarkStart w:id="930" w:name="_Toc72742716"/>
      <w:bookmarkStart w:id="931" w:name="_Toc72881468"/>
      <w:bookmarkStart w:id="932" w:name="_Toc72882550"/>
      <w:bookmarkStart w:id="933" w:name="_Toc75608895"/>
      <w:bookmarkStart w:id="934" w:name="_Toc75611821"/>
      <w:bookmarkStart w:id="935" w:name="_Toc75612667"/>
      <w:bookmarkStart w:id="936" w:name="_Toc75679822"/>
      <w:bookmarkStart w:id="937" w:name="_Toc75702430"/>
      <w:bookmarkStart w:id="938" w:name="_Toc80312278"/>
      <w:r w:rsidRPr="007E253F">
        <w:lastRenderedPageBreak/>
        <w:t>Magnesio (Mg)</w:t>
      </w:r>
      <w:bookmarkEnd w:id="928"/>
      <w:bookmarkEnd w:id="929"/>
      <w:bookmarkEnd w:id="930"/>
      <w:bookmarkEnd w:id="931"/>
      <w:bookmarkEnd w:id="932"/>
      <w:bookmarkEnd w:id="933"/>
      <w:bookmarkEnd w:id="934"/>
      <w:bookmarkEnd w:id="935"/>
      <w:bookmarkEnd w:id="936"/>
      <w:bookmarkEnd w:id="937"/>
      <w:bookmarkEnd w:id="938"/>
      <w:r w:rsidRPr="007E253F">
        <w:t xml:space="preserve"> </w:t>
      </w:r>
    </w:p>
    <w:p w14:paraId="7350016E" w14:textId="17A5CB58" w:rsidR="0077235D" w:rsidRPr="007E253F" w:rsidRDefault="0077235D" w:rsidP="000E2B3A">
      <w:pPr>
        <w:spacing w:after="0" w:line="360" w:lineRule="auto"/>
        <w:rPr>
          <w:rFonts w:cs="Times New Roman"/>
          <w:szCs w:val="24"/>
        </w:rPr>
      </w:pPr>
      <w:r w:rsidRPr="007E253F">
        <w:rPr>
          <w:rFonts w:cs="Times New Roman"/>
          <w:szCs w:val="24"/>
        </w:rPr>
        <w:t>El M</w:t>
      </w:r>
      <w:r w:rsidR="00150C77">
        <w:rPr>
          <w:rFonts w:cs="Times New Roman"/>
          <w:szCs w:val="24"/>
        </w:rPr>
        <w:t>a</w:t>
      </w:r>
      <w:r w:rsidRPr="007E253F">
        <w:rPr>
          <w:rFonts w:cs="Times New Roman"/>
          <w:szCs w:val="24"/>
        </w:rPr>
        <w:t>g</w:t>
      </w:r>
      <w:r w:rsidR="00150C77">
        <w:rPr>
          <w:rFonts w:cs="Times New Roman"/>
          <w:szCs w:val="24"/>
        </w:rPr>
        <w:t>nesio</w:t>
      </w:r>
      <w:r w:rsidRPr="007E253F">
        <w:rPr>
          <w:rFonts w:cs="Times New Roman"/>
          <w:szCs w:val="24"/>
        </w:rPr>
        <w:t xml:space="preserve"> es constituyente de la clorofila y por lo tanto está involucrado en la fotosíntesis. El Mg es muy móvil puede translocarse fácilmente de hojas viejas a hojas jóvenes, por esta razón, los síntomas de deficiencia aparecen primero en hojas viejas. Los síntomas de deficiencia aparecen primero en las hojas inferiores (viejas), las hojas presentan un color amarillento, bronceado o rojizo, mientras que las venas se mantienen verdes, en el maíz se presentan fajas amarillentas a lo largo de las hojas </w:t>
      </w:r>
      <w:sdt>
        <w:sdtPr>
          <w:rPr>
            <w:rFonts w:cs="Times New Roman"/>
            <w:szCs w:val="24"/>
          </w:rPr>
          <w:id w:val="-819346831"/>
          <w:citation/>
        </w:sdtPr>
        <w:sdtEndPr/>
        <w:sdtContent>
          <w:r w:rsidR="00FC2031" w:rsidRPr="007E253F">
            <w:rPr>
              <w:rFonts w:cs="Times New Roman"/>
              <w:szCs w:val="24"/>
            </w:rPr>
            <w:fldChar w:fldCharType="begin"/>
          </w:r>
          <w:r w:rsidR="00FC2031" w:rsidRPr="007E253F">
            <w:rPr>
              <w:rFonts w:cs="Times New Roman"/>
              <w:szCs w:val="24"/>
              <w:lang w:val="es-MX"/>
            </w:rPr>
            <w:instrText xml:space="preserve"> CITATION Wit02 \l 2058 </w:instrText>
          </w:r>
          <w:r w:rsidR="00FC2031" w:rsidRPr="007E253F">
            <w:rPr>
              <w:rFonts w:cs="Times New Roman"/>
              <w:szCs w:val="24"/>
            </w:rPr>
            <w:fldChar w:fldCharType="separate"/>
          </w:r>
          <w:r w:rsidR="005106B9" w:rsidRPr="005106B9">
            <w:rPr>
              <w:rFonts w:cs="Times New Roman"/>
              <w:noProof/>
              <w:szCs w:val="24"/>
              <w:lang w:val="es-MX"/>
            </w:rPr>
            <w:t>(Witt, 2002)</w:t>
          </w:r>
          <w:r w:rsidR="00FC2031" w:rsidRPr="007E253F">
            <w:rPr>
              <w:rFonts w:cs="Times New Roman"/>
              <w:szCs w:val="24"/>
            </w:rPr>
            <w:fldChar w:fldCharType="end"/>
          </w:r>
        </w:sdtContent>
      </w:sdt>
    </w:p>
    <w:p w14:paraId="2C7D2C13" w14:textId="140265EC" w:rsidR="0077235D" w:rsidRPr="00150C77" w:rsidRDefault="0077235D" w:rsidP="00135DE8">
      <w:pPr>
        <w:pStyle w:val="Ttulo3"/>
        <w:numPr>
          <w:ilvl w:val="2"/>
          <w:numId w:val="46"/>
        </w:numPr>
        <w:spacing w:before="360" w:after="360"/>
        <w:rPr>
          <w:shd w:val="clear" w:color="auto" w:fill="FFFFFF"/>
        </w:rPr>
      </w:pPr>
      <w:bookmarkStart w:id="939" w:name="_Toc72741121"/>
      <w:bookmarkStart w:id="940" w:name="_Toc72741919"/>
      <w:bookmarkStart w:id="941" w:name="_Toc72742717"/>
      <w:bookmarkStart w:id="942" w:name="_Toc72881469"/>
      <w:bookmarkStart w:id="943" w:name="_Toc72882551"/>
      <w:bookmarkStart w:id="944" w:name="_Toc75608896"/>
      <w:bookmarkStart w:id="945" w:name="_Toc75611822"/>
      <w:bookmarkStart w:id="946" w:name="_Toc75612668"/>
      <w:bookmarkStart w:id="947" w:name="_Toc75679823"/>
      <w:bookmarkStart w:id="948" w:name="_Toc75702431"/>
      <w:bookmarkStart w:id="949" w:name="_Toc80312279"/>
      <w:r w:rsidRPr="00150C77">
        <w:rPr>
          <w:shd w:val="clear" w:color="auto" w:fill="FFFFFF"/>
        </w:rPr>
        <w:t>Magnesio en el suelo</w:t>
      </w:r>
      <w:bookmarkEnd w:id="939"/>
      <w:bookmarkEnd w:id="940"/>
      <w:bookmarkEnd w:id="941"/>
      <w:bookmarkEnd w:id="942"/>
      <w:bookmarkEnd w:id="943"/>
      <w:bookmarkEnd w:id="944"/>
      <w:bookmarkEnd w:id="945"/>
      <w:bookmarkEnd w:id="946"/>
      <w:bookmarkEnd w:id="947"/>
      <w:bookmarkEnd w:id="948"/>
      <w:bookmarkEnd w:id="949"/>
      <w:r w:rsidRPr="00150C77">
        <w:rPr>
          <w:shd w:val="clear" w:color="auto" w:fill="FFFFFF"/>
        </w:rPr>
        <w:t xml:space="preserve"> </w:t>
      </w:r>
    </w:p>
    <w:p w14:paraId="5910AC91" w14:textId="158849F5" w:rsidR="0077235D" w:rsidRPr="007E253F" w:rsidRDefault="0077235D" w:rsidP="000E2B3A">
      <w:pPr>
        <w:spacing w:after="0" w:line="360" w:lineRule="auto"/>
        <w:rPr>
          <w:rFonts w:cs="Times New Roman"/>
          <w:szCs w:val="24"/>
          <w:shd w:val="clear" w:color="auto" w:fill="FFFFFF"/>
        </w:rPr>
      </w:pPr>
      <w:r w:rsidRPr="007E253F">
        <w:rPr>
          <w:rFonts w:cs="Times New Roman"/>
          <w:szCs w:val="24"/>
          <w:shd w:val="clear" w:color="auto" w:fill="FFFFFF"/>
        </w:rPr>
        <w:t xml:space="preserve">El Mg se ha convertido en uno de los factores limitantes, debido al agotamiento en una gran cantidad de suelos. La absorción de Mg está influenciada por la cantidad del elemento disponible en la solución del suelo, el pH del suelo, el porcentaje de saturación de Mg en el total de la capacidad de intercambio catiónico, y tipo de suelo </w:t>
      </w:r>
      <w:sdt>
        <w:sdtPr>
          <w:rPr>
            <w:rFonts w:cs="Times New Roman"/>
            <w:szCs w:val="24"/>
            <w:shd w:val="clear" w:color="auto" w:fill="FFFFFF"/>
          </w:rPr>
          <w:id w:val="344604334"/>
          <w:citation/>
        </w:sdtPr>
        <w:sdtEndPr/>
        <w:sdtContent>
          <w:r w:rsidR="005D1792" w:rsidRPr="007E253F">
            <w:rPr>
              <w:rFonts w:cs="Times New Roman"/>
              <w:szCs w:val="24"/>
              <w:shd w:val="clear" w:color="auto" w:fill="FFFFFF"/>
            </w:rPr>
            <w:fldChar w:fldCharType="begin"/>
          </w:r>
          <w:r w:rsidR="005D1792" w:rsidRPr="007E253F">
            <w:rPr>
              <w:rFonts w:cs="Times New Roman"/>
              <w:szCs w:val="24"/>
              <w:shd w:val="clear" w:color="auto" w:fill="FFFFFF"/>
              <w:lang w:val="es-MX"/>
            </w:rPr>
            <w:instrText xml:space="preserve"> CITATION Hal14 \l 2058 </w:instrText>
          </w:r>
          <w:r w:rsidR="005D1792" w:rsidRPr="007E253F">
            <w:rPr>
              <w:rFonts w:cs="Times New Roman"/>
              <w:szCs w:val="24"/>
              <w:shd w:val="clear" w:color="auto" w:fill="FFFFFF"/>
            </w:rPr>
            <w:fldChar w:fldCharType="separate"/>
          </w:r>
          <w:r w:rsidR="005106B9" w:rsidRPr="005106B9">
            <w:rPr>
              <w:rFonts w:cs="Times New Roman"/>
              <w:noProof/>
              <w:szCs w:val="24"/>
              <w:shd w:val="clear" w:color="auto" w:fill="FFFFFF"/>
              <w:lang w:val="es-MX"/>
            </w:rPr>
            <w:t>(Halvin, Tisdale, Nelson, &amp; Beaton, 2014)</w:t>
          </w:r>
          <w:r w:rsidR="005D1792" w:rsidRPr="007E253F">
            <w:rPr>
              <w:rFonts w:cs="Times New Roman"/>
              <w:szCs w:val="24"/>
              <w:shd w:val="clear" w:color="auto" w:fill="FFFFFF"/>
            </w:rPr>
            <w:fldChar w:fldCharType="end"/>
          </w:r>
        </w:sdtContent>
      </w:sdt>
    </w:p>
    <w:p w14:paraId="2CB8073A" w14:textId="6D3E5C62" w:rsidR="0077235D" w:rsidRDefault="0077235D" w:rsidP="00150C77">
      <w:pPr>
        <w:spacing w:before="360" w:after="360" w:line="360" w:lineRule="auto"/>
        <w:rPr>
          <w:rFonts w:cs="Times New Roman"/>
          <w:szCs w:val="24"/>
          <w:shd w:val="clear" w:color="auto" w:fill="FFFFFF"/>
        </w:rPr>
      </w:pPr>
      <w:r w:rsidRPr="007E253F">
        <w:rPr>
          <w:rFonts w:cs="Times New Roman"/>
          <w:szCs w:val="24"/>
          <w:shd w:val="clear" w:color="auto" w:fill="FFFFFF"/>
        </w:rPr>
        <w:t xml:space="preserve">Las pérdidas de Mg en el suelo se pueden dar por la lixiviación, la absorción de los microorganismos, poca retención de cationes del suelo, y la precipitación por minerales secundarios; este último es muy común en suelos áridos. La mayoría del Mg contenido en el suelo proviene de la descomposición de minerales, los suelos ubicados en climas templados presentan rangos de concentración de 5 a 50 ppm y en suelos de climas áridos oscila entre 120 a 2400 ppm. Las pérdidas por lixiviación dependen de la concentración del elemento en el suelo y del régimen </w:t>
      </w:r>
      <w:sdt>
        <w:sdtPr>
          <w:rPr>
            <w:rFonts w:cs="Times New Roman"/>
            <w:szCs w:val="24"/>
            <w:shd w:val="clear" w:color="auto" w:fill="FFFFFF"/>
          </w:rPr>
          <w:id w:val="-413939131"/>
          <w:citation/>
        </w:sdtPr>
        <w:sdtEndPr/>
        <w:sdtContent>
          <w:r w:rsidR="005D1792" w:rsidRPr="007E253F">
            <w:rPr>
              <w:rFonts w:cs="Times New Roman"/>
              <w:szCs w:val="24"/>
              <w:shd w:val="clear" w:color="auto" w:fill="FFFFFF"/>
            </w:rPr>
            <w:fldChar w:fldCharType="begin"/>
          </w:r>
          <w:r w:rsidR="005D1792" w:rsidRPr="007E253F">
            <w:rPr>
              <w:rFonts w:cs="Times New Roman"/>
              <w:szCs w:val="24"/>
              <w:shd w:val="clear" w:color="auto" w:fill="FFFFFF"/>
              <w:lang w:val="es-MX"/>
            </w:rPr>
            <w:instrText xml:space="preserve"> CITATION Hal14 \l 2058 </w:instrText>
          </w:r>
          <w:r w:rsidR="005D1792" w:rsidRPr="007E253F">
            <w:rPr>
              <w:rFonts w:cs="Times New Roman"/>
              <w:szCs w:val="24"/>
              <w:shd w:val="clear" w:color="auto" w:fill="FFFFFF"/>
            </w:rPr>
            <w:fldChar w:fldCharType="separate"/>
          </w:r>
          <w:r w:rsidR="005106B9" w:rsidRPr="005106B9">
            <w:rPr>
              <w:rFonts w:cs="Times New Roman"/>
              <w:noProof/>
              <w:szCs w:val="24"/>
              <w:shd w:val="clear" w:color="auto" w:fill="FFFFFF"/>
              <w:lang w:val="es-MX"/>
            </w:rPr>
            <w:t>(Halvin, Tisdale, Nelson, &amp; Beaton, 2014)</w:t>
          </w:r>
          <w:r w:rsidR="005D1792" w:rsidRPr="007E253F">
            <w:rPr>
              <w:rFonts w:cs="Times New Roman"/>
              <w:szCs w:val="24"/>
              <w:shd w:val="clear" w:color="auto" w:fill="FFFFFF"/>
            </w:rPr>
            <w:fldChar w:fldCharType="end"/>
          </w:r>
        </w:sdtContent>
      </w:sdt>
    </w:p>
    <w:p w14:paraId="2AF9FF6F" w14:textId="44FF9324" w:rsidR="0077235D" w:rsidRPr="007E253F" w:rsidRDefault="0077235D" w:rsidP="00135DE8">
      <w:pPr>
        <w:pStyle w:val="Ttulo2"/>
        <w:numPr>
          <w:ilvl w:val="1"/>
          <w:numId w:val="46"/>
        </w:numPr>
      </w:pPr>
      <w:bookmarkStart w:id="950" w:name="_Toc72741122"/>
      <w:bookmarkStart w:id="951" w:name="_Toc72741920"/>
      <w:bookmarkStart w:id="952" w:name="_Toc72742718"/>
      <w:bookmarkStart w:id="953" w:name="_Toc72881470"/>
      <w:bookmarkStart w:id="954" w:name="_Toc72882552"/>
      <w:bookmarkStart w:id="955" w:name="_Toc75608897"/>
      <w:bookmarkStart w:id="956" w:name="_Toc75611823"/>
      <w:bookmarkStart w:id="957" w:name="_Toc75612669"/>
      <w:bookmarkStart w:id="958" w:name="_Toc75679824"/>
      <w:bookmarkStart w:id="959" w:name="_Toc75702432"/>
      <w:bookmarkStart w:id="960" w:name="_Toc80312280"/>
      <w:r w:rsidRPr="007E253F">
        <w:t>Manejo de nutrientes por sitio especifico (MNSE)</w:t>
      </w:r>
      <w:bookmarkEnd w:id="950"/>
      <w:bookmarkEnd w:id="951"/>
      <w:bookmarkEnd w:id="952"/>
      <w:bookmarkEnd w:id="953"/>
      <w:bookmarkEnd w:id="954"/>
      <w:bookmarkEnd w:id="955"/>
      <w:bookmarkEnd w:id="956"/>
      <w:bookmarkEnd w:id="957"/>
      <w:bookmarkEnd w:id="958"/>
      <w:bookmarkEnd w:id="959"/>
      <w:bookmarkEnd w:id="960"/>
    </w:p>
    <w:p w14:paraId="47DB1874" w14:textId="6232AC8D" w:rsidR="00F67B88" w:rsidRDefault="0077235D" w:rsidP="000E2B3A">
      <w:pPr>
        <w:spacing w:after="0" w:line="360" w:lineRule="auto"/>
        <w:rPr>
          <w:rFonts w:cs="Times New Roman"/>
          <w:szCs w:val="24"/>
        </w:rPr>
      </w:pPr>
      <w:r w:rsidRPr="007E253F">
        <w:rPr>
          <w:rFonts w:cs="Times New Roman"/>
          <w:szCs w:val="24"/>
        </w:rPr>
        <w:t xml:space="preserve">El MNSE es una metodología que busca entregar nutrientes en la planta, en la cantidad que requiere para alcanzar un rendimiento determinado. A través del MNSE se llegaría a las recomendaciones de fertilización que permita compensar el déficit entre la necesidad total de los nutrientes del cultivo y el contenido de </w:t>
      </w:r>
      <w:r w:rsidRPr="007E253F">
        <w:rPr>
          <w:rFonts w:cs="Times New Roman"/>
          <w:szCs w:val="24"/>
        </w:rPr>
        <w:lastRenderedPageBreak/>
        <w:t xml:space="preserve">nutrientes que existen naturalmente en el suelo; logrando obtener la mayor cantidad de grano de maíz por unidad de fertilizante empleado. </w:t>
      </w:r>
    </w:p>
    <w:p w14:paraId="05F592A0" w14:textId="55D939B2" w:rsidR="00F67B88" w:rsidRDefault="0077235D" w:rsidP="00150C77">
      <w:pPr>
        <w:spacing w:before="360" w:after="360" w:line="360" w:lineRule="auto"/>
        <w:rPr>
          <w:rFonts w:cs="Times New Roman"/>
          <w:szCs w:val="24"/>
        </w:rPr>
      </w:pPr>
      <w:r w:rsidRPr="007E253F">
        <w:rPr>
          <w:rFonts w:cs="Times New Roman"/>
          <w:szCs w:val="24"/>
        </w:rPr>
        <w:t xml:space="preserve">El MNSE usa de manera fundamental el contraste en rendimiento entre una parcela completa, en la que se maneja adecuadamente el cultivo incluyendo una fertilización con todos los elementos, versus el desempeño de parcelas en las que se deja de aplicar un elemento en particular </w:t>
      </w:r>
      <w:r w:rsidR="001B453E" w:rsidRPr="001B453E">
        <w:rPr>
          <w:rFonts w:cs="Times New Roman"/>
          <w:noProof/>
          <w:szCs w:val="24"/>
          <w:lang w:val="es-MX"/>
        </w:rPr>
        <w:t>(INIAP, 2011)</w:t>
      </w:r>
    </w:p>
    <w:p w14:paraId="2BCAB453" w14:textId="39E5B199" w:rsidR="0077235D" w:rsidRPr="007E253F" w:rsidRDefault="0077235D" w:rsidP="000E2B3A">
      <w:pPr>
        <w:spacing w:after="0" w:line="360" w:lineRule="auto"/>
        <w:rPr>
          <w:rFonts w:cs="Times New Roman"/>
          <w:szCs w:val="24"/>
        </w:rPr>
      </w:pPr>
      <w:r w:rsidRPr="007E253F">
        <w:rPr>
          <w:rFonts w:cs="Times New Roman"/>
          <w:szCs w:val="24"/>
        </w:rPr>
        <w:t xml:space="preserve">El manejo de nutrientes por sitio especifico es una alternativa para entregar nutrientes a la planta como y cuando lo necesita, y permite ajustar dinámicamente el déficit de nutrientes en base al requerimiento y el aporte del suelo, para lograr un buen rendimiento, aplicando los nutrientes en dosis optimas al momento adecuado. Además, este método toma en cuenta otros factores como el clima y el manejo del cultivo </w:t>
      </w:r>
      <w:sdt>
        <w:sdtPr>
          <w:rPr>
            <w:rFonts w:cs="Times New Roman"/>
            <w:szCs w:val="24"/>
          </w:rPr>
          <w:id w:val="1914274323"/>
          <w:citation/>
        </w:sdtPr>
        <w:sdtEndPr/>
        <w:sdtContent>
          <w:r w:rsidR="003E2A1E" w:rsidRPr="007E253F">
            <w:rPr>
              <w:rFonts w:cs="Times New Roman"/>
              <w:szCs w:val="24"/>
            </w:rPr>
            <w:fldChar w:fldCharType="begin"/>
          </w:r>
          <w:r w:rsidR="003E2A1E" w:rsidRPr="007E253F">
            <w:rPr>
              <w:rFonts w:cs="Times New Roman"/>
              <w:szCs w:val="24"/>
              <w:lang w:val="es-MX"/>
            </w:rPr>
            <w:instrText xml:space="preserve"> CITATION Esp10 \l 2058 </w:instrText>
          </w:r>
          <w:r w:rsidR="003E2A1E" w:rsidRPr="007E253F">
            <w:rPr>
              <w:rFonts w:cs="Times New Roman"/>
              <w:szCs w:val="24"/>
            </w:rPr>
            <w:fldChar w:fldCharType="separate"/>
          </w:r>
          <w:r w:rsidR="005106B9" w:rsidRPr="005106B9">
            <w:rPr>
              <w:rFonts w:cs="Times New Roman"/>
              <w:noProof/>
              <w:szCs w:val="24"/>
              <w:lang w:val="es-MX"/>
            </w:rPr>
            <w:t>(Espinoza, 2010)</w:t>
          </w:r>
          <w:r w:rsidR="003E2A1E" w:rsidRPr="007E253F">
            <w:rPr>
              <w:rFonts w:cs="Times New Roman"/>
              <w:szCs w:val="24"/>
            </w:rPr>
            <w:fldChar w:fldCharType="end"/>
          </w:r>
        </w:sdtContent>
      </w:sdt>
    </w:p>
    <w:p w14:paraId="3DE1B10A" w14:textId="47F375A7" w:rsidR="00F67B88" w:rsidRDefault="0077235D" w:rsidP="00150C77">
      <w:pPr>
        <w:spacing w:before="360" w:after="360" w:line="360" w:lineRule="auto"/>
        <w:rPr>
          <w:rFonts w:cs="Times New Roman"/>
          <w:szCs w:val="24"/>
        </w:rPr>
      </w:pPr>
      <w:r w:rsidRPr="007E253F">
        <w:rPr>
          <w:rFonts w:cs="Times New Roman"/>
          <w:szCs w:val="24"/>
        </w:rPr>
        <w:t xml:space="preserve">Tradicionalmente, el manejo de la nutrición se ha basado en el promedio del contenido de nutrientes medido por el análisis de suelos, este método de diagnóstico define el manejo nutricional sobre el factor intrínseco del suelo, cuya variabilidad está dada por el material parental, altitud y su manejo. El manejo es el factor más importante en la variabilidad, ya que estas diferencias afectan el suplemento de nutrientes nativos del suelo, y nos permiten conocer la cantidad extra de nutrientes que se necesita para llegar a obtener buenos rendimientos </w:t>
      </w:r>
    </w:p>
    <w:p w14:paraId="0480F1C9" w14:textId="529B817A" w:rsidR="0077235D" w:rsidRPr="007E253F" w:rsidRDefault="0077235D" w:rsidP="000E2B3A">
      <w:pPr>
        <w:spacing w:after="0" w:line="360" w:lineRule="auto"/>
        <w:rPr>
          <w:rFonts w:cs="Times New Roman"/>
          <w:szCs w:val="24"/>
        </w:rPr>
      </w:pPr>
      <w:r w:rsidRPr="007E253F">
        <w:rPr>
          <w:rFonts w:cs="Times New Roman"/>
          <w:szCs w:val="24"/>
        </w:rPr>
        <w:t xml:space="preserve">El manejo por sitio específico busca identificar y cuantificar la variabilidad entre el factor suelo, clima y manejo presente en las zonas agrícolas, para luego determinar el impacto de esta variabilidad en el rendimiento. Una vez que se entiende el efecto de la variabilidad se pueden determinar las estrategias que permitan manejarla de modo que se incrementen los rendimientos y reducir el costo de los insumos, esto no implica a que se vayan a utilizar menos insumos sino más bien que se hace más eficiente su uso, obteniendo más rendimiento por unidad de superficie. Este rendimiento permite cuantificar la variabilidad ya que es el indicador biológico que integra el impacto acumulado del recurso natural, los insumos utilizados, el clima y el manejo, donde el manejo por sitio específico considera la respuesta en </w:t>
      </w:r>
      <w:r w:rsidRPr="007E253F">
        <w:rPr>
          <w:rFonts w:cs="Times New Roman"/>
          <w:szCs w:val="24"/>
        </w:rPr>
        <w:lastRenderedPageBreak/>
        <w:t xml:space="preserve">rendimiento a cada uno de los factores antes mencionados y a su interacción </w:t>
      </w:r>
      <w:sdt>
        <w:sdtPr>
          <w:rPr>
            <w:rFonts w:cs="Times New Roman"/>
            <w:szCs w:val="24"/>
          </w:rPr>
          <w:id w:val="-1136952716"/>
          <w:citation/>
        </w:sdtPr>
        <w:sdtEndPr/>
        <w:sdtContent>
          <w:r w:rsidR="003E2A1E" w:rsidRPr="007E253F">
            <w:rPr>
              <w:rFonts w:cs="Times New Roman"/>
              <w:szCs w:val="24"/>
            </w:rPr>
            <w:fldChar w:fldCharType="begin"/>
          </w:r>
          <w:r w:rsidR="003E2A1E" w:rsidRPr="007E253F">
            <w:rPr>
              <w:rFonts w:cs="Times New Roman"/>
              <w:szCs w:val="24"/>
              <w:lang w:val="es-MX"/>
            </w:rPr>
            <w:instrText xml:space="preserve"> CITATION Sot17 \l 2058 </w:instrText>
          </w:r>
          <w:r w:rsidR="003E2A1E" w:rsidRPr="007E253F">
            <w:rPr>
              <w:rFonts w:cs="Times New Roman"/>
              <w:szCs w:val="24"/>
            </w:rPr>
            <w:fldChar w:fldCharType="separate"/>
          </w:r>
          <w:r w:rsidR="005106B9" w:rsidRPr="005106B9">
            <w:rPr>
              <w:rFonts w:cs="Times New Roman"/>
              <w:noProof/>
              <w:szCs w:val="24"/>
              <w:lang w:val="es-MX"/>
            </w:rPr>
            <w:t>(Soto, 2017)</w:t>
          </w:r>
          <w:r w:rsidR="003E2A1E" w:rsidRPr="007E253F">
            <w:rPr>
              <w:rFonts w:cs="Times New Roman"/>
              <w:szCs w:val="24"/>
            </w:rPr>
            <w:fldChar w:fldCharType="end"/>
          </w:r>
        </w:sdtContent>
      </w:sdt>
      <w:r w:rsidR="003E2A1E" w:rsidRPr="007E253F">
        <w:rPr>
          <w:rFonts w:cs="Times New Roman"/>
          <w:szCs w:val="24"/>
        </w:rPr>
        <w:t>.</w:t>
      </w:r>
    </w:p>
    <w:p w14:paraId="5C583B96" w14:textId="0E35137E" w:rsidR="0077235D" w:rsidRPr="007E253F" w:rsidRDefault="0077235D" w:rsidP="00135DE8">
      <w:pPr>
        <w:pStyle w:val="Ttulo3"/>
        <w:numPr>
          <w:ilvl w:val="2"/>
          <w:numId w:val="46"/>
        </w:numPr>
        <w:spacing w:before="360" w:after="360"/>
      </w:pPr>
      <w:bookmarkStart w:id="961" w:name="_Toc72741123"/>
      <w:bookmarkStart w:id="962" w:name="_Toc72741921"/>
      <w:bookmarkStart w:id="963" w:name="_Toc72742719"/>
      <w:bookmarkStart w:id="964" w:name="_Toc72881471"/>
      <w:bookmarkStart w:id="965" w:name="_Toc72882553"/>
      <w:bookmarkStart w:id="966" w:name="_Toc75608898"/>
      <w:bookmarkStart w:id="967" w:name="_Toc75611824"/>
      <w:bookmarkStart w:id="968" w:name="_Toc75612670"/>
      <w:bookmarkStart w:id="969" w:name="_Toc75679825"/>
      <w:bookmarkStart w:id="970" w:name="_Toc75702433"/>
      <w:bookmarkStart w:id="971" w:name="_Toc80312281"/>
      <w:r w:rsidRPr="007E253F">
        <w:t>Nutrientes por sitio específico</w:t>
      </w:r>
      <w:bookmarkEnd w:id="961"/>
      <w:bookmarkEnd w:id="962"/>
      <w:bookmarkEnd w:id="963"/>
      <w:bookmarkEnd w:id="964"/>
      <w:bookmarkEnd w:id="965"/>
      <w:bookmarkEnd w:id="966"/>
      <w:bookmarkEnd w:id="967"/>
      <w:bookmarkEnd w:id="968"/>
      <w:bookmarkEnd w:id="969"/>
      <w:bookmarkEnd w:id="970"/>
      <w:bookmarkEnd w:id="971"/>
    </w:p>
    <w:p w14:paraId="51FF8913" w14:textId="13EC6054" w:rsidR="00F67B88" w:rsidRDefault="0077235D" w:rsidP="000E2B3A">
      <w:pPr>
        <w:spacing w:after="0" w:line="360" w:lineRule="auto"/>
        <w:rPr>
          <w:rFonts w:cs="Times New Roman"/>
          <w:szCs w:val="24"/>
        </w:rPr>
      </w:pPr>
      <w:r w:rsidRPr="007E253F">
        <w:rPr>
          <w:rFonts w:cs="Times New Roman"/>
          <w:szCs w:val="24"/>
        </w:rPr>
        <w:t xml:space="preserve">El crecimiento vegetativo y la necesidad de implementar nutrientes varía apreciablemente entre lotes, entre épocas climáticas dentro del año y entre años de producción.  Esto resulta en diferentes condiciones de crecimiento y manejo del cultivo y en diferencias en el suelo y clima que no pueden ser detectadas por el análisis de suelos.  Por tal razón, el manejo de nutrientes requiere de una forma de manejo que permite los ajustes en la aplicación de nutrientes para acomodarse a las necesidades específicas de cada lote en producción y en cada época del año.  Esta forma se la conoce como “Manejo de Nutrientes por sitio Específico (MNSE)” </w:t>
      </w:r>
      <w:sdt>
        <w:sdtPr>
          <w:rPr>
            <w:rFonts w:cs="Times New Roman"/>
            <w:szCs w:val="24"/>
          </w:rPr>
          <w:id w:val="-1630624178"/>
          <w:citation/>
        </w:sdtPr>
        <w:sdtEndPr/>
        <w:sdtContent>
          <w:r w:rsidR="003E2A1E" w:rsidRPr="007E253F">
            <w:rPr>
              <w:rFonts w:cs="Times New Roman"/>
              <w:szCs w:val="24"/>
            </w:rPr>
            <w:fldChar w:fldCharType="begin"/>
          </w:r>
          <w:r w:rsidR="003E2A1E" w:rsidRPr="007E253F">
            <w:rPr>
              <w:rFonts w:cs="Times New Roman"/>
              <w:szCs w:val="24"/>
              <w:lang w:val="es-MX"/>
            </w:rPr>
            <w:instrText xml:space="preserve"> CITATION Esp10 \l 2058 </w:instrText>
          </w:r>
          <w:r w:rsidR="003E2A1E" w:rsidRPr="007E253F">
            <w:rPr>
              <w:rFonts w:cs="Times New Roman"/>
              <w:szCs w:val="24"/>
            </w:rPr>
            <w:fldChar w:fldCharType="separate"/>
          </w:r>
          <w:r w:rsidR="005106B9" w:rsidRPr="005106B9">
            <w:rPr>
              <w:rFonts w:cs="Times New Roman"/>
              <w:noProof/>
              <w:szCs w:val="24"/>
              <w:lang w:val="es-MX"/>
            </w:rPr>
            <w:t>(Espinoza, 2010)</w:t>
          </w:r>
          <w:r w:rsidR="003E2A1E" w:rsidRPr="007E253F">
            <w:rPr>
              <w:rFonts w:cs="Times New Roman"/>
              <w:szCs w:val="24"/>
            </w:rPr>
            <w:fldChar w:fldCharType="end"/>
          </w:r>
        </w:sdtContent>
      </w:sdt>
    </w:p>
    <w:p w14:paraId="626CC0D2" w14:textId="5B83FEBE" w:rsidR="0077235D" w:rsidRPr="007E253F" w:rsidRDefault="0077235D" w:rsidP="00150C77">
      <w:pPr>
        <w:spacing w:before="360" w:after="360" w:line="360" w:lineRule="auto"/>
        <w:rPr>
          <w:rFonts w:cs="Times New Roman"/>
          <w:szCs w:val="24"/>
        </w:rPr>
      </w:pPr>
      <w:r w:rsidRPr="007E253F">
        <w:rPr>
          <w:rFonts w:cs="Times New Roman"/>
          <w:szCs w:val="24"/>
        </w:rPr>
        <w:t>La experiencia de trabajos de campo en los últimos años ha permitido determinar que las recomendaciones de fertilización basadas en el análisis de suelos no logran satisfacer adecuadamente las necesidades nutritivas de los cultivos para lograr rendimientos altos y competitivos.  Estas recomendaciones a menudo consisten en una dosis predeterminada de nutrimentos para una vasta área de producción. Estas recomendaciones asumen que la necesidad de nutrientes de los cultivos es constante en el tiempo y es igual para grandes áreas de producción.  Se conoce que los rendimientos son diferentes según la época de siembra, pero estas diferencias no se toman en cuenta cuando se fertiliza un lote en particular en una época del año.  El uso de estas recomendaciones no es suficiente para lograr los rendimientos que se conoce pueden ofrecer las diferentes zonas de producción de una zona o región</w:t>
      </w:r>
      <w:r w:rsidR="003E2A1E" w:rsidRPr="007E253F">
        <w:rPr>
          <w:rFonts w:cs="Times New Roman"/>
          <w:szCs w:val="24"/>
        </w:rPr>
        <w:t xml:space="preserve"> </w:t>
      </w:r>
      <w:r w:rsidR="001B453E" w:rsidRPr="001B453E">
        <w:rPr>
          <w:rFonts w:cs="Times New Roman"/>
          <w:noProof/>
          <w:szCs w:val="24"/>
          <w:lang w:val="es-MX"/>
        </w:rPr>
        <w:t>(INIAP, 2011)</w:t>
      </w:r>
      <w:r w:rsidRPr="001B453E">
        <w:rPr>
          <w:rFonts w:cs="Times New Roman"/>
          <w:szCs w:val="24"/>
        </w:rPr>
        <w:t>.</w:t>
      </w:r>
      <w:r w:rsidRPr="007E253F">
        <w:rPr>
          <w:rFonts w:cs="Times New Roman"/>
          <w:szCs w:val="24"/>
        </w:rPr>
        <w:t xml:space="preserve">   </w:t>
      </w:r>
    </w:p>
    <w:p w14:paraId="012E2491" w14:textId="77087323" w:rsidR="0077235D" w:rsidRDefault="0077235D" w:rsidP="000E2B3A">
      <w:pPr>
        <w:spacing w:after="0" w:line="360" w:lineRule="auto"/>
        <w:rPr>
          <w:rFonts w:cs="Times New Roman"/>
          <w:szCs w:val="24"/>
        </w:rPr>
      </w:pPr>
      <w:r w:rsidRPr="007E253F">
        <w:rPr>
          <w:rFonts w:cs="Times New Roman"/>
          <w:szCs w:val="24"/>
        </w:rPr>
        <w:t>Para implementar un proceso de MNSE se requiere de tres pasos.</w:t>
      </w:r>
    </w:p>
    <w:p w14:paraId="1A35EF24" w14:textId="76331D70" w:rsidR="00E70495" w:rsidRDefault="00E70495" w:rsidP="000E2B3A">
      <w:pPr>
        <w:spacing w:after="0" w:line="360" w:lineRule="auto"/>
        <w:rPr>
          <w:rFonts w:cs="Times New Roman"/>
          <w:szCs w:val="24"/>
        </w:rPr>
      </w:pPr>
    </w:p>
    <w:p w14:paraId="21FD4095" w14:textId="1D299637" w:rsidR="00E70495" w:rsidRDefault="00E70495" w:rsidP="000E2B3A">
      <w:pPr>
        <w:spacing w:after="0" w:line="360" w:lineRule="auto"/>
        <w:rPr>
          <w:rFonts w:cs="Times New Roman"/>
          <w:szCs w:val="24"/>
        </w:rPr>
      </w:pPr>
    </w:p>
    <w:p w14:paraId="5F748F99" w14:textId="77777777" w:rsidR="00E70495" w:rsidRPr="007E253F" w:rsidRDefault="00E70495" w:rsidP="000E2B3A">
      <w:pPr>
        <w:spacing w:after="0" w:line="360" w:lineRule="auto"/>
        <w:rPr>
          <w:rFonts w:cs="Times New Roman"/>
          <w:szCs w:val="24"/>
        </w:rPr>
      </w:pPr>
    </w:p>
    <w:p w14:paraId="7BF7C737" w14:textId="77777777" w:rsidR="00E70495" w:rsidRDefault="0077235D" w:rsidP="00E70495">
      <w:pPr>
        <w:pStyle w:val="Prrafodelista"/>
        <w:numPr>
          <w:ilvl w:val="0"/>
          <w:numId w:val="11"/>
        </w:numPr>
        <w:spacing w:before="360" w:after="360" w:line="360" w:lineRule="auto"/>
        <w:rPr>
          <w:rFonts w:cs="Times New Roman"/>
          <w:b/>
          <w:bCs/>
          <w:szCs w:val="24"/>
        </w:rPr>
      </w:pPr>
      <w:bookmarkStart w:id="972" w:name="_Toc46348746"/>
      <w:bookmarkStart w:id="973" w:name="_Toc46349050"/>
      <w:bookmarkStart w:id="974" w:name="_Toc58826595"/>
      <w:r w:rsidRPr="009F4ACC">
        <w:rPr>
          <w:rFonts w:cs="Times New Roman"/>
          <w:b/>
          <w:bCs/>
          <w:szCs w:val="24"/>
        </w:rPr>
        <w:lastRenderedPageBreak/>
        <w:t>Establecimiento de la meta de rendimiento obtenible</w:t>
      </w:r>
      <w:bookmarkEnd w:id="972"/>
      <w:bookmarkEnd w:id="973"/>
      <w:bookmarkEnd w:id="974"/>
    </w:p>
    <w:p w14:paraId="2FB40CA6" w14:textId="70134D06" w:rsidR="001B453E" w:rsidRPr="00E70495" w:rsidRDefault="0077235D" w:rsidP="00E70495">
      <w:pPr>
        <w:spacing w:before="360" w:after="360" w:line="360" w:lineRule="auto"/>
        <w:rPr>
          <w:rFonts w:cs="Times New Roman"/>
          <w:b/>
          <w:bCs/>
          <w:szCs w:val="24"/>
        </w:rPr>
      </w:pPr>
      <w:r w:rsidRPr="00E70495">
        <w:rPr>
          <w:rFonts w:cs="Times New Roman"/>
          <w:szCs w:val="24"/>
        </w:rPr>
        <w:t xml:space="preserve">La meta de rendimiento para un sitio y temporada de un año en particular se estima del rendimiento de grano obtenible cuando las limitantes de nutrientes (N, P, K, Mg y S) son eliminadas.  Esta meta de rendimiento puede ser un porcentaje (70 % y 80 %) del rendimiento potencial demostrado para el sitio.  Conociendo que la cantidad de nutrientes absorbida por el cultivo está directamente relacionada con el rendimiento, la meta de rendimiento obtenible indica la cantidad total de nutrientes que el cultivo debe absorber para obtener ese rendimiento </w:t>
      </w:r>
      <w:sdt>
        <w:sdtPr>
          <w:id w:val="1237978939"/>
          <w:citation/>
        </w:sdtPr>
        <w:sdtEndPr/>
        <w:sdtContent>
          <w:r w:rsidR="003E2A1E" w:rsidRPr="00E70495">
            <w:rPr>
              <w:rFonts w:cs="Times New Roman"/>
              <w:szCs w:val="24"/>
            </w:rPr>
            <w:fldChar w:fldCharType="begin"/>
          </w:r>
          <w:r w:rsidR="003E2A1E" w:rsidRPr="00E70495">
            <w:rPr>
              <w:rFonts w:cs="Times New Roman"/>
              <w:szCs w:val="24"/>
              <w:lang w:val="es-MX"/>
            </w:rPr>
            <w:instrText xml:space="preserve"> CITATION Esp10 \l 2058 </w:instrText>
          </w:r>
          <w:r w:rsidR="003E2A1E" w:rsidRPr="00E70495">
            <w:rPr>
              <w:rFonts w:cs="Times New Roman"/>
              <w:szCs w:val="24"/>
            </w:rPr>
            <w:fldChar w:fldCharType="separate"/>
          </w:r>
          <w:r w:rsidR="005106B9" w:rsidRPr="005106B9">
            <w:rPr>
              <w:rFonts w:cs="Times New Roman"/>
              <w:noProof/>
              <w:szCs w:val="24"/>
              <w:lang w:val="es-MX"/>
            </w:rPr>
            <w:t>(Espinoza, 2010)</w:t>
          </w:r>
          <w:r w:rsidR="003E2A1E" w:rsidRPr="00E70495">
            <w:rPr>
              <w:rFonts w:cs="Times New Roman"/>
              <w:szCs w:val="24"/>
            </w:rPr>
            <w:fldChar w:fldCharType="end"/>
          </w:r>
        </w:sdtContent>
      </w:sdt>
    </w:p>
    <w:p w14:paraId="02C57B98" w14:textId="20608435" w:rsidR="0077235D" w:rsidRPr="009F4ACC" w:rsidRDefault="0077235D" w:rsidP="00135DE8">
      <w:pPr>
        <w:pStyle w:val="Prrafodelista"/>
        <w:numPr>
          <w:ilvl w:val="0"/>
          <w:numId w:val="11"/>
        </w:numPr>
        <w:spacing w:before="360" w:after="360" w:line="360" w:lineRule="auto"/>
        <w:rPr>
          <w:rFonts w:cs="Times New Roman"/>
          <w:b/>
          <w:bCs/>
          <w:szCs w:val="24"/>
        </w:rPr>
      </w:pPr>
      <w:bookmarkStart w:id="975" w:name="_Toc46348747"/>
      <w:bookmarkStart w:id="976" w:name="_Toc46349051"/>
      <w:bookmarkStart w:id="977" w:name="_Toc58826596"/>
      <w:r w:rsidRPr="009F4ACC">
        <w:rPr>
          <w:rFonts w:cs="Times New Roman"/>
          <w:b/>
          <w:bCs/>
          <w:szCs w:val="24"/>
        </w:rPr>
        <w:t>Determinación del aporte de nutrientes provenientes del suelo</w:t>
      </w:r>
      <w:bookmarkEnd w:id="975"/>
      <w:bookmarkEnd w:id="976"/>
      <w:bookmarkEnd w:id="977"/>
      <w:r w:rsidRPr="009F4ACC">
        <w:rPr>
          <w:rFonts w:cs="Times New Roman"/>
          <w:b/>
          <w:bCs/>
          <w:szCs w:val="24"/>
        </w:rPr>
        <w:t xml:space="preserve"> </w:t>
      </w:r>
    </w:p>
    <w:p w14:paraId="03A37620" w14:textId="3F310FD3" w:rsidR="00F67B88" w:rsidRPr="009F4ACC" w:rsidRDefault="0077235D" w:rsidP="009F4ACC">
      <w:pPr>
        <w:spacing w:after="0" w:line="360" w:lineRule="auto"/>
        <w:rPr>
          <w:rFonts w:cs="Times New Roman"/>
          <w:szCs w:val="24"/>
        </w:rPr>
      </w:pPr>
      <w:r w:rsidRPr="007E253F">
        <w:rPr>
          <w:rFonts w:cs="Times New Roman"/>
          <w:szCs w:val="24"/>
        </w:rPr>
        <w:t xml:space="preserve">La evaluación del aporte de los nutrientes nativos del suelo se logra mediante la técnica de las parcelas de omisión.  Esta técnica determina el suplemento de nutrientes nativos del suelo por su acumulación en el cultivo sin fertilizar con el nutriente de interés, pero fertilizado en cantidades suficientes con los otros nutrientes para asegurarse que la ausencia de éstos no limite el rendimiento </w:t>
      </w:r>
      <w:sdt>
        <w:sdtPr>
          <w:rPr>
            <w:rFonts w:cs="Times New Roman"/>
            <w:szCs w:val="24"/>
          </w:rPr>
          <w:id w:val="2114314418"/>
          <w:citation/>
        </w:sdtPr>
        <w:sdtEndPr/>
        <w:sdtContent>
          <w:r w:rsidR="003E2A1E" w:rsidRPr="007E253F">
            <w:rPr>
              <w:rFonts w:cs="Times New Roman"/>
              <w:szCs w:val="24"/>
            </w:rPr>
            <w:fldChar w:fldCharType="begin"/>
          </w:r>
          <w:r w:rsidR="003E2A1E" w:rsidRPr="007E253F">
            <w:rPr>
              <w:rFonts w:cs="Times New Roman"/>
              <w:szCs w:val="24"/>
              <w:lang w:val="es-MX"/>
            </w:rPr>
            <w:instrText xml:space="preserve"> CITATION Esp10 \l 2058 </w:instrText>
          </w:r>
          <w:r w:rsidR="003E2A1E" w:rsidRPr="007E253F">
            <w:rPr>
              <w:rFonts w:cs="Times New Roman"/>
              <w:szCs w:val="24"/>
            </w:rPr>
            <w:fldChar w:fldCharType="separate"/>
          </w:r>
          <w:r w:rsidR="005106B9" w:rsidRPr="005106B9">
            <w:rPr>
              <w:rFonts w:cs="Times New Roman"/>
              <w:noProof/>
              <w:szCs w:val="24"/>
              <w:lang w:val="es-MX"/>
            </w:rPr>
            <w:t>(Espinoza, 2010)</w:t>
          </w:r>
          <w:r w:rsidR="003E2A1E" w:rsidRPr="007E253F">
            <w:rPr>
              <w:rFonts w:cs="Times New Roman"/>
              <w:szCs w:val="24"/>
            </w:rPr>
            <w:fldChar w:fldCharType="end"/>
          </w:r>
        </w:sdtContent>
      </w:sdt>
      <w:bookmarkStart w:id="978" w:name="_Toc46348748"/>
      <w:bookmarkStart w:id="979" w:name="_Toc46349052"/>
      <w:bookmarkStart w:id="980" w:name="_Toc58826597"/>
    </w:p>
    <w:p w14:paraId="781A8DCF" w14:textId="533A6E3A" w:rsidR="0077235D" w:rsidRPr="009F4ACC" w:rsidRDefault="0077235D" w:rsidP="00135DE8">
      <w:pPr>
        <w:pStyle w:val="Prrafodelista"/>
        <w:numPr>
          <w:ilvl w:val="0"/>
          <w:numId w:val="11"/>
        </w:numPr>
        <w:spacing w:before="360" w:after="360" w:line="360" w:lineRule="auto"/>
        <w:ind w:left="714" w:hanging="357"/>
        <w:rPr>
          <w:rFonts w:cs="Times New Roman"/>
          <w:b/>
          <w:bCs/>
          <w:szCs w:val="24"/>
        </w:rPr>
      </w:pPr>
      <w:r w:rsidRPr="009F4ACC">
        <w:rPr>
          <w:rFonts w:cs="Times New Roman"/>
          <w:b/>
          <w:bCs/>
          <w:szCs w:val="24"/>
        </w:rPr>
        <w:t>Estrategias de fertilización del MNSE</w:t>
      </w:r>
      <w:bookmarkEnd w:id="978"/>
      <w:bookmarkEnd w:id="979"/>
      <w:bookmarkEnd w:id="980"/>
      <w:r w:rsidRPr="009F4ACC">
        <w:rPr>
          <w:rFonts w:cs="Times New Roman"/>
          <w:b/>
          <w:bCs/>
          <w:szCs w:val="24"/>
        </w:rPr>
        <w:t xml:space="preserve">  </w:t>
      </w:r>
    </w:p>
    <w:p w14:paraId="2DBF497E" w14:textId="77777777" w:rsidR="0077235D" w:rsidRPr="007E253F" w:rsidRDefault="0077235D" w:rsidP="000E2B3A">
      <w:pPr>
        <w:spacing w:after="0" w:line="360" w:lineRule="auto"/>
        <w:rPr>
          <w:rFonts w:cs="Times New Roman"/>
          <w:szCs w:val="24"/>
        </w:rPr>
      </w:pPr>
      <w:r w:rsidRPr="007E253F">
        <w:rPr>
          <w:rFonts w:cs="Times New Roman"/>
          <w:szCs w:val="24"/>
        </w:rPr>
        <w:t xml:space="preserve">El MNSE se obtienen rendimientos sustentables con estrategias adecuadas en el manejo de nutrientes y del cultivo en general. </w:t>
      </w:r>
    </w:p>
    <w:p w14:paraId="1E733407" w14:textId="77777777" w:rsidR="0077235D" w:rsidRPr="007E253F" w:rsidRDefault="0077235D" w:rsidP="00135DE8">
      <w:pPr>
        <w:pStyle w:val="Prrafodelista"/>
        <w:numPr>
          <w:ilvl w:val="0"/>
          <w:numId w:val="8"/>
        </w:numPr>
        <w:spacing w:after="0" w:line="360" w:lineRule="auto"/>
        <w:rPr>
          <w:rFonts w:cs="Times New Roman"/>
          <w:szCs w:val="24"/>
        </w:rPr>
      </w:pPr>
      <w:r w:rsidRPr="007E253F">
        <w:rPr>
          <w:rFonts w:cs="Times New Roman"/>
          <w:szCs w:val="24"/>
        </w:rPr>
        <w:t xml:space="preserve">Uso de semillas de alta calidad, de óptima densidad de siembra, el manejo integrado de plagas y enfermedades, manejo del cultivo, permitiendo explotar por completo el beneficio del MNSE. </w:t>
      </w:r>
    </w:p>
    <w:p w14:paraId="449FAE6F" w14:textId="77777777" w:rsidR="0077235D" w:rsidRPr="007E253F" w:rsidRDefault="0077235D" w:rsidP="00135DE8">
      <w:pPr>
        <w:pStyle w:val="Prrafodelista"/>
        <w:numPr>
          <w:ilvl w:val="0"/>
          <w:numId w:val="8"/>
        </w:numPr>
        <w:spacing w:after="0" w:line="360" w:lineRule="auto"/>
        <w:rPr>
          <w:rFonts w:cs="Times New Roman"/>
          <w:szCs w:val="24"/>
        </w:rPr>
      </w:pPr>
      <w:r w:rsidRPr="007E253F">
        <w:rPr>
          <w:rFonts w:cs="Times New Roman"/>
          <w:szCs w:val="24"/>
        </w:rPr>
        <w:t xml:space="preserve">El MNSE debe ajustarse a las necesidades locales donde se lo empleará, entre estos parámetros debe tomarse en cuenta el rendimiento y la rentabilidad en lotes de agricultores con su participación. </w:t>
      </w:r>
    </w:p>
    <w:p w14:paraId="3CF3B383" w14:textId="77777777" w:rsidR="0077235D" w:rsidRPr="007E253F" w:rsidRDefault="0077235D" w:rsidP="00135DE8">
      <w:pPr>
        <w:pStyle w:val="Prrafodelista"/>
        <w:numPr>
          <w:ilvl w:val="0"/>
          <w:numId w:val="8"/>
        </w:numPr>
        <w:spacing w:after="0" w:line="360" w:lineRule="auto"/>
        <w:rPr>
          <w:rFonts w:cs="Times New Roman"/>
          <w:szCs w:val="24"/>
        </w:rPr>
      </w:pPr>
      <w:r w:rsidRPr="007E253F">
        <w:rPr>
          <w:rFonts w:cs="Times New Roman"/>
          <w:szCs w:val="24"/>
        </w:rPr>
        <w:t xml:space="preserve">Se emplea parcelas de omisión para determinar el suplemento de nutrientes nativos del suelo.  En el caso del manejo del nitrógeno de acuerdo a las necesidades que presenta la planta se utiliza la Cuadro de comparación de colores o uso de detector de clorofila en las hojas.  </w:t>
      </w:r>
    </w:p>
    <w:p w14:paraId="6C3A8499" w14:textId="77777777" w:rsidR="0077235D" w:rsidRPr="007E253F" w:rsidRDefault="0077235D" w:rsidP="00135DE8">
      <w:pPr>
        <w:pStyle w:val="Prrafodelista"/>
        <w:numPr>
          <w:ilvl w:val="0"/>
          <w:numId w:val="8"/>
        </w:numPr>
        <w:spacing w:after="0" w:line="360" w:lineRule="auto"/>
        <w:rPr>
          <w:rFonts w:cs="Times New Roman"/>
          <w:szCs w:val="24"/>
        </w:rPr>
      </w:pPr>
      <w:r w:rsidRPr="007E253F">
        <w:rPr>
          <w:rFonts w:cs="Times New Roman"/>
          <w:szCs w:val="24"/>
        </w:rPr>
        <w:lastRenderedPageBreak/>
        <w:t xml:space="preserve">La reposición de nutrientes removidos en el grano y la paja para evitar el agotamiento total de las reservas del suelo. </w:t>
      </w:r>
    </w:p>
    <w:p w14:paraId="1BFDE3E3" w14:textId="7C2271F9" w:rsidR="0077235D" w:rsidRPr="007E253F" w:rsidRDefault="0077235D" w:rsidP="00135DE8">
      <w:pPr>
        <w:pStyle w:val="Prrafodelista"/>
        <w:numPr>
          <w:ilvl w:val="0"/>
          <w:numId w:val="8"/>
        </w:numPr>
        <w:spacing w:after="0" w:line="360" w:lineRule="auto"/>
        <w:rPr>
          <w:rFonts w:cs="Times New Roman"/>
          <w:szCs w:val="24"/>
        </w:rPr>
      </w:pPr>
      <w:r w:rsidRPr="007E253F">
        <w:rPr>
          <w:rFonts w:cs="Times New Roman"/>
          <w:szCs w:val="24"/>
        </w:rPr>
        <w:t xml:space="preserve">La selección de la combinación más benéfica y menos costosa de la fuente de nutrientes. Según expresan </w:t>
      </w:r>
      <w:sdt>
        <w:sdtPr>
          <w:rPr>
            <w:rFonts w:cs="Times New Roman"/>
            <w:szCs w:val="24"/>
          </w:rPr>
          <w:id w:val="1788460199"/>
          <w:citation/>
        </w:sdtPr>
        <w:sdtEndPr/>
        <w:sdtContent>
          <w:r w:rsidR="003E2A1E" w:rsidRPr="007E253F">
            <w:rPr>
              <w:rFonts w:cs="Times New Roman"/>
              <w:szCs w:val="24"/>
            </w:rPr>
            <w:fldChar w:fldCharType="begin"/>
          </w:r>
          <w:r w:rsidR="003E2A1E" w:rsidRPr="007E253F">
            <w:rPr>
              <w:rFonts w:cs="Times New Roman"/>
              <w:szCs w:val="24"/>
              <w:lang w:val="es-MX"/>
            </w:rPr>
            <w:instrText xml:space="preserve"> CITATION Dob00 \l 2058 </w:instrText>
          </w:r>
          <w:r w:rsidR="003E2A1E" w:rsidRPr="007E253F">
            <w:rPr>
              <w:rFonts w:cs="Times New Roman"/>
              <w:szCs w:val="24"/>
            </w:rPr>
            <w:fldChar w:fldCharType="separate"/>
          </w:r>
          <w:r w:rsidR="005106B9" w:rsidRPr="005106B9">
            <w:rPr>
              <w:rFonts w:cs="Times New Roman"/>
              <w:noProof/>
              <w:szCs w:val="24"/>
              <w:lang w:val="es-MX"/>
            </w:rPr>
            <w:t>(Dobermann, 2000)</w:t>
          </w:r>
          <w:r w:rsidR="003E2A1E" w:rsidRPr="007E253F">
            <w:rPr>
              <w:rFonts w:cs="Times New Roman"/>
              <w:szCs w:val="24"/>
            </w:rPr>
            <w:fldChar w:fldCharType="end"/>
          </w:r>
        </w:sdtContent>
      </w:sdt>
    </w:p>
    <w:p w14:paraId="3189AD80" w14:textId="3B0B4CBA" w:rsidR="0077235D" w:rsidRPr="007E253F" w:rsidRDefault="0077235D" w:rsidP="00135DE8">
      <w:pPr>
        <w:pStyle w:val="Ttulo2"/>
        <w:numPr>
          <w:ilvl w:val="1"/>
          <w:numId w:val="46"/>
        </w:numPr>
        <w:spacing w:before="360" w:after="360"/>
        <w:ind w:left="1077"/>
      </w:pPr>
      <w:bookmarkStart w:id="981" w:name="_Toc46348749"/>
      <w:bookmarkStart w:id="982" w:name="_Toc72741124"/>
      <w:bookmarkStart w:id="983" w:name="_Toc72741922"/>
      <w:bookmarkStart w:id="984" w:name="_Toc72742720"/>
      <w:bookmarkStart w:id="985" w:name="_Toc72881472"/>
      <w:bookmarkStart w:id="986" w:name="_Toc72882554"/>
      <w:bookmarkStart w:id="987" w:name="_Toc75608899"/>
      <w:bookmarkStart w:id="988" w:name="_Toc75611825"/>
      <w:bookmarkStart w:id="989" w:name="_Toc75612671"/>
      <w:bookmarkStart w:id="990" w:name="_Toc75679826"/>
      <w:bookmarkStart w:id="991" w:name="_Toc75702434"/>
      <w:bookmarkStart w:id="992" w:name="_Toc80312282"/>
      <w:r w:rsidRPr="007E253F">
        <w:t>Base de datos</w:t>
      </w:r>
      <w:bookmarkEnd w:id="981"/>
      <w:bookmarkEnd w:id="982"/>
      <w:bookmarkEnd w:id="983"/>
      <w:bookmarkEnd w:id="984"/>
      <w:bookmarkEnd w:id="985"/>
      <w:bookmarkEnd w:id="986"/>
      <w:bookmarkEnd w:id="987"/>
      <w:bookmarkEnd w:id="988"/>
      <w:bookmarkEnd w:id="989"/>
      <w:bookmarkEnd w:id="990"/>
      <w:bookmarkEnd w:id="991"/>
      <w:bookmarkEnd w:id="992"/>
      <w:r w:rsidRPr="007E253F">
        <w:t xml:space="preserve"> </w:t>
      </w:r>
    </w:p>
    <w:p w14:paraId="09D1DC3F" w14:textId="088474FF" w:rsidR="0077235D" w:rsidRPr="007E253F" w:rsidRDefault="0077235D" w:rsidP="000E2B3A">
      <w:pPr>
        <w:spacing w:after="0" w:line="360" w:lineRule="auto"/>
        <w:rPr>
          <w:rFonts w:cs="Times New Roman"/>
          <w:szCs w:val="24"/>
        </w:rPr>
      </w:pPr>
      <w:r w:rsidRPr="007E253F">
        <w:rPr>
          <w:rFonts w:cs="Times New Roman"/>
          <w:szCs w:val="24"/>
        </w:rPr>
        <w:t xml:space="preserve">Es una colección de archivos Interrelacionados, son creados con un DBMS. El contenido de una base de datos engloba a la información concerniente (almacenadas en archivos) de una organización, de tal manera que los datos estén disponibles para los usuarios, una finalidad de la base de datos es eliminar la redundancia o al menos minimizarla. Los tres componentes principales de un sistema de base de datos son el hardware, el software DBMS y los datos a manejar, así como el personal encargado del manejo del sistema </w:t>
      </w:r>
      <w:sdt>
        <w:sdtPr>
          <w:rPr>
            <w:rFonts w:cs="Times New Roman"/>
            <w:szCs w:val="24"/>
          </w:rPr>
          <w:id w:val="-1908220116"/>
          <w:citation/>
        </w:sdtPr>
        <w:sdtEndPr/>
        <w:sdtContent>
          <w:r w:rsidR="005C3DBE" w:rsidRPr="000C7F1A">
            <w:rPr>
              <w:rFonts w:cs="Times New Roman"/>
              <w:szCs w:val="24"/>
            </w:rPr>
            <w:fldChar w:fldCharType="begin"/>
          </w:r>
          <w:r w:rsidR="00187241" w:rsidRPr="000C7F1A">
            <w:rPr>
              <w:rFonts w:cs="Times New Roman"/>
              <w:szCs w:val="24"/>
              <w:lang w:val="es-MX"/>
            </w:rPr>
            <w:instrText xml:space="preserve">CITATION Gui08 \l 2058 </w:instrText>
          </w:r>
          <w:r w:rsidR="005C3DBE" w:rsidRPr="000C7F1A">
            <w:rPr>
              <w:rFonts w:cs="Times New Roman"/>
              <w:szCs w:val="24"/>
            </w:rPr>
            <w:fldChar w:fldCharType="separate"/>
          </w:r>
          <w:r w:rsidR="00187241" w:rsidRPr="000C7F1A">
            <w:rPr>
              <w:rFonts w:cs="Times New Roman"/>
              <w:noProof/>
              <w:szCs w:val="24"/>
              <w:lang w:val="es-MX"/>
            </w:rPr>
            <w:t>(Guillermo, 2008)</w:t>
          </w:r>
          <w:r w:rsidR="005C3DBE" w:rsidRPr="000C7F1A">
            <w:rPr>
              <w:rFonts w:cs="Times New Roman"/>
              <w:szCs w:val="24"/>
            </w:rPr>
            <w:fldChar w:fldCharType="end"/>
          </w:r>
        </w:sdtContent>
      </w:sdt>
      <w:r w:rsidR="00187241" w:rsidRPr="000C7F1A">
        <w:rPr>
          <w:rFonts w:cs="Times New Roman"/>
          <w:szCs w:val="24"/>
        </w:rPr>
        <w:t xml:space="preserve"> </w:t>
      </w:r>
    </w:p>
    <w:p w14:paraId="0730949F" w14:textId="52936822" w:rsidR="0077235D" w:rsidRPr="007E253F" w:rsidRDefault="0077235D" w:rsidP="00135DE8">
      <w:pPr>
        <w:pStyle w:val="Ttulo3"/>
        <w:numPr>
          <w:ilvl w:val="2"/>
          <w:numId w:val="46"/>
        </w:numPr>
        <w:spacing w:before="360" w:after="360"/>
      </w:pPr>
      <w:bookmarkStart w:id="993" w:name="_Toc46348750"/>
      <w:bookmarkStart w:id="994" w:name="_Toc72741125"/>
      <w:bookmarkStart w:id="995" w:name="_Toc72741923"/>
      <w:bookmarkStart w:id="996" w:name="_Toc72742721"/>
      <w:bookmarkStart w:id="997" w:name="_Toc72881473"/>
      <w:bookmarkStart w:id="998" w:name="_Toc72882555"/>
      <w:bookmarkStart w:id="999" w:name="_Toc75608900"/>
      <w:bookmarkStart w:id="1000" w:name="_Toc75611826"/>
      <w:bookmarkStart w:id="1001" w:name="_Toc75612672"/>
      <w:bookmarkStart w:id="1002" w:name="_Toc75679827"/>
      <w:bookmarkStart w:id="1003" w:name="_Toc75702435"/>
      <w:bookmarkStart w:id="1004" w:name="_Toc80312283"/>
      <w:r w:rsidRPr="007E253F">
        <w:t>Sistema manejador de base de datos (DBMS)</w:t>
      </w:r>
      <w:bookmarkEnd w:id="993"/>
      <w:bookmarkEnd w:id="994"/>
      <w:bookmarkEnd w:id="995"/>
      <w:bookmarkEnd w:id="996"/>
      <w:bookmarkEnd w:id="997"/>
      <w:bookmarkEnd w:id="998"/>
      <w:bookmarkEnd w:id="999"/>
      <w:bookmarkEnd w:id="1000"/>
      <w:bookmarkEnd w:id="1001"/>
      <w:bookmarkEnd w:id="1002"/>
      <w:bookmarkEnd w:id="1003"/>
      <w:bookmarkEnd w:id="1004"/>
    </w:p>
    <w:p w14:paraId="6DC24C82" w14:textId="0DDC91FF" w:rsidR="0077235D" w:rsidRPr="007E253F" w:rsidRDefault="0077235D" w:rsidP="000E2B3A">
      <w:pPr>
        <w:spacing w:after="0" w:line="360" w:lineRule="auto"/>
        <w:rPr>
          <w:rFonts w:cs="Times New Roman"/>
          <w:szCs w:val="24"/>
        </w:rPr>
      </w:pPr>
      <w:r w:rsidRPr="007E253F">
        <w:rPr>
          <w:rFonts w:cs="Times New Roman"/>
          <w:szCs w:val="24"/>
        </w:rPr>
        <w:t>Un DBMS es una colección de numerosas rutinas de software interrelacionadas, cada una de las cuales es responsable de una tarea específica. El objetivo primordial de un sistema de gestión de</w:t>
      </w:r>
      <w:r w:rsidRPr="007E253F">
        <w:rPr>
          <w:rFonts w:cs="Times New Roman"/>
          <w:color w:val="FF0000"/>
          <w:szCs w:val="24"/>
        </w:rPr>
        <w:t xml:space="preserve"> </w:t>
      </w:r>
      <w:r w:rsidRPr="007E253F">
        <w:rPr>
          <w:rFonts w:cs="Times New Roman"/>
          <w:szCs w:val="24"/>
        </w:rPr>
        <w:t xml:space="preserve">base de datos es proporcionar un contorno que sea a la vez conveniente y eficiente para ser utilizado al extraer, almacenar y manipular esta información. Todas las peticiones de acceso a la base, se manejan centralizadamente por medio del DBMS, por lo que este paquete funciona como interfase entre los usuarios y la base de datos </w:t>
      </w:r>
      <w:sdt>
        <w:sdtPr>
          <w:rPr>
            <w:rFonts w:cs="Times New Roman"/>
            <w:szCs w:val="24"/>
          </w:rPr>
          <w:id w:val="575027333"/>
          <w:citation/>
        </w:sdtPr>
        <w:sdtEndPr/>
        <w:sdtContent>
          <w:r w:rsidR="005C3DBE" w:rsidRPr="007E253F">
            <w:rPr>
              <w:rFonts w:cs="Times New Roman"/>
              <w:szCs w:val="24"/>
            </w:rPr>
            <w:fldChar w:fldCharType="begin"/>
          </w:r>
          <w:r w:rsidR="00187241">
            <w:rPr>
              <w:rFonts w:cs="Times New Roman"/>
              <w:szCs w:val="24"/>
              <w:lang w:val="es-MX"/>
            </w:rPr>
            <w:instrText xml:space="preserve">CITATION Gui08 \l 2058 </w:instrText>
          </w:r>
          <w:r w:rsidR="005C3DBE" w:rsidRPr="007E253F">
            <w:rPr>
              <w:rFonts w:cs="Times New Roman"/>
              <w:szCs w:val="24"/>
            </w:rPr>
            <w:fldChar w:fldCharType="separate"/>
          </w:r>
          <w:r w:rsidR="00187241" w:rsidRPr="00187241">
            <w:rPr>
              <w:rFonts w:cs="Times New Roman"/>
              <w:noProof/>
              <w:szCs w:val="24"/>
              <w:lang w:val="es-MX"/>
            </w:rPr>
            <w:t>(Guillermo, 2008)</w:t>
          </w:r>
          <w:r w:rsidR="005C3DBE" w:rsidRPr="007E253F">
            <w:rPr>
              <w:rFonts w:cs="Times New Roman"/>
              <w:szCs w:val="24"/>
            </w:rPr>
            <w:fldChar w:fldCharType="end"/>
          </w:r>
        </w:sdtContent>
      </w:sdt>
    </w:p>
    <w:p w14:paraId="1B1DB0FD" w14:textId="63687DF8" w:rsidR="0077235D" w:rsidRPr="007E253F" w:rsidRDefault="0077235D" w:rsidP="00135DE8">
      <w:pPr>
        <w:pStyle w:val="Ttulo3"/>
        <w:numPr>
          <w:ilvl w:val="2"/>
          <w:numId w:val="46"/>
        </w:numPr>
        <w:spacing w:before="360" w:after="360"/>
      </w:pPr>
      <w:bookmarkStart w:id="1005" w:name="_Toc46348751"/>
      <w:bookmarkStart w:id="1006" w:name="_Toc72741126"/>
      <w:bookmarkStart w:id="1007" w:name="_Toc72741924"/>
      <w:bookmarkStart w:id="1008" w:name="_Toc72742722"/>
      <w:bookmarkStart w:id="1009" w:name="_Toc72881474"/>
      <w:bookmarkStart w:id="1010" w:name="_Toc72882556"/>
      <w:bookmarkStart w:id="1011" w:name="_Toc75608901"/>
      <w:bookmarkStart w:id="1012" w:name="_Toc75611827"/>
      <w:bookmarkStart w:id="1013" w:name="_Toc75612673"/>
      <w:bookmarkStart w:id="1014" w:name="_Toc75679828"/>
      <w:bookmarkStart w:id="1015" w:name="_Toc75702436"/>
      <w:bookmarkStart w:id="1016" w:name="_Toc80312284"/>
      <w:r w:rsidRPr="007E253F">
        <w:t>Sistemas de información en desarrollo agrícola</w:t>
      </w:r>
      <w:bookmarkEnd w:id="1005"/>
      <w:bookmarkEnd w:id="1006"/>
      <w:bookmarkEnd w:id="1007"/>
      <w:bookmarkEnd w:id="1008"/>
      <w:bookmarkEnd w:id="1009"/>
      <w:bookmarkEnd w:id="1010"/>
      <w:bookmarkEnd w:id="1011"/>
      <w:bookmarkEnd w:id="1012"/>
      <w:bookmarkEnd w:id="1013"/>
      <w:bookmarkEnd w:id="1014"/>
      <w:bookmarkEnd w:id="1015"/>
      <w:bookmarkEnd w:id="1016"/>
      <w:r w:rsidRPr="007E253F">
        <w:t xml:space="preserve"> </w:t>
      </w:r>
    </w:p>
    <w:p w14:paraId="5D1B8F1C" w14:textId="77777777" w:rsidR="0077235D" w:rsidRPr="007E253F" w:rsidRDefault="0077235D" w:rsidP="000E2B3A">
      <w:pPr>
        <w:spacing w:after="0" w:line="360" w:lineRule="auto"/>
        <w:rPr>
          <w:rFonts w:cs="Times New Roman"/>
          <w:szCs w:val="24"/>
        </w:rPr>
      </w:pPr>
      <w:r w:rsidRPr="007E253F">
        <w:rPr>
          <w:rFonts w:cs="Times New Roman"/>
          <w:szCs w:val="24"/>
        </w:rPr>
        <w:t xml:space="preserve">En los últimos 50 años el sector agrícola fue afectado por una revolución tecnológica, esto facilita a la agricultura se oriente a suplir requerimientos mundiales de la región y de su sector, pero se puede notar en países en vías de desarrollo que existen sectores pequeños y medianos que carecen de tecnología, debido a estas falencias es inevitable que desarrollen estrategias adecuadas para su desarrollo. “La competitividad está determinada por la productividad, definida </w:t>
      </w:r>
      <w:r w:rsidRPr="007E253F">
        <w:rPr>
          <w:rFonts w:cs="Times New Roman"/>
          <w:szCs w:val="24"/>
        </w:rPr>
        <w:lastRenderedPageBreak/>
        <w:t xml:space="preserve">como el valor del producto generado por una unidad de trabajo o de capital”, sin duda alguna los sistemas de información son aquellos ayudara a tomar decisiones adecuadas en cuanto a la productividad y comercialización de los productos que servirán para poder integrar de manera efectiva toda información tanto de los consumidores como los productores en todo el mundo, es decir de manera integral. </w:t>
      </w:r>
    </w:p>
    <w:p w14:paraId="1A9C3890" w14:textId="523760D9" w:rsidR="00F67B88" w:rsidRDefault="0077235D" w:rsidP="000E2B3A">
      <w:pPr>
        <w:spacing w:after="0" w:line="360" w:lineRule="auto"/>
        <w:rPr>
          <w:rFonts w:cs="Times New Roman"/>
          <w:szCs w:val="24"/>
        </w:rPr>
      </w:pPr>
      <w:r w:rsidRPr="007E253F">
        <w:rPr>
          <w:rFonts w:cs="Times New Roman"/>
          <w:szCs w:val="24"/>
        </w:rPr>
        <w:t xml:space="preserve">Existe un organismo internacional creado por La Organización de las Naciones Unidas para la Agricultura y la Alimentación al cual se lo ha denominado Agricultural Market Information System, AMIS, que su principal función es mejorar la transparencia del mercado de alimentos y fomentar la coordinación de medidas normativas en respuesta a la volatilidad de los precios internacionales. </w:t>
      </w:r>
      <w:sdt>
        <w:sdtPr>
          <w:rPr>
            <w:rFonts w:cs="Times New Roman"/>
            <w:szCs w:val="24"/>
          </w:rPr>
          <w:id w:val="-454570626"/>
          <w:citation/>
        </w:sdtPr>
        <w:sdtEndPr/>
        <w:sdtContent>
          <w:r w:rsidR="005C3DBE" w:rsidRPr="007E253F">
            <w:rPr>
              <w:rFonts w:cs="Times New Roman"/>
              <w:szCs w:val="24"/>
            </w:rPr>
            <w:fldChar w:fldCharType="begin"/>
          </w:r>
          <w:r w:rsidR="005C3DBE" w:rsidRPr="007E253F">
            <w:rPr>
              <w:rFonts w:cs="Times New Roman"/>
              <w:szCs w:val="24"/>
              <w:lang w:val="es-MX"/>
            </w:rPr>
            <w:instrText xml:space="preserve"> CITATION Por14 \l 2058 </w:instrText>
          </w:r>
          <w:r w:rsidR="005C3DBE" w:rsidRPr="007E253F">
            <w:rPr>
              <w:rFonts w:cs="Times New Roman"/>
              <w:szCs w:val="24"/>
            </w:rPr>
            <w:fldChar w:fldCharType="separate"/>
          </w:r>
          <w:r w:rsidR="005106B9" w:rsidRPr="005106B9">
            <w:rPr>
              <w:rFonts w:cs="Times New Roman"/>
              <w:noProof/>
              <w:szCs w:val="24"/>
              <w:lang w:val="es-MX"/>
            </w:rPr>
            <w:t>(Porter, 2014)</w:t>
          </w:r>
          <w:r w:rsidR="005C3DBE" w:rsidRPr="007E253F">
            <w:rPr>
              <w:rFonts w:cs="Times New Roman"/>
              <w:szCs w:val="24"/>
            </w:rPr>
            <w:fldChar w:fldCharType="end"/>
          </w:r>
        </w:sdtContent>
      </w:sdt>
    </w:p>
    <w:p w14:paraId="10D526CA" w14:textId="4EB5E798" w:rsidR="00F67B88" w:rsidRDefault="0077235D" w:rsidP="009F4ACC">
      <w:pPr>
        <w:spacing w:before="360" w:after="360" w:line="360" w:lineRule="auto"/>
        <w:rPr>
          <w:rFonts w:cs="Times New Roman"/>
          <w:szCs w:val="24"/>
        </w:rPr>
      </w:pPr>
      <w:r w:rsidRPr="007E253F">
        <w:rPr>
          <w:rFonts w:cs="Times New Roman"/>
          <w:szCs w:val="24"/>
        </w:rPr>
        <w:t xml:space="preserve"> Con la implementación de los sistemas de información no solo significa automatización de los procesos en esta área, es una determinante en el momento que se requiere formular estrategias. Uno de los componentes necesarios para la aplicación del sistema de información son las tecnologías de información y las comunicaciones TIC, en el informe sobre la Tecnología de la Información en la Agricultura </w:t>
      </w:r>
      <w:sdt>
        <w:sdtPr>
          <w:rPr>
            <w:rFonts w:cs="Times New Roman"/>
            <w:szCs w:val="24"/>
          </w:rPr>
          <w:id w:val="-1265760488"/>
          <w:citation/>
        </w:sdtPr>
        <w:sdtEndPr/>
        <w:sdtContent>
          <w:r w:rsidR="004B33B7" w:rsidRPr="007E253F">
            <w:rPr>
              <w:rFonts w:cs="Times New Roman"/>
              <w:szCs w:val="24"/>
            </w:rPr>
            <w:fldChar w:fldCharType="begin"/>
          </w:r>
          <w:r w:rsidR="004B33B7" w:rsidRPr="007E253F">
            <w:rPr>
              <w:rFonts w:cs="Times New Roman"/>
              <w:szCs w:val="24"/>
              <w:lang w:val="es-MX"/>
            </w:rPr>
            <w:instrText xml:space="preserve"> CITATION Rec09 \l 2058 </w:instrText>
          </w:r>
          <w:r w:rsidR="004B33B7" w:rsidRPr="007E253F">
            <w:rPr>
              <w:rFonts w:cs="Times New Roman"/>
              <w:szCs w:val="24"/>
            </w:rPr>
            <w:fldChar w:fldCharType="separate"/>
          </w:r>
          <w:r w:rsidR="005106B9" w:rsidRPr="005106B9">
            <w:rPr>
              <w:rFonts w:cs="Times New Roman"/>
              <w:noProof/>
              <w:szCs w:val="24"/>
              <w:lang w:val="es-MX"/>
            </w:rPr>
            <w:t>(Recio, 2009)</w:t>
          </w:r>
          <w:r w:rsidR="004B33B7" w:rsidRPr="007E253F">
            <w:rPr>
              <w:rFonts w:cs="Times New Roman"/>
              <w:szCs w:val="24"/>
            </w:rPr>
            <w:fldChar w:fldCharType="end"/>
          </w:r>
        </w:sdtContent>
      </w:sdt>
    </w:p>
    <w:p w14:paraId="26A08B33" w14:textId="7632AAF3" w:rsidR="0077235D" w:rsidRPr="007E253F" w:rsidRDefault="0077235D" w:rsidP="000E2B3A">
      <w:pPr>
        <w:spacing w:after="0" w:line="360" w:lineRule="auto"/>
        <w:rPr>
          <w:rFonts w:cs="Times New Roman"/>
          <w:szCs w:val="24"/>
        </w:rPr>
      </w:pPr>
      <w:r w:rsidRPr="007E253F">
        <w:rPr>
          <w:rFonts w:cs="Times New Roman"/>
          <w:szCs w:val="24"/>
        </w:rPr>
        <w:t xml:space="preserve">Los factores técnicos, sociales y económicos en la cual se destacan los sistemas informáticos son los siguientes: </w:t>
      </w:r>
    </w:p>
    <w:p w14:paraId="7808EB01" w14:textId="77777777" w:rsidR="0077235D" w:rsidRPr="007E253F" w:rsidRDefault="0077235D" w:rsidP="00135DE8">
      <w:pPr>
        <w:pStyle w:val="Prrafodelista"/>
        <w:numPr>
          <w:ilvl w:val="0"/>
          <w:numId w:val="9"/>
        </w:numPr>
        <w:spacing w:after="0" w:line="360" w:lineRule="auto"/>
        <w:rPr>
          <w:rFonts w:eastAsia="Times New Roman" w:cs="Times New Roman"/>
          <w:szCs w:val="24"/>
          <w:lang w:val="es-ES" w:eastAsia="es-ES"/>
        </w:rPr>
      </w:pPr>
      <w:r w:rsidRPr="007E253F">
        <w:rPr>
          <w:rFonts w:cs="Times New Roman"/>
          <w:szCs w:val="24"/>
        </w:rPr>
        <w:t xml:space="preserve">Las innovaciones en la comunicación como los terminales móviles, facilitan la vinculación hacia los sistemas de información para el control de productividad. </w:t>
      </w:r>
    </w:p>
    <w:p w14:paraId="092C9082" w14:textId="77777777" w:rsidR="0077235D" w:rsidRPr="007E253F" w:rsidRDefault="0077235D" w:rsidP="00135DE8">
      <w:pPr>
        <w:pStyle w:val="Prrafodelista"/>
        <w:numPr>
          <w:ilvl w:val="0"/>
          <w:numId w:val="9"/>
        </w:numPr>
        <w:spacing w:after="0" w:line="360" w:lineRule="auto"/>
        <w:rPr>
          <w:rFonts w:cs="Times New Roman"/>
          <w:szCs w:val="24"/>
        </w:rPr>
      </w:pPr>
      <w:r w:rsidRPr="007E253F">
        <w:rPr>
          <w:rFonts w:cs="Times New Roman"/>
          <w:szCs w:val="24"/>
        </w:rPr>
        <w:t xml:space="preserve">Los cambios intelectuales de los mandos jerárquicos hacen posible la implementación de la tecnología de información. </w:t>
      </w:r>
    </w:p>
    <w:p w14:paraId="0DB08A8B" w14:textId="74892669" w:rsidR="0077235D" w:rsidRPr="007E253F" w:rsidRDefault="0077235D" w:rsidP="00135DE8">
      <w:pPr>
        <w:pStyle w:val="Prrafodelista"/>
        <w:numPr>
          <w:ilvl w:val="0"/>
          <w:numId w:val="9"/>
        </w:numPr>
        <w:spacing w:after="0" w:line="360" w:lineRule="auto"/>
        <w:rPr>
          <w:rFonts w:cs="Times New Roman"/>
          <w:szCs w:val="24"/>
        </w:rPr>
      </w:pPr>
      <w:r w:rsidRPr="007E253F">
        <w:rPr>
          <w:rFonts w:cs="Times New Roman"/>
          <w:szCs w:val="24"/>
        </w:rPr>
        <w:t xml:space="preserve">El crecimiento empresarial no solo contempla a las grandes corporaciones, adhieren a las cooperativas y empresas agroalimentarias de cualquier tamaño. </w:t>
      </w:r>
      <w:sdt>
        <w:sdtPr>
          <w:rPr>
            <w:rFonts w:cs="Times New Roman"/>
            <w:szCs w:val="24"/>
          </w:rPr>
          <w:id w:val="-518164814"/>
          <w:citation/>
        </w:sdtPr>
        <w:sdtEndPr/>
        <w:sdtContent>
          <w:r w:rsidR="004B33B7" w:rsidRPr="007E253F">
            <w:rPr>
              <w:rFonts w:cs="Times New Roman"/>
              <w:szCs w:val="24"/>
            </w:rPr>
            <w:fldChar w:fldCharType="begin"/>
          </w:r>
          <w:r w:rsidR="004B33B7" w:rsidRPr="007E253F">
            <w:rPr>
              <w:rFonts w:cs="Times New Roman"/>
              <w:szCs w:val="24"/>
              <w:lang w:val="es-MX"/>
            </w:rPr>
            <w:instrText xml:space="preserve"> CITATION Rec09 \l 2058 </w:instrText>
          </w:r>
          <w:r w:rsidR="004B33B7" w:rsidRPr="007E253F">
            <w:rPr>
              <w:rFonts w:cs="Times New Roman"/>
              <w:szCs w:val="24"/>
            </w:rPr>
            <w:fldChar w:fldCharType="separate"/>
          </w:r>
          <w:r w:rsidR="005106B9" w:rsidRPr="005106B9">
            <w:rPr>
              <w:rFonts w:cs="Times New Roman"/>
              <w:noProof/>
              <w:szCs w:val="24"/>
              <w:lang w:val="es-MX"/>
            </w:rPr>
            <w:t>(Recio, 2009)</w:t>
          </w:r>
          <w:r w:rsidR="004B33B7" w:rsidRPr="007E253F">
            <w:rPr>
              <w:rFonts w:cs="Times New Roman"/>
              <w:szCs w:val="24"/>
            </w:rPr>
            <w:fldChar w:fldCharType="end"/>
          </w:r>
        </w:sdtContent>
      </w:sdt>
    </w:p>
    <w:p w14:paraId="48BFBCA1" w14:textId="77777777" w:rsidR="0077235D" w:rsidRPr="007E253F" w:rsidRDefault="0077235D" w:rsidP="000E2B3A">
      <w:pPr>
        <w:pStyle w:val="Prrafodelista"/>
        <w:spacing w:after="0" w:line="360" w:lineRule="auto"/>
        <w:rPr>
          <w:rFonts w:eastAsia="Times New Roman" w:cs="Times New Roman"/>
          <w:szCs w:val="24"/>
          <w:lang w:val="es-ES" w:eastAsia="es-ES"/>
        </w:rPr>
      </w:pPr>
    </w:p>
    <w:p w14:paraId="11E5BCC9" w14:textId="77777777" w:rsidR="00C15E81" w:rsidRDefault="00C15E81">
      <w:pPr>
        <w:jc w:val="left"/>
        <w:rPr>
          <w:rFonts w:eastAsia="Times New Roman" w:cs="Times New Roman"/>
          <w:b/>
          <w:bCs/>
          <w:szCs w:val="24"/>
          <w:lang w:val="es-ES"/>
        </w:rPr>
      </w:pPr>
      <w:bookmarkStart w:id="1017" w:name="_Toc72741127"/>
      <w:bookmarkStart w:id="1018" w:name="_Toc72741925"/>
      <w:bookmarkStart w:id="1019" w:name="_Toc72742723"/>
      <w:bookmarkStart w:id="1020" w:name="_Toc72881475"/>
      <w:bookmarkStart w:id="1021" w:name="_Toc72882557"/>
      <w:bookmarkStart w:id="1022" w:name="_Toc75608902"/>
      <w:bookmarkStart w:id="1023" w:name="_Toc75611828"/>
      <w:bookmarkStart w:id="1024" w:name="_Toc75612674"/>
      <w:bookmarkStart w:id="1025" w:name="_Toc75679829"/>
      <w:bookmarkStart w:id="1026" w:name="_Toc75702437"/>
      <w:r>
        <w:rPr>
          <w:rFonts w:eastAsia="Times New Roman"/>
          <w:szCs w:val="24"/>
        </w:rPr>
        <w:br w:type="page"/>
      </w:r>
    </w:p>
    <w:p w14:paraId="7EB446EC" w14:textId="51E6ACAD" w:rsidR="0077235D" w:rsidRPr="007E253F" w:rsidRDefault="0077235D" w:rsidP="009F4ACC">
      <w:pPr>
        <w:pStyle w:val="Ttulo1"/>
        <w:spacing w:before="360" w:after="360"/>
        <w:rPr>
          <w:rFonts w:eastAsia="Times New Roman"/>
          <w:szCs w:val="24"/>
        </w:rPr>
      </w:pPr>
      <w:bookmarkStart w:id="1027" w:name="_Toc80312285"/>
      <w:r w:rsidRPr="007E253F">
        <w:rPr>
          <w:rFonts w:eastAsia="Times New Roman"/>
          <w:szCs w:val="24"/>
        </w:rPr>
        <w:lastRenderedPageBreak/>
        <w:t>MARCO METODOLÓGICO</w:t>
      </w:r>
      <w:bookmarkEnd w:id="1017"/>
      <w:bookmarkEnd w:id="1018"/>
      <w:bookmarkEnd w:id="1019"/>
      <w:bookmarkEnd w:id="1020"/>
      <w:bookmarkEnd w:id="1021"/>
      <w:bookmarkEnd w:id="1022"/>
      <w:bookmarkEnd w:id="1023"/>
      <w:bookmarkEnd w:id="1024"/>
      <w:bookmarkEnd w:id="1025"/>
      <w:bookmarkEnd w:id="1026"/>
      <w:bookmarkEnd w:id="1027"/>
    </w:p>
    <w:p w14:paraId="6511D527" w14:textId="640215A1" w:rsidR="0077235D" w:rsidRPr="007E253F" w:rsidRDefault="0077235D" w:rsidP="009F4ACC">
      <w:pPr>
        <w:pStyle w:val="Ttulo2"/>
        <w:spacing w:before="360" w:after="360"/>
        <w:rPr>
          <w:rFonts w:eastAsia="Times New Roman"/>
        </w:rPr>
      </w:pPr>
      <w:bookmarkStart w:id="1028" w:name="_Toc72741128"/>
      <w:bookmarkStart w:id="1029" w:name="_Toc72741926"/>
      <w:bookmarkStart w:id="1030" w:name="_Toc72742724"/>
      <w:bookmarkStart w:id="1031" w:name="_Toc72881476"/>
      <w:bookmarkStart w:id="1032" w:name="_Toc72882558"/>
      <w:bookmarkStart w:id="1033" w:name="_Toc75608903"/>
      <w:bookmarkStart w:id="1034" w:name="_Toc75611829"/>
      <w:bookmarkStart w:id="1035" w:name="_Toc75612675"/>
      <w:bookmarkStart w:id="1036" w:name="_Toc75679830"/>
      <w:bookmarkStart w:id="1037" w:name="_Toc75702438"/>
      <w:bookmarkStart w:id="1038" w:name="_Toc80312286"/>
      <w:r w:rsidRPr="007E253F">
        <w:rPr>
          <w:rFonts w:eastAsia="Times New Roman"/>
        </w:rPr>
        <w:t>M</w:t>
      </w:r>
      <w:bookmarkEnd w:id="1028"/>
      <w:bookmarkEnd w:id="1029"/>
      <w:bookmarkEnd w:id="1030"/>
      <w:bookmarkEnd w:id="1031"/>
      <w:bookmarkEnd w:id="1032"/>
      <w:bookmarkEnd w:id="1033"/>
      <w:bookmarkEnd w:id="1034"/>
      <w:bookmarkEnd w:id="1035"/>
      <w:bookmarkEnd w:id="1036"/>
      <w:bookmarkEnd w:id="1037"/>
      <w:r w:rsidR="00F67B88">
        <w:rPr>
          <w:rFonts w:eastAsia="Times New Roman"/>
        </w:rPr>
        <w:t>ateriales</w:t>
      </w:r>
      <w:bookmarkEnd w:id="1038"/>
      <w:r w:rsidRPr="007E253F">
        <w:rPr>
          <w:rFonts w:eastAsia="Times New Roman"/>
        </w:rPr>
        <w:t xml:space="preserve"> </w:t>
      </w:r>
    </w:p>
    <w:p w14:paraId="7FE11428" w14:textId="29B2001D" w:rsidR="0077235D" w:rsidRPr="00E70495" w:rsidRDefault="0077235D" w:rsidP="009F4ACC">
      <w:pPr>
        <w:pStyle w:val="Ttulo3"/>
        <w:spacing w:before="360" w:after="360"/>
        <w:rPr>
          <w:rFonts w:eastAsia="Times New Roman"/>
        </w:rPr>
      </w:pPr>
      <w:bookmarkStart w:id="1039" w:name="_Toc72741129"/>
      <w:bookmarkStart w:id="1040" w:name="_Toc72741927"/>
      <w:bookmarkStart w:id="1041" w:name="_Toc72742725"/>
      <w:bookmarkStart w:id="1042" w:name="_Toc72881477"/>
      <w:bookmarkStart w:id="1043" w:name="_Toc72882559"/>
      <w:bookmarkStart w:id="1044" w:name="_Toc75608904"/>
      <w:bookmarkStart w:id="1045" w:name="_Toc75611830"/>
      <w:bookmarkStart w:id="1046" w:name="_Toc75612676"/>
      <w:bookmarkStart w:id="1047" w:name="_Toc75679831"/>
      <w:bookmarkStart w:id="1048" w:name="_Toc75702439"/>
      <w:bookmarkStart w:id="1049" w:name="_Toc80312287"/>
      <w:r w:rsidRPr="007E253F">
        <w:rPr>
          <w:rFonts w:eastAsia="Times New Roman"/>
        </w:rPr>
        <w:t>Ubicación del experimento</w:t>
      </w:r>
      <w:bookmarkEnd w:id="1039"/>
      <w:bookmarkEnd w:id="1040"/>
      <w:bookmarkEnd w:id="1041"/>
      <w:bookmarkEnd w:id="1042"/>
      <w:bookmarkEnd w:id="1043"/>
      <w:bookmarkEnd w:id="1044"/>
      <w:bookmarkEnd w:id="1045"/>
      <w:bookmarkEnd w:id="1046"/>
      <w:bookmarkEnd w:id="1047"/>
      <w:bookmarkEnd w:id="1048"/>
      <w:bookmarkEnd w:id="1049"/>
      <w:r w:rsidRPr="007E253F">
        <w:rPr>
          <w:rFonts w:eastAsia="Times New Roman"/>
        </w:rPr>
        <w:t xml:space="preserve"> </w:t>
      </w:r>
    </w:p>
    <w:p w14:paraId="78E75F13" w14:textId="126C206D" w:rsidR="00C26AF2" w:rsidRPr="00C26AF2" w:rsidRDefault="00C26AF2" w:rsidP="00C26AF2">
      <w:pPr>
        <w:pStyle w:val="Descripcin"/>
        <w:keepNext/>
        <w:rPr>
          <w:rFonts w:cs="Times New Roman"/>
          <w:i w:val="0"/>
          <w:iCs w:val="0"/>
          <w:color w:val="auto"/>
          <w:sz w:val="24"/>
          <w:szCs w:val="24"/>
          <w:lang w:val="es-ES" w:eastAsia="en-US"/>
        </w:rPr>
      </w:pPr>
      <w:bookmarkStart w:id="1050" w:name="_Toc79314000"/>
      <w:r w:rsidRPr="00C26AF2">
        <w:rPr>
          <w:rFonts w:cs="Times New Roman"/>
          <w:b/>
          <w:i w:val="0"/>
          <w:iCs w:val="0"/>
          <w:color w:val="auto"/>
          <w:sz w:val="24"/>
          <w:szCs w:val="24"/>
          <w:lang w:val="es-ES" w:eastAsia="en-US"/>
        </w:rPr>
        <w:t xml:space="preserve">Cuadro </w:t>
      </w:r>
      <w:r w:rsidRPr="00C26AF2">
        <w:rPr>
          <w:rFonts w:cs="Times New Roman"/>
          <w:b/>
          <w:i w:val="0"/>
          <w:iCs w:val="0"/>
          <w:color w:val="auto"/>
          <w:sz w:val="24"/>
          <w:szCs w:val="24"/>
          <w:lang w:val="es-ES" w:eastAsia="en-US"/>
        </w:rPr>
        <w:fldChar w:fldCharType="begin"/>
      </w:r>
      <w:r w:rsidRPr="00C26AF2">
        <w:rPr>
          <w:rFonts w:cs="Times New Roman"/>
          <w:b/>
          <w:i w:val="0"/>
          <w:iCs w:val="0"/>
          <w:color w:val="auto"/>
          <w:sz w:val="24"/>
          <w:szCs w:val="24"/>
          <w:lang w:val="es-ES" w:eastAsia="en-US"/>
        </w:rPr>
        <w:instrText xml:space="preserve"> SEQ Cuadro \* ARABIC </w:instrText>
      </w:r>
      <w:r w:rsidRPr="00C26AF2">
        <w:rPr>
          <w:rFonts w:cs="Times New Roman"/>
          <w:b/>
          <w:i w:val="0"/>
          <w:iCs w:val="0"/>
          <w:color w:val="auto"/>
          <w:sz w:val="24"/>
          <w:szCs w:val="24"/>
          <w:lang w:val="es-ES" w:eastAsia="en-US"/>
        </w:rPr>
        <w:fldChar w:fldCharType="separate"/>
      </w:r>
      <w:r w:rsidR="000D1F55">
        <w:rPr>
          <w:rFonts w:cs="Times New Roman"/>
          <w:b/>
          <w:i w:val="0"/>
          <w:iCs w:val="0"/>
          <w:noProof/>
          <w:color w:val="auto"/>
          <w:sz w:val="24"/>
          <w:szCs w:val="24"/>
          <w:lang w:val="es-ES" w:eastAsia="en-US"/>
        </w:rPr>
        <w:t>8</w:t>
      </w:r>
      <w:r w:rsidRPr="00C26AF2">
        <w:rPr>
          <w:rFonts w:cs="Times New Roman"/>
          <w:b/>
          <w:i w:val="0"/>
          <w:iCs w:val="0"/>
          <w:color w:val="auto"/>
          <w:sz w:val="24"/>
          <w:szCs w:val="24"/>
          <w:lang w:val="es-ES" w:eastAsia="en-US"/>
        </w:rPr>
        <w:fldChar w:fldCharType="end"/>
      </w:r>
      <w:r w:rsidRPr="00C26AF2">
        <w:rPr>
          <w:rFonts w:cs="Times New Roman"/>
          <w:b/>
          <w:i w:val="0"/>
          <w:iCs w:val="0"/>
          <w:color w:val="auto"/>
          <w:sz w:val="24"/>
          <w:szCs w:val="24"/>
          <w:lang w:val="es-ES" w:eastAsia="en-US"/>
        </w:rPr>
        <w:t>.</w:t>
      </w:r>
      <w:r w:rsidRPr="00C26AF2">
        <w:rPr>
          <w:rFonts w:cs="Times New Roman"/>
          <w:i w:val="0"/>
          <w:iCs w:val="0"/>
          <w:color w:val="auto"/>
          <w:sz w:val="24"/>
          <w:szCs w:val="24"/>
          <w:lang w:val="es-ES" w:eastAsia="en-US"/>
        </w:rPr>
        <w:t xml:space="preserve">  Ubicación del experimento en las localidades de la provincia de Bolívar</w:t>
      </w:r>
      <w:bookmarkEnd w:id="1050"/>
    </w:p>
    <w:tbl>
      <w:tblPr>
        <w:tblW w:w="8070" w:type="dxa"/>
        <w:tblLayout w:type="fixed"/>
        <w:tblCellMar>
          <w:left w:w="70" w:type="dxa"/>
          <w:right w:w="70" w:type="dxa"/>
        </w:tblCellMar>
        <w:tblLook w:val="04A0" w:firstRow="1" w:lastRow="0" w:firstColumn="1" w:lastColumn="0" w:noHBand="0" w:noVBand="1"/>
      </w:tblPr>
      <w:tblGrid>
        <w:gridCol w:w="699"/>
        <w:gridCol w:w="1276"/>
        <w:gridCol w:w="1497"/>
        <w:gridCol w:w="1480"/>
        <w:gridCol w:w="2126"/>
        <w:gridCol w:w="992"/>
      </w:tblGrid>
      <w:tr w:rsidR="0077235D" w:rsidRPr="00652401" w14:paraId="40AAAA5B" w14:textId="77777777" w:rsidTr="009F4ACC">
        <w:trPr>
          <w:trHeight w:val="281"/>
        </w:trPr>
        <w:tc>
          <w:tcPr>
            <w:tcW w:w="8070" w:type="dxa"/>
            <w:gridSpan w:val="6"/>
            <w:tcBorders>
              <w:top w:val="single" w:sz="8" w:space="0" w:color="auto"/>
              <w:left w:val="single" w:sz="8" w:space="0" w:color="auto"/>
              <w:bottom w:val="nil"/>
              <w:right w:val="single" w:sz="8" w:space="0" w:color="auto"/>
            </w:tcBorders>
            <w:shd w:val="clear" w:color="auto" w:fill="FFFFFF"/>
            <w:vAlign w:val="center"/>
          </w:tcPr>
          <w:p w14:paraId="78CF382A" w14:textId="77777777" w:rsidR="0077235D" w:rsidRPr="00652401" w:rsidRDefault="0077235D" w:rsidP="009F4ACC">
            <w:pPr>
              <w:spacing w:after="0" w:line="240" w:lineRule="auto"/>
              <w:jc w:val="center"/>
              <w:rPr>
                <w:rFonts w:eastAsia="Calibri" w:cs="Times New Roman"/>
                <w:b/>
                <w:bCs/>
                <w:sz w:val="22"/>
                <w:lang w:eastAsia="es-EC"/>
              </w:rPr>
            </w:pPr>
            <w:r w:rsidRPr="00652401">
              <w:rPr>
                <w:rFonts w:eastAsia="Calibri" w:cs="Times New Roman"/>
                <w:b/>
                <w:bCs/>
                <w:sz w:val="22"/>
                <w:lang w:eastAsia="es-EC"/>
              </w:rPr>
              <w:t>Provincia de Bolívar</w:t>
            </w:r>
          </w:p>
        </w:tc>
      </w:tr>
      <w:tr w:rsidR="0077235D" w:rsidRPr="00652401" w14:paraId="30FA5A1F" w14:textId="77777777" w:rsidTr="00E70495">
        <w:trPr>
          <w:trHeight w:val="630"/>
        </w:trPr>
        <w:tc>
          <w:tcPr>
            <w:tcW w:w="699" w:type="dxa"/>
            <w:tcBorders>
              <w:top w:val="single" w:sz="8" w:space="0" w:color="auto"/>
              <w:left w:val="single" w:sz="8" w:space="0" w:color="auto"/>
              <w:bottom w:val="nil"/>
              <w:right w:val="single" w:sz="8" w:space="0" w:color="auto"/>
            </w:tcBorders>
            <w:shd w:val="clear" w:color="auto" w:fill="FFFFFF"/>
            <w:vAlign w:val="center"/>
            <w:hideMark/>
          </w:tcPr>
          <w:p w14:paraId="6E562BB7" w14:textId="77777777" w:rsidR="0077235D" w:rsidRPr="00652401" w:rsidRDefault="0077235D" w:rsidP="009F4ACC">
            <w:pPr>
              <w:spacing w:after="0" w:line="240" w:lineRule="auto"/>
              <w:jc w:val="center"/>
              <w:rPr>
                <w:rFonts w:eastAsia="Times New Roman" w:cs="Times New Roman"/>
                <w:b/>
                <w:bCs/>
                <w:sz w:val="22"/>
                <w:lang w:eastAsia="es-EC"/>
              </w:rPr>
            </w:pPr>
            <w:r w:rsidRPr="00652401">
              <w:rPr>
                <w:rFonts w:eastAsia="Times New Roman" w:cs="Times New Roman"/>
                <w:b/>
                <w:bCs/>
                <w:sz w:val="22"/>
                <w:lang w:eastAsia="es-EC"/>
              </w:rPr>
              <w:t>Año</w:t>
            </w:r>
          </w:p>
        </w:tc>
        <w:tc>
          <w:tcPr>
            <w:tcW w:w="1276" w:type="dxa"/>
            <w:tcBorders>
              <w:top w:val="single" w:sz="8" w:space="0" w:color="auto"/>
              <w:left w:val="nil"/>
              <w:bottom w:val="nil"/>
              <w:right w:val="single" w:sz="8" w:space="0" w:color="auto"/>
            </w:tcBorders>
            <w:shd w:val="clear" w:color="auto" w:fill="FFFFFF"/>
            <w:vAlign w:val="center"/>
            <w:hideMark/>
          </w:tcPr>
          <w:p w14:paraId="7AD7F055" w14:textId="77777777" w:rsidR="0077235D" w:rsidRPr="00652401" w:rsidRDefault="0077235D" w:rsidP="009F4ACC">
            <w:pPr>
              <w:spacing w:after="0" w:line="240" w:lineRule="auto"/>
              <w:jc w:val="center"/>
              <w:rPr>
                <w:rFonts w:eastAsia="Times New Roman" w:cs="Times New Roman"/>
                <w:b/>
                <w:bCs/>
                <w:sz w:val="22"/>
                <w:lang w:eastAsia="es-EC"/>
              </w:rPr>
            </w:pPr>
            <w:r w:rsidRPr="00652401">
              <w:rPr>
                <w:rFonts w:eastAsia="Times New Roman" w:cs="Times New Roman"/>
                <w:b/>
                <w:bCs/>
                <w:sz w:val="22"/>
                <w:lang w:eastAsia="es-EC"/>
              </w:rPr>
              <w:t>Cantón</w:t>
            </w:r>
          </w:p>
        </w:tc>
        <w:tc>
          <w:tcPr>
            <w:tcW w:w="1497" w:type="dxa"/>
            <w:tcBorders>
              <w:top w:val="single" w:sz="8" w:space="0" w:color="auto"/>
              <w:left w:val="nil"/>
              <w:bottom w:val="nil"/>
              <w:right w:val="single" w:sz="8" w:space="0" w:color="auto"/>
            </w:tcBorders>
            <w:shd w:val="clear" w:color="auto" w:fill="FFFFFF"/>
            <w:vAlign w:val="center"/>
            <w:hideMark/>
          </w:tcPr>
          <w:p w14:paraId="492BD99A" w14:textId="77777777" w:rsidR="0077235D" w:rsidRPr="00652401" w:rsidRDefault="0077235D" w:rsidP="009F4ACC">
            <w:pPr>
              <w:spacing w:after="0" w:line="240" w:lineRule="auto"/>
              <w:jc w:val="center"/>
              <w:rPr>
                <w:rFonts w:eastAsia="Times New Roman" w:cs="Times New Roman"/>
                <w:b/>
                <w:bCs/>
                <w:sz w:val="22"/>
                <w:lang w:eastAsia="es-EC"/>
              </w:rPr>
            </w:pPr>
            <w:r w:rsidRPr="00652401">
              <w:rPr>
                <w:rFonts w:eastAsia="Times New Roman" w:cs="Times New Roman"/>
                <w:b/>
                <w:bCs/>
                <w:sz w:val="22"/>
                <w:lang w:eastAsia="es-EC"/>
              </w:rPr>
              <w:t>Parroquia</w:t>
            </w:r>
          </w:p>
        </w:tc>
        <w:tc>
          <w:tcPr>
            <w:tcW w:w="1480" w:type="dxa"/>
            <w:tcBorders>
              <w:top w:val="single" w:sz="8" w:space="0" w:color="auto"/>
              <w:left w:val="nil"/>
              <w:bottom w:val="nil"/>
              <w:right w:val="single" w:sz="8" w:space="0" w:color="auto"/>
            </w:tcBorders>
            <w:shd w:val="clear" w:color="auto" w:fill="FFFFFF"/>
            <w:vAlign w:val="center"/>
            <w:hideMark/>
          </w:tcPr>
          <w:p w14:paraId="3247B200" w14:textId="77777777" w:rsidR="0077235D" w:rsidRPr="00652401" w:rsidRDefault="0077235D" w:rsidP="009F4ACC">
            <w:pPr>
              <w:spacing w:after="0" w:line="240" w:lineRule="auto"/>
              <w:jc w:val="center"/>
              <w:rPr>
                <w:rFonts w:eastAsia="Times New Roman" w:cs="Times New Roman"/>
                <w:b/>
                <w:bCs/>
                <w:sz w:val="22"/>
                <w:lang w:eastAsia="es-EC"/>
              </w:rPr>
            </w:pPr>
            <w:r w:rsidRPr="00652401">
              <w:rPr>
                <w:rFonts w:eastAsia="Times New Roman" w:cs="Times New Roman"/>
                <w:b/>
                <w:bCs/>
                <w:sz w:val="22"/>
                <w:lang w:eastAsia="es-EC"/>
              </w:rPr>
              <w:t>Sitios</w:t>
            </w:r>
          </w:p>
        </w:tc>
        <w:tc>
          <w:tcPr>
            <w:tcW w:w="2126" w:type="dxa"/>
            <w:tcBorders>
              <w:top w:val="single" w:sz="8" w:space="0" w:color="auto"/>
              <w:left w:val="nil"/>
              <w:bottom w:val="nil"/>
              <w:right w:val="single" w:sz="8" w:space="0" w:color="auto"/>
            </w:tcBorders>
            <w:shd w:val="clear" w:color="auto" w:fill="FFFFFF"/>
            <w:vAlign w:val="center"/>
            <w:hideMark/>
          </w:tcPr>
          <w:p w14:paraId="038487AA" w14:textId="77777777" w:rsidR="0077235D" w:rsidRPr="00652401" w:rsidRDefault="0077235D" w:rsidP="009F4ACC">
            <w:pPr>
              <w:spacing w:after="0" w:line="240" w:lineRule="auto"/>
              <w:jc w:val="center"/>
              <w:rPr>
                <w:rFonts w:eastAsia="Times New Roman" w:cs="Times New Roman"/>
                <w:b/>
                <w:bCs/>
                <w:sz w:val="22"/>
                <w:lang w:eastAsia="es-EC"/>
              </w:rPr>
            </w:pPr>
            <w:r w:rsidRPr="00652401">
              <w:rPr>
                <w:rFonts w:eastAsia="Times New Roman" w:cs="Times New Roman"/>
                <w:b/>
                <w:bCs/>
                <w:sz w:val="22"/>
                <w:lang w:eastAsia="es-EC"/>
              </w:rPr>
              <w:t>Coordenadas</w:t>
            </w:r>
          </w:p>
          <w:p w14:paraId="0E553A2F" w14:textId="77777777" w:rsidR="0077235D" w:rsidRPr="00652401" w:rsidRDefault="0077235D" w:rsidP="009F4ACC">
            <w:pPr>
              <w:spacing w:after="0" w:line="240" w:lineRule="auto"/>
              <w:jc w:val="center"/>
              <w:rPr>
                <w:rFonts w:eastAsia="Times New Roman" w:cs="Times New Roman"/>
                <w:b/>
                <w:bCs/>
                <w:sz w:val="22"/>
                <w:lang w:eastAsia="es-EC"/>
              </w:rPr>
            </w:pPr>
            <w:r w:rsidRPr="00652401">
              <w:rPr>
                <w:rFonts w:eastAsia="Times New Roman" w:cs="Times New Roman"/>
                <w:b/>
                <w:bCs/>
                <w:sz w:val="22"/>
                <w:lang w:eastAsia="es-EC"/>
              </w:rPr>
              <w:t>Lat, Lon, Al</w:t>
            </w:r>
          </w:p>
        </w:tc>
        <w:tc>
          <w:tcPr>
            <w:tcW w:w="992" w:type="dxa"/>
            <w:tcBorders>
              <w:top w:val="single" w:sz="8" w:space="0" w:color="auto"/>
              <w:left w:val="nil"/>
              <w:bottom w:val="nil"/>
              <w:right w:val="single" w:sz="8" w:space="0" w:color="auto"/>
            </w:tcBorders>
            <w:shd w:val="clear" w:color="auto" w:fill="FFFFFF"/>
            <w:vAlign w:val="center"/>
            <w:hideMark/>
          </w:tcPr>
          <w:p w14:paraId="76A5E41A" w14:textId="77777777" w:rsidR="0077235D" w:rsidRPr="00652401" w:rsidRDefault="0077235D" w:rsidP="009F4ACC">
            <w:pPr>
              <w:spacing w:after="0" w:line="240" w:lineRule="auto"/>
              <w:jc w:val="center"/>
              <w:rPr>
                <w:rFonts w:eastAsia="Calibri" w:cs="Times New Roman"/>
                <w:b/>
                <w:bCs/>
                <w:sz w:val="22"/>
                <w:lang w:eastAsia="es-EC"/>
              </w:rPr>
            </w:pPr>
            <w:r w:rsidRPr="00652401">
              <w:rPr>
                <w:rFonts w:eastAsia="Calibri" w:cs="Times New Roman"/>
                <w:b/>
                <w:bCs/>
                <w:sz w:val="22"/>
                <w:lang w:eastAsia="es-EC"/>
              </w:rPr>
              <w:t>Altitud</w:t>
            </w:r>
          </w:p>
          <w:p w14:paraId="552CC124" w14:textId="77777777" w:rsidR="0077235D" w:rsidRPr="00652401" w:rsidRDefault="0077235D" w:rsidP="009F4ACC">
            <w:pPr>
              <w:spacing w:after="0" w:line="240" w:lineRule="auto"/>
              <w:jc w:val="center"/>
              <w:rPr>
                <w:rFonts w:eastAsia="Calibri" w:cs="Times New Roman"/>
                <w:b/>
                <w:bCs/>
                <w:sz w:val="22"/>
                <w:lang w:eastAsia="es-EC"/>
              </w:rPr>
            </w:pPr>
            <w:r w:rsidRPr="00652401">
              <w:rPr>
                <w:rFonts w:eastAsia="Calibri" w:cs="Times New Roman"/>
                <w:b/>
                <w:bCs/>
                <w:sz w:val="22"/>
                <w:lang w:eastAsia="es-EC"/>
              </w:rPr>
              <w:t>(msnm)</w:t>
            </w:r>
          </w:p>
        </w:tc>
      </w:tr>
      <w:tr w:rsidR="0077235D" w:rsidRPr="00652401" w14:paraId="1A0D2FF1" w14:textId="77777777" w:rsidTr="00E70495">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601B2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2006</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14:paraId="74FE4A02"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Guaranda</w:t>
            </w:r>
          </w:p>
        </w:tc>
        <w:tc>
          <w:tcPr>
            <w:tcW w:w="1497" w:type="dxa"/>
            <w:tcBorders>
              <w:top w:val="single" w:sz="4" w:space="0" w:color="auto"/>
              <w:left w:val="nil"/>
              <w:bottom w:val="single" w:sz="4" w:space="0" w:color="auto"/>
              <w:right w:val="single" w:sz="4" w:space="0" w:color="auto"/>
            </w:tcBorders>
            <w:shd w:val="clear" w:color="auto" w:fill="FFFFFF"/>
            <w:noWrap/>
            <w:vAlign w:val="center"/>
            <w:hideMark/>
          </w:tcPr>
          <w:p w14:paraId="5A6A1A5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Veintimilla</w:t>
            </w:r>
          </w:p>
        </w:tc>
        <w:tc>
          <w:tcPr>
            <w:tcW w:w="1480" w:type="dxa"/>
            <w:tcBorders>
              <w:top w:val="single" w:sz="4" w:space="0" w:color="auto"/>
              <w:left w:val="nil"/>
              <w:bottom w:val="single" w:sz="4" w:space="0" w:color="auto"/>
              <w:right w:val="single" w:sz="4" w:space="0" w:color="auto"/>
            </w:tcBorders>
            <w:shd w:val="clear" w:color="auto" w:fill="FFFFFF"/>
            <w:noWrap/>
            <w:vAlign w:val="center"/>
            <w:hideMark/>
          </w:tcPr>
          <w:p w14:paraId="3380B5B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Laguacoto II</w:t>
            </w:r>
          </w:p>
        </w:tc>
        <w:tc>
          <w:tcPr>
            <w:tcW w:w="2126" w:type="dxa"/>
            <w:tcBorders>
              <w:top w:val="single" w:sz="4" w:space="0" w:color="auto"/>
              <w:left w:val="nil"/>
              <w:bottom w:val="single" w:sz="4" w:space="0" w:color="auto"/>
              <w:right w:val="single" w:sz="4" w:space="0" w:color="auto"/>
            </w:tcBorders>
            <w:shd w:val="clear" w:color="auto" w:fill="FFFFFF"/>
            <w:noWrap/>
            <w:vAlign w:val="center"/>
            <w:hideMark/>
          </w:tcPr>
          <w:p w14:paraId="6BC75BCE"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 37´S</w:t>
            </w:r>
          </w:p>
          <w:p w14:paraId="5A19EE7D" w14:textId="77777777" w:rsidR="0077235D" w:rsidRPr="00652401" w:rsidRDefault="00C07CEF" w:rsidP="009F4ACC">
            <w:pPr>
              <w:spacing w:after="0" w:line="240" w:lineRule="auto"/>
              <w:rPr>
                <w:rFonts w:eastAsia="Times New Roman" w:cs="Times New Roman"/>
                <w:sz w:val="22"/>
                <w:lang w:eastAsia="es-EC"/>
              </w:rPr>
            </w:pPr>
            <w:r w:rsidRPr="00652401">
              <w:rPr>
                <w:rFonts w:eastAsia="Times New Roman" w:cs="Times New Roman"/>
                <w:sz w:val="22"/>
                <w:lang w:eastAsia="es-EC"/>
              </w:rPr>
              <w:t>78° 59´W</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14:paraId="2FDF069B"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2640</w:t>
            </w:r>
          </w:p>
        </w:tc>
      </w:tr>
      <w:tr w:rsidR="0077235D" w:rsidRPr="00652401" w14:paraId="7FDA24D1"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06F4FCE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2006</w:t>
            </w:r>
          </w:p>
        </w:tc>
        <w:tc>
          <w:tcPr>
            <w:tcW w:w="1276" w:type="dxa"/>
            <w:tcBorders>
              <w:top w:val="nil"/>
              <w:left w:val="nil"/>
              <w:bottom w:val="single" w:sz="4" w:space="0" w:color="auto"/>
              <w:right w:val="single" w:sz="4" w:space="0" w:color="auto"/>
            </w:tcBorders>
            <w:shd w:val="clear" w:color="auto" w:fill="FFFFFF"/>
            <w:noWrap/>
            <w:vAlign w:val="center"/>
            <w:hideMark/>
          </w:tcPr>
          <w:p w14:paraId="7F97074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Miguel</w:t>
            </w:r>
          </w:p>
        </w:tc>
        <w:tc>
          <w:tcPr>
            <w:tcW w:w="1497" w:type="dxa"/>
            <w:tcBorders>
              <w:top w:val="nil"/>
              <w:left w:val="nil"/>
              <w:bottom w:val="single" w:sz="4" w:space="0" w:color="auto"/>
              <w:right w:val="single" w:sz="4" w:space="0" w:color="auto"/>
            </w:tcBorders>
            <w:shd w:val="clear" w:color="auto" w:fill="FFFFFF"/>
            <w:noWrap/>
            <w:vAlign w:val="center"/>
            <w:hideMark/>
          </w:tcPr>
          <w:p w14:paraId="5FFF1512"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Pablo</w:t>
            </w:r>
          </w:p>
        </w:tc>
        <w:tc>
          <w:tcPr>
            <w:tcW w:w="1480" w:type="dxa"/>
            <w:tcBorders>
              <w:top w:val="nil"/>
              <w:left w:val="nil"/>
              <w:bottom w:val="single" w:sz="4" w:space="0" w:color="auto"/>
              <w:right w:val="single" w:sz="4" w:space="0" w:color="auto"/>
            </w:tcBorders>
            <w:shd w:val="clear" w:color="auto" w:fill="FFFFFF"/>
            <w:noWrap/>
            <w:vAlign w:val="center"/>
            <w:hideMark/>
          </w:tcPr>
          <w:p w14:paraId="57D82B2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ITSA</w:t>
            </w:r>
          </w:p>
        </w:tc>
        <w:tc>
          <w:tcPr>
            <w:tcW w:w="2126" w:type="dxa"/>
            <w:tcBorders>
              <w:top w:val="nil"/>
              <w:left w:val="nil"/>
              <w:bottom w:val="single" w:sz="4" w:space="0" w:color="auto"/>
              <w:right w:val="single" w:sz="4" w:space="0" w:color="auto"/>
            </w:tcBorders>
            <w:shd w:val="clear" w:color="auto" w:fill="FFFFFF"/>
            <w:noWrap/>
            <w:vAlign w:val="center"/>
            <w:hideMark/>
          </w:tcPr>
          <w:p w14:paraId="1AFB77CB"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 47´34 S</w:t>
            </w:r>
          </w:p>
          <w:p w14:paraId="3C2F625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79° 01¨59 W</w:t>
            </w:r>
          </w:p>
        </w:tc>
        <w:tc>
          <w:tcPr>
            <w:tcW w:w="992" w:type="dxa"/>
            <w:tcBorders>
              <w:top w:val="nil"/>
              <w:left w:val="nil"/>
              <w:bottom w:val="single" w:sz="4" w:space="0" w:color="auto"/>
              <w:right w:val="single" w:sz="4" w:space="0" w:color="auto"/>
            </w:tcBorders>
            <w:shd w:val="clear" w:color="auto" w:fill="FFFFFF"/>
            <w:noWrap/>
            <w:vAlign w:val="center"/>
            <w:hideMark/>
          </w:tcPr>
          <w:p w14:paraId="00DB806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2458</w:t>
            </w:r>
          </w:p>
        </w:tc>
      </w:tr>
      <w:tr w:rsidR="0077235D" w:rsidRPr="00652401" w14:paraId="2C16CE93"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6EC35C9C"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2007</w:t>
            </w:r>
          </w:p>
        </w:tc>
        <w:tc>
          <w:tcPr>
            <w:tcW w:w="1276" w:type="dxa"/>
            <w:tcBorders>
              <w:top w:val="nil"/>
              <w:left w:val="nil"/>
              <w:bottom w:val="single" w:sz="4" w:space="0" w:color="auto"/>
              <w:right w:val="single" w:sz="4" w:space="0" w:color="auto"/>
            </w:tcBorders>
            <w:shd w:val="clear" w:color="auto" w:fill="FFFFFF"/>
            <w:noWrap/>
            <w:vAlign w:val="center"/>
            <w:hideMark/>
          </w:tcPr>
          <w:p w14:paraId="57C4CD9F"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Chimbo</w:t>
            </w:r>
          </w:p>
        </w:tc>
        <w:tc>
          <w:tcPr>
            <w:tcW w:w="1497" w:type="dxa"/>
            <w:tcBorders>
              <w:top w:val="nil"/>
              <w:left w:val="nil"/>
              <w:bottom w:val="single" w:sz="4" w:space="0" w:color="auto"/>
              <w:right w:val="single" w:sz="4" w:space="0" w:color="auto"/>
            </w:tcBorders>
            <w:shd w:val="clear" w:color="auto" w:fill="FFFFFF"/>
            <w:noWrap/>
            <w:vAlign w:val="center"/>
            <w:hideMark/>
          </w:tcPr>
          <w:p w14:paraId="34113DD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Chimbo</w:t>
            </w:r>
          </w:p>
        </w:tc>
        <w:tc>
          <w:tcPr>
            <w:tcW w:w="1480" w:type="dxa"/>
            <w:tcBorders>
              <w:top w:val="nil"/>
              <w:left w:val="nil"/>
              <w:bottom w:val="single" w:sz="4" w:space="0" w:color="auto"/>
              <w:right w:val="single" w:sz="4" w:space="0" w:color="auto"/>
            </w:tcBorders>
            <w:shd w:val="clear" w:color="auto" w:fill="FFFFFF"/>
            <w:noWrap/>
            <w:vAlign w:val="center"/>
            <w:hideMark/>
          </w:tcPr>
          <w:p w14:paraId="147DCB8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Tamban</w:t>
            </w:r>
          </w:p>
        </w:tc>
        <w:tc>
          <w:tcPr>
            <w:tcW w:w="2126" w:type="dxa"/>
            <w:tcBorders>
              <w:top w:val="nil"/>
              <w:left w:val="nil"/>
              <w:bottom w:val="single" w:sz="4" w:space="0" w:color="auto"/>
              <w:right w:val="single" w:sz="4" w:space="0" w:color="auto"/>
            </w:tcBorders>
            <w:shd w:val="clear" w:color="auto" w:fill="FFFFFF"/>
            <w:noWrap/>
            <w:vAlign w:val="center"/>
            <w:hideMark/>
          </w:tcPr>
          <w:p w14:paraId="38F5C7E5"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 40´40 S</w:t>
            </w:r>
          </w:p>
          <w:p w14:paraId="48026B7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79° 01´49 W</w:t>
            </w:r>
          </w:p>
        </w:tc>
        <w:tc>
          <w:tcPr>
            <w:tcW w:w="992" w:type="dxa"/>
            <w:tcBorders>
              <w:top w:val="nil"/>
              <w:left w:val="nil"/>
              <w:bottom w:val="single" w:sz="4" w:space="0" w:color="auto"/>
              <w:right w:val="single" w:sz="4" w:space="0" w:color="auto"/>
            </w:tcBorders>
            <w:shd w:val="clear" w:color="auto" w:fill="FFFFFF"/>
            <w:noWrap/>
            <w:vAlign w:val="center"/>
            <w:hideMark/>
          </w:tcPr>
          <w:p w14:paraId="1FE194D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2530</w:t>
            </w:r>
          </w:p>
        </w:tc>
      </w:tr>
      <w:tr w:rsidR="0077235D" w:rsidRPr="00652401" w14:paraId="640C6C67"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01FF9D2C"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2007</w:t>
            </w:r>
          </w:p>
        </w:tc>
        <w:tc>
          <w:tcPr>
            <w:tcW w:w="1276" w:type="dxa"/>
            <w:tcBorders>
              <w:top w:val="nil"/>
              <w:left w:val="nil"/>
              <w:bottom w:val="single" w:sz="4" w:space="0" w:color="auto"/>
              <w:right w:val="single" w:sz="4" w:space="0" w:color="auto"/>
            </w:tcBorders>
            <w:shd w:val="clear" w:color="auto" w:fill="FFFFFF"/>
            <w:noWrap/>
            <w:vAlign w:val="center"/>
            <w:hideMark/>
          </w:tcPr>
          <w:p w14:paraId="463D443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97" w:type="dxa"/>
            <w:tcBorders>
              <w:top w:val="nil"/>
              <w:left w:val="nil"/>
              <w:bottom w:val="single" w:sz="4" w:space="0" w:color="auto"/>
              <w:right w:val="single" w:sz="4" w:space="0" w:color="auto"/>
            </w:tcBorders>
            <w:shd w:val="clear" w:color="auto" w:fill="FFFFFF"/>
            <w:noWrap/>
            <w:vAlign w:val="center"/>
            <w:hideMark/>
          </w:tcPr>
          <w:p w14:paraId="376E409B"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80" w:type="dxa"/>
            <w:tcBorders>
              <w:top w:val="nil"/>
              <w:left w:val="nil"/>
              <w:bottom w:val="single" w:sz="4" w:space="0" w:color="auto"/>
              <w:right w:val="single" w:sz="4" w:space="0" w:color="auto"/>
            </w:tcBorders>
            <w:shd w:val="clear" w:color="auto" w:fill="FFFFFF"/>
            <w:noWrap/>
            <w:vAlign w:val="center"/>
            <w:hideMark/>
          </w:tcPr>
          <w:p w14:paraId="1BB1504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Sigsipamba</w:t>
            </w:r>
          </w:p>
        </w:tc>
        <w:tc>
          <w:tcPr>
            <w:tcW w:w="2126" w:type="dxa"/>
            <w:tcBorders>
              <w:top w:val="nil"/>
              <w:left w:val="nil"/>
              <w:bottom w:val="single" w:sz="4" w:space="0" w:color="auto"/>
              <w:right w:val="single" w:sz="4" w:space="0" w:color="auto"/>
            </w:tcBorders>
            <w:shd w:val="clear" w:color="auto" w:fill="FFFFFF"/>
            <w:noWrap/>
            <w:vAlign w:val="center"/>
            <w:hideMark/>
          </w:tcPr>
          <w:p w14:paraId="7C608E3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01° 56´17 S</w:t>
            </w:r>
          </w:p>
          <w:p w14:paraId="1F3C2A6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79° 04´14 W</w:t>
            </w:r>
          </w:p>
        </w:tc>
        <w:tc>
          <w:tcPr>
            <w:tcW w:w="992" w:type="dxa"/>
            <w:tcBorders>
              <w:top w:val="nil"/>
              <w:left w:val="nil"/>
              <w:bottom w:val="single" w:sz="4" w:space="0" w:color="auto"/>
              <w:right w:val="single" w:sz="4" w:space="0" w:color="auto"/>
            </w:tcBorders>
            <w:shd w:val="clear" w:color="auto" w:fill="FFFFFF"/>
            <w:noWrap/>
            <w:vAlign w:val="center"/>
            <w:hideMark/>
          </w:tcPr>
          <w:p w14:paraId="623345DF"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2425</w:t>
            </w:r>
          </w:p>
        </w:tc>
      </w:tr>
      <w:tr w:rsidR="0077235D" w:rsidRPr="00652401" w14:paraId="2CE1BB31"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4BA796F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2007</w:t>
            </w:r>
          </w:p>
        </w:tc>
        <w:tc>
          <w:tcPr>
            <w:tcW w:w="1276" w:type="dxa"/>
            <w:tcBorders>
              <w:top w:val="nil"/>
              <w:left w:val="nil"/>
              <w:bottom w:val="single" w:sz="4" w:space="0" w:color="auto"/>
              <w:right w:val="single" w:sz="4" w:space="0" w:color="auto"/>
            </w:tcBorders>
            <w:shd w:val="clear" w:color="auto" w:fill="FFFFFF"/>
            <w:noWrap/>
            <w:vAlign w:val="center"/>
            <w:hideMark/>
          </w:tcPr>
          <w:p w14:paraId="77566820"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97" w:type="dxa"/>
            <w:tcBorders>
              <w:top w:val="nil"/>
              <w:left w:val="nil"/>
              <w:bottom w:val="single" w:sz="4" w:space="0" w:color="auto"/>
              <w:right w:val="single" w:sz="4" w:space="0" w:color="auto"/>
            </w:tcBorders>
            <w:shd w:val="clear" w:color="auto" w:fill="FFFFFF"/>
            <w:noWrap/>
            <w:vAlign w:val="center"/>
            <w:hideMark/>
          </w:tcPr>
          <w:p w14:paraId="48E585E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80" w:type="dxa"/>
            <w:tcBorders>
              <w:top w:val="nil"/>
              <w:left w:val="nil"/>
              <w:bottom w:val="single" w:sz="4" w:space="0" w:color="auto"/>
              <w:right w:val="single" w:sz="4" w:space="0" w:color="auto"/>
            </w:tcBorders>
            <w:shd w:val="clear" w:color="auto" w:fill="FFFFFF"/>
            <w:noWrap/>
            <w:vAlign w:val="center"/>
            <w:hideMark/>
          </w:tcPr>
          <w:p w14:paraId="284E55D2"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Pacay</w:t>
            </w:r>
          </w:p>
        </w:tc>
        <w:tc>
          <w:tcPr>
            <w:tcW w:w="2126" w:type="dxa"/>
            <w:tcBorders>
              <w:top w:val="nil"/>
              <w:left w:val="nil"/>
              <w:bottom w:val="single" w:sz="4" w:space="0" w:color="auto"/>
              <w:right w:val="single" w:sz="4" w:space="0" w:color="auto"/>
            </w:tcBorders>
            <w:shd w:val="clear" w:color="auto" w:fill="FFFFFF"/>
            <w:noWrap/>
            <w:vAlign w:val="center"/>
            <w:hideMark/>
          </w:tcPr>
          <w:p w14:paraId="603F128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01° 58´35 S</w:t>
            </w:r>
          </w:p>
          <w:p w14:paraId="6EB6E2E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79° 04´18 W</w:t>
            </w:r>
          </w:p>
        </w:tc>
        <w:tc>
          <w:tcPr>
            <w:tcW w:w="992" w:type="dxa"/>
            <w:tcBorders>
              <w:top w:val="nil"/>
              <w:left w:val="nil"/>
              <w:bottom w:val="single" w:sz="4" w:space="0" w:color="auto"/>
              <w:right w:val="single" w:sz="4" w:space="0" w:color="auto"/>
            </w:tcBorders>
            <w:shd w:val="clear" w:color="auto" w:fill="FFFFFF"/>
            <w:noWrap/>
            <w:vAlign w:val="center"/>
            <w:hideMark/>
          </w:tcPr>
          <w:p w14:paraId="792C205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2370</w:t>
            </w:r>
          </w:p>
        </w:tc>
      </w:tr>
      <w:tr w:rsidR="0077235D" w:rsidRPr="00652401" w14:paraId="1940AB85"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6AD71DF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2008</w:t>
            </w:r>
          </w:p>
        </w:tc>
        <w:tc>
          <w:tcPr>
            <w:tcW w:w="1276" w:type="dxa"/>
            <w:tcBorders>
              <w:top w:val="nil"/>
              <w:left w:val="nil"/>
              <w:bottom w:val="single" w:sz="4" w:space="0" w:color="auto"/>
              <w:right w:val="single" w:sz="4" w:space="0" w:color="auto"/>
            </w:tcBorders>
            <w:shd w:val="clear" w:color="auto" w:fill="FFFFFF"/>
            <w:noWrap/>
            <w:vAlign w:val="center"/>
            <w:hideMark/>
          </w:tcPr>
          <w:p w14:paraId="59A489E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Guaranda</w:t>
            </w:r>
          </w:p>
        </w:tc>
        <w:tc>
          <w:tcPr>
            <w:tcW w:w="1497" w:type="dxa"/>
            <w:tcBorders>
              <w:top w:val="nil"/>
              <w:left w:val="nil"/>
              <w:bottom w:val="single" w:sz="4" w:space="0" w:color="auto"/>
              <w:right w:val="single" w:sz="4" w:space="0" w:color="auto"/>
            </w:tcBorders>
            <w:shd w:val="clear" w:color="auto" w:fill="FFFFFF"/>
            <w:noWrap/>
            <w:vAlign w:val="center"/>
            <w:hideMark/>
          </w:tcPr>
          <w:p w14:paraId="184B5DB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Veintimilla</w:t>
            </w:r>
          </w:p>
        </w:tc>
        <w:tc>
          <w:tcPr>
            <w:tcW w:w="1480" w:type="dxa"/>
            <w:tcBorders>
              <w:top w:val="nil"/>
              <w:left w:val="nil"/>
              <w:bottom w:val="single" w:sz="4" w:space="0" w:color="auto"/>
              <w:right w:val="single" w:sz="4" w:space="0" w:color="auto"/>
            </w:tcBorders>
            <w:shd w:val="clear" w:color="auto" w:fill="FFFFFF"/>
            <w:noWrap/>
            <w:vAlign w:val="center"/>
            <w:hideMark/>
          </w:tcPr>
          <w:p w14:paraId="1E57773F"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Laguacoto</w:t>
            </w:r>
          </w:p>
        </w:tc>
        <w:tc>
          <w:tcPr>
            <w:tcW w:w="2126" w:type="dxa"/>
            <w:tcBorders>
              <w:top w:val="nil"/>
              <w:left w:val="nil"/>
              <w:bottom w:val="single" w:sz="4" w:space="0" w:color="auto"/>
              <w:right w:val="single" w:sz="4" w:space="0" w:color="auto"/>
            </w:tcBorders>
            <w:shd w:val="clear" w:color="auto" w:fill="FFFFFF"/>
            <w:noWrap/>
            <w:vAlign w:val="center"/>
            <w:hideMark/>
          </w:tcPr>
          <w:p w14:paraId="1C867B1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01º 36´49 S</w:t>
            </w:r>
          </w:p>
          <w:p w14:paraId="6E2CD49B"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078º 59´54 O</w:t>
            </w:r>
          </w:p>
        </w:tc>
        <w:tc>
          <w:tcPr>
            <w:tcW w:w="992" w:type="dxa"/>
            <w:tcBorders>
              <w:top w:val="nil"/>
              <w:left w:val="nil"/>
              <w:bottom w:val="single" w:sz="4" w:space="0" w:color="auto"/>
              <w:right w:val="single" w:sz="4" w:space="0" w:color="auto"/>
            </w:tcBorders>
            <w:shd w:val="clear" w:color="auto" w:fill="FFFFFF"/>
            <w:noWrap/>
            <w:vAlign w:val="center"/>
            <w:hideMark/>
          </w:tcPr>
          <w:p w14:paraId="48E52170"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2605</w:t>
            </w:r>
          </w:p>
        </w:tc>
      </w:tr>
      <w:tr w:rsidR="0077235D" w:rsidRPr="00652401" w14:paraId="5F479FFA"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6100BB05"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2008</w:t>
            </w:r>
          </w:p>
        </w:tc>
        <w:tc>
          <w:tcPr>
            <w:tcW w:w="1276" w:type="dxa"/>
            <w:tcBorders>
              <w:top w:val="nil"/>
              <w:left w:val="nil"/>
              <w:bottom w:val="single" w:sz="4" w:space="0" w:color="auto"/>
              <w:right w:val="single" w:sz="4" w:space="0" w:color="auto"/>
            </w:tcBorders>
            <w:shd w:val="clear" w:color="auto" w:fill="FFFFFF"/>
            <w:noWrap/>
            <w:vAlign w:val="center"/>
            <w:hideMark/>
          </w:tcPr>
          <w:p w14:paraId="7413A760"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Miguel</w:t>
            </w:r>
          </w:p>
        </w:tc>
        <w:tc>
          <w:tcPr>
            <w:tcW w:w="1497" w:type="dxa"/>
            <w:tcBorders>
              <w:top w:val="nil"/>
              <w:left w:val="nil"/>
              <w:bottom w:val="single" w:sz="4" w:space="0" w:color="auto"/>
              <w:right w:val="single" w:sz="4" w:space="0" w:color="auto"/>
            </w:tcBorders>
            <w:shd w:val="clear" w:color="auto" w:fill="FFFFFF"/>
            <w:noWrap/>
            <w:vAlign w:val="center"/>
            <w:hideMark/>
          </w:tcPr>
          <w:p w14:paraId="3108F1AE"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Santiago</w:t>
            </w:r>
          </w:p>
        </w:tc>
        <w:tc>
          <w:tcPr>
            <w:tcW w:w="1480" w:type="dxa"/>
            <w:tcBorders>
              <w:top w:val="nil"/>
              <w:left w:val="nil"/>
              <w:bottom w:val="single" w:sz="4" w:space="0" w:color="auto"/>
              <w:right w:val="single" w:sz="4" w:space="0" w:color="auto"/>
            </w:tcBorders>
            <w:shd w:val="clear" w:color="auto" w:fill="FFFFFF"/>
            <w:noWrap/>
            <w:vAlign w:val="center"/>
            <w:hideMark/>
          </w:tcPr>
          <w:p w14:paraId="3F2C77F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Loma de Santiago</w:t>
            </w:r>
          </w:p>
        </w:tc>
        <w:tc>
          <w:tcPr>
            <w:tcW w:w="2126" w:type="dxa"/>
            <w:tcBorders>
              <w:top w:val="nil"/>
              <w:left w:val="nil"/>
              <w:bottom w:val="single" w:sz="4" w:space="0" w:color="auto"/>
              <w:right w:val="single" w:sz="4" w:space="0" w:color="auto"/>
            </w:tcBorders>
            <w:shd w:val="clear" w:color="auto" w:fill="FFFFFF"/>
            <w:noWrap/>
            <w:vAlign w:val="center"/>
            <w:hideMark/>
          </w:tcPr>
          <w:p w14:paraId="28029A0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01º 42´10 S</w:t>
            </w:r>
          </w:p>
          <w:p w14:paraId="06DB6525"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079º 00´17 O</w:t>
            </w:r>
          </w:p>
        </w:tc>
        <w:tc>
          <w:tcPr>
            <w:tcW w:w="992" w:type="dxa"/>
            <w:tcBorders>
              <w:top w:val="nil"/>
              <w:left w:val="nil"/>
              <w:bottom w:val="single" w:sz="4" w:space="0" w:color="auto"/>
              <w:right w:val="single" w:sz="4" w:space="0" w:color="auto"/>
            </w:tcBorders>
            <w:shd w:val="clear" w:color="auto" w:fill="FFFFFF"/>
            <w:noWrap/>
            <w:vAlign w:val="center"/>
            <w:hideMark/>
          </w:tcPr>
          <w:p w14:paraId="29C4002E"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2580</w:t>
            </w:r>
          </w:p>
        </w:tc>
      </w:tr>
      <w:tr w:rsidR="0077235D" w:rsidRPr="00652401" w14:paraId="60E75596"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59D12DA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2008</w:t>
            </w:r>
          </w:p>
        </w:tc>
        <w:tc>
          <w:tcPr>
            <w:tcW w:w="1276" w:type="dxa"/>
            <w:tcBorders>
              <w:top w:val="nil"/>
              <w:left w:val="nil"/>
              <w:bottom w:val="single" w:sz="4" w:space="0" w:color="auto"/>
              <w:right w:val="single" w:sz="4" w:space="0" w:color="auto"/>
            </w:tcBorders>
            <w:shd w:val="clear" w:color="auto" w:fill="FFFFFF"/>
            <w:noWrap/>
            <w:vAlign w:val="center"/>
            <w:hideMark/>
          </w:tcPr>
          <w:p w14:paraId="48D17F3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Chimbo</w:t>
            </w:r>
          </w:p>
        </w:tc>
        <w:tc>
          <w:tcPr>
            <w:tcW w:w="1497" w:type="dxa"/>
            <w:tcBorders>
              <w:top w:val="nil"/>
              <w:left w:val="nil"/>
              <w:bottom w:val="single" w:sz="4" w:space="0" w:color="auto"/>
              <w:right w:val="single" w:sz="4" w:space="0" w:color="auto"/>
            </w:tcBorders>
            <w:shd w:val="clear" w:color="auto" w:fill="FFFFFF"/>
            <w:noWrap/>
            <w:vAlign w:val="center"/>
            <w:hideMark/>
          </w:tcPr>
          <w:p w14:paraId="280949A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Chimbo</w:t>
            </w:r>
          </w:p>
        </w:tc>
        <w:tc>
          <w:tcPr>
            <w:tcW w:w="1480" w:type="dxa"/>
            <w:tcBorders>
              <w:top w:val="nil"/>
              <w:left w:val="nil"/>
              <w:bottom w:val="single" w:sz="4" w:space="0" w:color="auto"/>
              <w:right w:val="single" w:sz="4" w:space="0" w:color="auto"/>
            </w:tcBorders>
            <w:shd w:val="clear" w:color="auto" w:fill="FFFFFF"/>
            <w:noWrap/>
            <w:vAlign w:val="center"/>
            <w:hideMark/>
          </w:tcPr>
          <w:p w14:paraId="075A5C4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3 de Marzo</w:t>
            </w:r>
          </w:p>
        </w:tc>
        <w:tc>
          <w:tcPr>
            <w:tcW w:w="2126" w:type="dxa"/>
            <w:tcBorders>
              <w:top w:val="nil"/>
              <w:left w:val="nil"/>
              <w:bottom w:val="single" w:sz="4" w:space="0" w:color="auto"/>
              <w:right w:val="single" w:sz="4" w:space="0" w:color="auto"/>
            </w:tcBorders>
            <w:shd w:val="clear" w:color="auto" w:fill="FFFFFF"/>
            <w:noWrap/>
            <w:vAlign w:val="center"/>
            <w:hideMark/>
          </w:tcPr>
          <w:p w14:paraId="309247B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01º 40´49 S</w:t>
            </w:r>
          </w:p>
          <w:p w14:paraId="76D5F4FE"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079º 01´54 O</w:t>
            </w:r>
          </w:p>
        </w:tc>
        <w:tc>
          <w:tcPr>
            <w:tcW w:w="992" w:type="dxa"/>
            <w:tcBorders>
              <w:top w:val="nil"/>
              <w:left w:val="nil"/>
              <w:bottom w:val="single" w:sz="4" w:space="0" w:color="auto"/>
              <w:right w:val="single" w:sz="4" w:space="0" w:color="auto"/>
            </w:tcBorders>
            <w:shd w:val="clear" w:color="auto" w:fill="FFFFFF"/>
            <w:noWrap/>
            <w:vAlign w:val="center"/>
            <w:hideMark/>
          </w:tcPr>
          <w:p w14:paraId="0924B95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2534</w:t>
            </w:r>
          </w:p>
        </w:tc>
      </w:tr>
      <w:tr w:rsidR="0077235D" w:rsidRPr="00652401" w14:paraId="51BFCF26"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25CB358F"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2008</w:t>
            </w:r>
          </w:p>
        </w:tc>
        <w:tc>
          <w:tcPr>
            <w:tcW w:w="1276" w:type="dxa"/>
            <w:tcBorders>
              <w:top w:val="nil"/>
              <w:left w:val="nil"/>
              <w:bottom w:val="single" w:sz="4" w:space="0" w:color="auto"/>
              <w:right w:val="single" w:sz="4" w:space="0" w:color="auto"/>
            </w:tcBorders>
            <w:shd w:val="clear" w:color="auto" w:fill="FFFFFF"/>
            <w:noWrap/>
            <w:vAlign w:val="center"/>
            <w:hideMark/>
          </w:tcPr>
          <w:p w14:paraId="7FD26F29"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Miguel</w:t>
            </w:r>
          </w:p>
        </w:tc>
        <w:tc>
          <w:tcPr>
            <w:tcW w:w="1497" w:type="dxa"/>
            <w:tcBorders>
              <w:top w:val="nil"/>
              <w:left w:val="nil"/>
              <w:bottom w:val="single" w:sz="4" w:space="0" w:color="auto"/>
              <w:right w:val="single" w:sz="4" w:space="0" w:color="auto"/>
            </w:tcBorders>
            <w:shd w:val="clear" w:color="auto" w:fill="FFFFFF"/>
            <w:noWrap/>
            <w:vAlign w:val="center"/>
            <w:hideMark/>
          </w:tcPr>
          <w:p w14:paraId="46FF6B49"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La Matriz</w:t>
            </w:r>
          </w:p>
        </w:tc>
        <w:tc>
          <w:tcPr>
            <w:tcW w:w="1480" w:type="dxa"/>
            <w:tcBorders>
              <w:top w:val="nil"/>
              <w:left w:val="nil"/>
              <w:bottom w:val="single" w:sz="4" w:space="0" w:color="auto"/>
              <w:right w:val="single" w:sz="4" w:space="0" w:color="auto"/>
            </w:tcBorders>
            <w:shd w:val="clear" w:color="auto" w:fill="FFFFFF"/>
            <w:noWrap/>
            <w:vAlign w:val="center"/>
            <w:hideMark/>
          </w:tcPr>
          <w:p w14:paraId="4FC39EDE"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Rancho Marshal</w:t>
            </w:r>
          </w:p>
        </w:tc>
        <w:tc>
          <w:tcPr>
            <w:tcW w:w="2126" w:type="dxa"/>
            <w:tcBorders>
              <w:top w:val="nil"/>
              <w:left w:val="nil"/>
              <w:bottom w:val="single" w:sz="4" w:space="0" w:color="auto"/>
              <w:right w:val="single" w:sz="4" w:space="0" w:color="auto"/>
            </w:tcBorders>
            <w:shd w:val="clear" w:color="auto" w:fill="FFFFFF"/>
            <w:noWrap/>
            <w:vAlign w:val="center"/>
            <w:hideMark/>
          </w:tcPr>
          <w:p w14:paraId="1EB2923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01º 43´26 S</w:t>
            </w:r>
          </w:p>
          <w:p w14:paraId="439F896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079º 01´47 O</w:t>
            </w:r>
          </w:p>
        </w:tc>
        <w:tc>
          <w:tcPr>
            <w:tcW w:w="992" w:type="dxa"/>
            <w:tcBorders>
              <w:top w:val="nil"/>
              <w:left w:val="nil"/>
              <w:bottom w:val="single" w:sz="4" w:space="0" w:color="auto"/>
              <w:right w:val="single" w:sz="4" w:space="0" w:color="auto"/>
            </w:tcBorders>
            <w:shd w:val="clear" w:color="auto" w:fill="FFFFFF"/>
            <w:noWrap/>
            <w:vAlign w:val="center"/>
            <w:hideMark/>
          </w:tcPr>
          <w:p w14:paraId="5A678E02"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2384</w:t>
            </w:r>
          </w:p>
        </w:tc>
      </w:tr>
      <w:tr w:rsidR="0077235D" w:rsidRPr="00652401" w14:paraId="56253159"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467AB84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2008</w:t>
            </w:r>
          </w:p>
        </w:tc>
        <w:tc>
          <w:tcPr>
            <w:tcW w:w="1276" w:type="dxa"/>
            <w:tcBorders>
              <w:top w:val="nil"/>
              <w:left w:val="nil"/>
              <w:bottom w:val="single" w:sz="4" w:space="0" w:color="auto"/>
              <w:right w:val="single" w:sz="4" w:space="0" w:color="auto"/>
            </w:tcBorders>
            <w:shd w:val="clear" w:color="auto" w:fill="FFFFFF"/>
            <w:noWrap/>
            <w:vAlign w:val="center"/>
            <w:hideMark/>
          </w:tcPr>
          <w:p w14:paraId="6CFC3C9B"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97" w:type="dxa"/>
            <w:tcBorders>
              <w:top w:val="nil"/>
              <w:left w:val="nil"/>
              <w:bottom w:val="single" w:sz="4" w:space="0" w:color="auto"/>
              <w:right w:val="single" w:sz="4" w:space="0" w:color="auto"/>
            </w:tcBorders>
            <w:shd w:val="clear" w:color="auto" w:fill="FFFFFF"/>
            <w:noWrap/>
            <w:vAlign w:val="center"/>
            <w:hideMark/>
          </w:tcPr>
          <w:p w14:paraId="23ADE4B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Juanpamba</w:t>
            </w:r>
          </w:p>
        </w:tc>
        <w:tc>
          <w:tcPr>
            <w:tcW w:w="1480" w:type="dxa"/>
            <w:tcBorders>
              <w:top w:val="nil"/>
              <w:left w:val="nil"/>
              <w:bottom w:val="single" w:sz="4" w:space="0" w:color="auto"/>
              <w:right w:val="single" w:sz="4" w:space="0" w:color="auto"/>
            </w:tcBorders>
            <w:shd w:val="clear" w:color="auto" w:fill="FFFFFF"/>
            <w:noWrap/>
            <w:vAlign w:val="center"/>
            <w:hideMark/>
          </w:tcPr>
          <w:p w14:paraId="612C3B9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Juanpamba</w:t>
            </w:r>
          </w:p>
        </w:tc>
        <w:tc>
          <w:tcPr>
            <w:tcW w:w="2126" w:type="dxa"/>
            <w:tcBorders>
              <w:top w:val="nil"/>
              <w:left w:val="nil"/>
              <w:bottom w:val="single" w:sz="4" w:space="0" w:color="auto"/>
              <w:right w:val="single" w:sz="4" w:space="0" w:color="auto"/>
            </w:tcBorders>
            <w:shd w:val="clear" w:color="auto" w:fill="FFFFFF"/>
            <w:noWrap/>
            <w:vAlign w:val="center"/>
            <w:hideMark/>
          </w:tcPr>
          <w:p w14:paraId="78F6D409"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01º 56´ 12 S</w:t>
            </w:r>
          </w:p>
          <w:p w14:paraId="303168B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079º 03´33 O</w:t>
            </w:r>
          </w:p>
        </w:tc>
        <w:tc>
          <w:tcPr>
            <w:tcW w:w="992" w:type="dxa"/>
            <w:tcBorders>
              <w:top w:val="nil"/>
              <w:left w:val="nil"/>
              <w:bottom w:val="single" w:sz="4" w:space="0" w:color="auto"/>
              <w:right w:val="single" w:sz="4" w:space="0" w:color="auto"/>
            </w:tcBorders>
            <w:shd w:val="clear" w:color="auto" w:fill="FFFFFF"/>
            <w:noWrap/>
            <w:vAlign w:val="center"/>
            <w:hideMark/>
          </w:tcPr>
          <w:p w14:paraId="728AE94D"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2397</w:t>
            </w:r>
          </w:p>
        </w:tc>
      </w:tr>
      <w:tr w:rsidR="0077235D" w:rsidRPr="00652401" w14:paraId="3225DCFD"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6BE2FF4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2008</w:t>
            </w:r>
          </w:p>
        </w:tc>
        <w:tc>
          <w:tcPr>
            <w:tcW w:w="1276" w:type="dxa"/>
            <w:tcBorders>
              <w:top w:val="nil"/>
              <w:left w:val="nil"/>
              <w:bottom w:val="single" w:sz="4" w:space="0" w:color="auto"/>
              <w:right w:val="single" w:sz="4" w:space="0" w:color="auto"/>
            </w:tcBorders>
            <w:shd w:val="clear" w:color="auto" w:fill="FFFFFF"/>
            <w:noWrap/>
            <w:vAlign w:val="center"/>
            <w:hideMark/>
          </w:tcPr>
          <w:p w14:paraId="7E67CF0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97" w:type="dxa"/>
            <w:tcBorders>
              <w:top w:val="nil"/>
              <w:left w:val="nil"/>
              <w:bottom w:val="single" w:sz="4" w:space="0" w:color="auto"/>
              <w:right w:val="single" w:sz="4" w:space="0" w:color="auto"/>
            </w:tcBorders>
            <w:shd w:val="clear" w:color="auto" w:fill="FFFFFF"/>
            <w:noWrap/>
            <w:vAlign w:val="center"/>
            <w:hideMark/>
          </w:tcPr>
          <w:p w14:paraId="6F7E6582"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Pedro del G</w:t>
            </w:r>
          </w:p>
        </w:tc>
        <w:tc>
          <w:tcPr>
            <w:tcW w:w="1480" w:type="dxa"/>
            <w:tcBorders>
              <w:top w:val="nil"/>
              <w:left w:val="nil"/>
              <w:bottom w:val="single" w:sz="4" w:space="0" w:color="auto"/>
              <w:right w:val="single" w:sz="4" w:space="0" w:color="auto"/>
            </w:tcBorders>
            <w:shd w:val="clear" w:color="auto" w:fill="FFFFFF"/>
            <w:noWrap/>
            <w:vAlign w:val="center"/>
            <w:hideMark/>
          </w:tcPr>
          <w:p w14:paraId="5F0912F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Camino a 1 km</w:t>
            </w:r>
          </w:p>
        </w:tc>
        <w:tc>
          <w:tcPr>
            <w:tcW w:w="2126" w:type="dxa"/>
            <w:tcBorders>
              <w:top w:val="nil"/>
              <w:left w:val="nil"/>
              <w:bottom w:val="single" w:sz="4" w:space="0" w:color="auto"/>
              <w:right w:val="single" w:sz="4" w:space="0" w:color="auto"/>
            </w:tcBorders>
            <w:shd w:val="clear" w:color="auto" w:fill="FFFFFF"/>
            <w:noWrap/>
            <w:vAlign w:val="center"/>
            <w:hideMark/>
          </w:tcPr>
          <w:p w14:paraId="7A28F5AD"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02º 00´27 S</w:t>
            </w:r>
          </w:p>
          <w:p w14:paraId="1065E24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079º 04´ 39 O</w:t>
            </w:r>
          </w:p>
        </w:tc>
        <w:tc>
          <w:tcPr>
            <w:tcW w:w="992" w:type="dxa"/>
            <w:tcBorders>
              <w:top w:val="nil"/>
              <w:left w:val="nil"/>
              <w:bottom w:val="single" w:sz="4" w:space="0" w:color="auto"/>
              <w:right w:val="single" w:sz="4" w:space="0" w:color="auto"/>
            </w:tcBorders>
            <w:shd w:val="clear" w:color="auto" w:fill="FFFFFF"/>
            <w:noWrap/>
            <w:vAlign w:val="center"/>
            <w:hideMark/>
          </w:tcPr>
          <w:p w14:paraId="2FA6EED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2356</w:t>
            </w:r>
          </w:p>
        </w:tc>
      </w:tr>
      <w:tr w:rsidR="0077235D" w:rsidRPr="00652401" w14:paraId="3DFB1F86"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719BADCC"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2008</w:t>
            </w:r>
          </w:p>
        </w:tc>
        <w:tc>
          <w:tcPr>
            <w:tcW w:w="1276" w:type="dxa"/>
            <w:tcBorders>
              <w:top w:val="nil"/>
              <w:left w:val="nil"/>
              <w:bottom w:val="single" w:sz="4" w:space="0" w:color="auto"/>
              <w:right w:val="single" w:sz="4" w:space="0" w:color="auto"/>
            </w:tcBorders>
            <w:shd w:val="clear" w:color="auto" w:fill="FFFFFF"/>
            <w:noWrap/>
            <w:vAlign w:val="center"/>
            <w:hideMark/>
          </w:tcPr>
          <w:p w14:paraId="7C676DC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97" w:type="dxa"/>
            <w:tcBorders>
              <w:top w:val="nil"/>
              <w:left w:val="nil"/>
              <w:bottom w:val="single" w:sz="4" w:space="0" w:color="auto"/>
              <w:right w:val="single" w:sz="4" w:space="0" w:color="auto"/>
            </w:tcBorders>
            <w:shd w:val="clear" w:color="auto" w:fill="FFFFFF"/>
            <w:noWrap/>
            <w:vAlign w:val="center"/>
            <w:hideMark/>
          </w:tcPr>
          <w:p w14:paraId="26EB897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Pedro del G</w:t>
            </w:r>
          </w:p>
        </w:tc>
        <w:tc>
          <w:tcPr>
            <w:tcW w:w="1480" w:type="dxa"/>
            <w:tcBorders>
              <w:top w:val="nil"/>
              <w:left w:val="nil"/>
              <w:bottom w:val="single" w:sz="4" w:space="0" w:color="auto"/>
              <w:right w:val="single" w:sz="4" w:space="0" w:color="auto"/>
            </w:tcBorders>
            <w:shd w:val="clear" w:color="auto" w:fill="FFFFFF"/>
            <w:noWrap/>
            <w:vAlign w:val="center"/>
            <w:hideMark/>
          </w:tcPr>
          <w:p w14:paraId="3505852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De tras de la Plaza</w:t>
            </w:r>
          </w:p>
        </w:tc>
        <w:tc>
          <w:tcPr>
            <w:tcW w:w="2126" w:type="dxa"/>
            <w:tcBorders>
              <w:top w:val="nil"/>
              <w:left w:val="nil"/>
              <w:bottom w:val="single" w:sz="4" w:space="0" w:color="auto"/>
              <w:right w:val="single" w:sz="4" w:space="0" w:color="auto"/>
            </w:tcBorders>
            <w:shd w:val="clear" w:color="auto" w:fill="FFFFFF"/>
            <w:noWrap/>
            <w:vAlign w:val="center"/>
            <w:hideMark/>
          </w:tcPr>
          <w:p w14:paraId="2FD20AB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02º 00´27 S</w:t>
            </w:r>
          </w:p>
          <w:p w14:paraId="27F2481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079º 04´36 O</w:t>
            </w:r>
          </w:p>
        </w:tc>
        <w:tc>
          <w:tcPr>
            <w:tcW w:w="992" w:type="dxa"/>
            <w:tcBorders>
              <w:top w:val="nil"/>
              <w:left w:val="nil"/>
              <w:bottom w:val="single" w:sz="4" w:space="0" w:color="auto"/>
              <w:right w:val="single" w:sz="4" w:space="0" w:color="auto"/>
            </w:tcBorders>
            <w:shd w:val="clear" w:color="auto" w:fill="FFFFFF"/>
            <w:noWrap/>
            <w:vAlign w:val="center"/>
            <w:hideMark/>
          </w:tcPr>
          <w:p w14:paraId="14C3FE2F"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2394</w:t>
            </w:r>
          </w:p>
        </w:tc>
      </w:tr>
      <w:tr w:rsidR="0077235D" w:rsidRPr="00652401" w14:paraId="1F67C052"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65F5385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2009</w:t>
            </w:r>
          </w:p>
        </w:tc>
        <w:tc>
          <w:tcPr>
            <w:tcW w:w="1276" w:type="dxa"/>
            <w:tcBorders>
              <w:top w:val="nil"/>
              <w:left w:val="nil"/>
              <w:bottom w:val="single" w:sz="4" w:space="0" w:color="auto"/>
              <w:right w:val="single" w:sz="4" w:space="0" w:color="auto"/>
            </w:tcBorders>
            <w:shd w:val="clear" w:color="auto" w:fill="FFFFFF"/>
            <w:noWrap/>
            <w:vAlign w:val="center"/>
            <w:hideMark/>
          </w:tcPr>
          <w:p w14:paraId="0B7F2139"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Guaranda</w:t>
            </w:r>
          </w:p>
        </w:tc>
        <w:tc>
          <w:tcPr>
            <w:tcW w:w="1497" w:type="dxa"/>
            <w:tcBorders>
              <w:top w:val="nil"/>
              <w:left w:val="nil"/>
              <w:bottom w:val="single" w:sz="4" w:space="0" w:color="auto"/>
              <w:right w:val="single" w:sz="4" w:space="0" w:color="auto"/>
            </w:tcBorders>
            <w:shd w:val="clear" w:color="auto" w:fill="FFFFFF"/>
            <w:noWrap/>
            <w:vAlign w:val="center"/>
            <w:hideMark/>
          </w:tcPr>
          <w:p w14:paraId="272A435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Simón</w:t>
            </w:r>
          </w:p>
        </w:tc>
        <w:tc>
          <w:tcPr>
            <w:tcW w:w="1480" w:type="dxa"/>
            <w:tcBorders>
              <w:top w:val="nil"/>
              <w:left w:val="nil"/>
              <w:bottom w:val="single" w:sz="4" w:space="0" w:color="auto"/>
              <w:right w:val="single" w:sz="4" w:space="0" w:color="auto"/>
            </w:tcBorders>
            <w:shd w:val="clear" w:color="auto" w:fill="FFFFFF"/>
            <w:noWrap/>
            <w:vAlign w:val="center"/>
            <w:hideMark/>
          </w:tcPr>
          <w:p w14:paraId="1B669DA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Vicente</w:t>
            </w:r>
          </w:p>
        </w:tc>
        <w:tc>
          <w:tcPr>
            <w:tcW w:w="2126" w:type="dxa"/>
            <w:tcBorders>
              <w:top w:val="nil"/>
              <w:left w:val="nil"/>
              <w:bottom w:val="single" w:sz="4" w:space="0" w:color="auto"/>
              <w:right w:val="single" w:sz="4" w:space="0" w:color="auto"/>
            </w:tcBorders>
            <w:shd w:val="clear" w:color="auto" w:fill="FFFFFF"/>
            <w:noWrap/>
            <w:vAlign w:val="center"/>
            <w:hideMark/>
          </w:tcPr>
          <w:p w14:paraId="4ABACDDC"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1º 38´28´´ S</w:t>
            </w:r>
          </w:p>
          <w:p w14:paraId="7B78419E"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78º 59´38´´ W</w:t>
            </w:r>
          </w:p>
        </w:tc>
        <w:tc>
          <w:tcPr>
            <w:tcW w:w="992" w:type="dxa"/>
            <w:tcBorders>
              <w:top w:val="nil"/>
              <w:left w:val="nil"/>
              <w:bottom w:val="single" w:sz="4" w:space="0" w:color="auto"/>
              <w:right w:val="single" w:sz="4" w:space="0" w:color="auto"/>
            </w:tcBorders>
            <w:shd w:val="clear" w:color="auto" w:fill="FFFFFF"/>
            <w:noWrap/>
            <w:vAlign w:val="center"/>
            <w:hideMark/>
          </w:tcPr>
          <w:p w14:paraId="4F7A3C4A"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2655</w:t>
            </w:r>
          </w:p>
        </w:tc>
      </w:tr>
      <w:tr w:rsidR="0077235D" w:rsidRPr="00652401" w14:paraId="4A4382F0"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6A49D0AB"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2009</w:t>
            </w:r>
          </w:p>
        </w:tc>
        <w:tc>
          <w:tcPr>
            <w:tcW w:w="1276" w:type="dxa"/>
            <w:tcBorders>
              <w:top w:val="nil"/>
              <w:left w:val="nil"/>
              <w:bottom w:val="single" w:sz="4" w:space="0" w:color="auto"/>
              <w:right w:val="single" w:sz="4" w:space="0" w:color="auto"/>
            </w:tcBorders>
            <w:shd w:val="clear" w:color="auto" w:fill="FFFFFF"/>
            <w:noWrap/>
            <w:vAlign w:val="center"/>
            <w:hideMark/>
          </w:tcPr>
          <w:p w14:paraId="2CD729E2"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 Miguel</w:t>
            </w:r>
          </w:p>
        </w:tc>
        <w:tc>
          <w:tcPr>
            <w:tcW w:w="1497" w:type="dxa"/>
            <w:tcBorders>
              <w:top w:val="nil"/>
              <w:left w:val="nil"/>
              <w:bottom w:val="single" w:sz="4" w:space="0" w:color="auto"/>
              <w:right w:val="single" w:sz="4" w:space="0" w:color="auto"/>
            </w:tcBorders>
            <w:shd w:val="clear" w:color="auto" w:fill="FFFFFF"/>
            <w:noWrap/>
            <w:vAlign w:val="center"/>
            <w:hideMark/>
          </w:tcPr>
          <w:p w14:paraId="556E7CF2"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Santiago</w:t>
            </w:r>
          </w:p>
        </w:tc>
        <w:tc>
          <w:tcPr>
            <w:tcW w:w="1480" w:type="dxa"/>
            <w:tcBorders>
              <w:top w:val="nil"/>
              <w:left w:val="nil"/>
              <w:bottom w:val="single" w:sz="4" w:space="0" w:color="auto"/>
              <w:right w:val="single" w:sz="4" w:space="0" w:color="auto"/>
            </w:tcBorders>
            <w:shd w:val="clear" w:color="auto" w:fill="FFFFFF"/>
            <w:noWrap/>
            <w:vAlign w:val="center"/>
            <w:hideMark/>
          </w:tcPr>
          <w:p w14:paraId="0ABC327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El Huerto</w:t>
            </w:r>
          </w:p>
        </w:tc>
        <w:tc>
          <w:tcPr>
            <w:tcW w:w="2126" w:type="dxa"/>
            <w:tcBorders>
              <w:top w:val="nil"/>
              <w:left w:val="nil"/>
              <w:bottom w:val="single" w:sz="4" w:space="0" w:color="auto"/>
              <w:right w:val="single" w:sz="4" w:space="0" w:color="auto"/>
            </w:tcBorders>
            <w:shd w:val="clear" w:color="auto" w:fill="FFFFFF"/>
            <w:noWrap/>
            <w:vAlign w:val="center"/>
            <w:hideMark/>
          </w:tcPr>
          <w:p w14:paraId="70E813C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1º 41´56 ´´ S</w:t>
            </w:r>
          </w:p>
          <w:p w14:paraId="124BCDBB"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78º 58 ´ 53´´ W</w:t>
            </w:r>
          </w:p>
        </w:tc>
        <w:tc>
          <w:tcPr>
            <w:tcW w:w="992" w:type="dxa"/>
            <w:tcBorders>
              <w:top w:val="nil"/>
              <w:left w:val="nil"/>
              <w:bottom w:val="single" w:sz="4" w:space="0" w:color="auto"/>
              <w:right w:val="single" w:sz="4" w:space="0" w:color="auto"/>
            </w:tcBorders>
            <w:shd w:val="clear" w:color="auto" w:fill="FFFFFF"/>
            <w:noWrap/>
            <w:vAlign w:val="center"/>
            <w:hideMark/>
          </w:tcPr>
          <w:p w14:paraId="01202BF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2574</w:t>
            </w:r>
          </w:p>
        </w:tc>
      </w:tr>
      <w:tr w:rsidR="0077235D" w:rsidRPr="00652401" w14:paraId="369B5090"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1B0313B9"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2009</w:t>
            </w:r>
          </w:p>
        </w:tc>
        <w:tc>
          <w:tcPr>
            <w:tcW w:w="1276" w:type="dxa"/>
            <w:tcBorders>
              <w:top w:val="nil"/>
              <w:left w:val="nil"/>
              <w:bottom w:val="single" w:sz="4" w:space="0" w:color="auto"/>
              <w:right w:val="single" w:sz="4" w:space="0" w:color="auto"/>
            </w:tcBorders>
            <w:shd w:val="clear" w:color="auto" w:fill="FFFFFF"/>
            <w:noWrap/>
            <w:vAlign w:val="center"/>
            <w:hideMark/>
          </w:tcPr>
          <w:p w14:paraId="601859AD"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Chimbo</w:t>
            </w:r>
          </w:p>
        </w:tc>
        <w:tc>
          <w:tcPr>
            <w:tcW w:w="1497" w:type="dxa"/>
            <w:tcBorders>
              <w:top w:val="nil"/>
              <w:left w:val="nil"/>
              <w:bottom w:val="single" w:sz="4" w:space="0" w:color="auto"/>
              <w:right w:val="single" w:sz="4" w:space="0" w:color="auto"/>
            </w:tcBorders>
            <w:shd w:val="clear" w:color="auto" w:fill="FFFFFF"/>
            <w:noWrap/>
            <w:vAlign w:val="center"/>
            <w:hideMark/>
          </w:tcPr>
          <w:p w14:paraId="213527E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Central</w:t>
            </w:r>
          </w:p>
        </w:tc>
        <w:tc>
          <w:tcPr>
            <w:tcW w:w="1480" w:type="dxa"/>
            <w:tcBorders>
              <w:top w:val="nil"/>
              <w:left w:val="nil"/>
              <w:bottom w:val="single" w:sz="4" w:space="0" w:color="auto"/>
              <w:right w:val="single" w:sz="4" w:space="0" w:color="auto"/>
            </w:tcBorders>
            <w:shd w:val="clear" w:color="auto" w:fill="FFFFFF"/>
            <w:noWrap/>
            <w:vAlign w:val="center"/>
            <w:hideMark/>
          </w:tcPr>
          <w:p w14:paraId="0F488B8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Tamban</w:t>
            </w:r>
          </w:p>
        </w:tc>
        <w:tc>
          <w:tcPr>
            <w:tcW w:w="2126" w:type="dxa"/>
            <w:tcBorders>
              <w:top w:val="nil"/>
              <w:left w:val="nil"/>
              <w:bottom w:val="single" w:sz="4" w:space="0" w:color="auto"/>
              <w:right w:val="single" w:sz="4" w:space="0" w:color="auto"/>
            </w:tcBorders>
            <w:shd w:val="clear" w:color="auto" w:fill="FFFFFF"/>
            <w:noWrap/>
            <w:vAlign w:val="center"/>
            <w:hideMark/>
          </w:tcPr>
          <w:p w14:paraId="6D1DA63D"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1º 40´ 49´´ S</w:t>
            </w:r>
          </w:p>
          <w:p w14:paraId="257F571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79º 02´01´´ W</w:t>
            </w:r>
          </w:p>
        </w:tc>
        <w:tc>
          <w:tcPr>
            <w:tcW w:w="992" w:type="dxa"/>
            <w:tcBorders>
              <w:top w:val="nil"/>
              <w:left w:val="nil"/>
              <w:bottom w:val="single" w:sz="4" w:space="0" w:color="auto"/>
              <w:right w:val="single" w:sz="4" w:space="0" w:color="auto"/>
            </w:tcBorders>
            <w:shd w:val="clear" w:color="auto" w:fill="FFFFFF"/>
            <w:noWrap/>
            <w:vAlign w:val="center"/>
            <w:hideMark/>
          </w:tcPr>
          <w:p w14:paraId="213CDA9C"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2507</w:t>
            </w:r>
          </w:p>
        </w:tc>
      </w:tr>
      <w:tr w:rsidR="0077235D" w:rsidRPr="00652401" w14:paraId="18102B51"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center"/>
            <w:hideMark/>
          </w:tcPr>
          <w:p w14:paraId="7F6E7F7F"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2009</w:t>
            </w:r>
          </w:p>
        </w:tc>
        <w:tc>
          <w:tcPr>
            <w:tcW w:w="1276" w:type="dxa"/>
            <w:tcBorders>
              <w:top w:val="nil"/>
              <w:left w:val="nil"/>
              <w:bottom w:val="single" w:sz="4" w:space="0" w:color="auto"/>
              <w:right w:val="single" w:sz="4" w:space="0" w:color="auto"/>
            </w:tcBorders>
            <w:shd w:val="clear" w:color="auto" w:fill="FFFFFF"/>
            <w:noWrap/>
            <w:vAlign w:val="center"/>
            <w:hideMark/>
          </w:tcPr>
          <w:p w14:paraId="4D1E2D8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Chimbo</w:t>
            </w:r>
          </w:p>
        </w:tc>
        <w:tc>
          <w:tcPr>
            <w:tcW w:w="1497" w:type="dxa"/>
            <w:tcBorders>
              <w:top w:val="nil"/>
              <w:left w:val="nil"/>
              <w:bottom w:val="single" w:sz="4" w:space="0" w:color="auto"/>
              <w:right w:val="single" w:sz="4" w:space="0" w:color="auto"/>
            </w:tcBorders>
            <w:shd w:val="clear" w:color="auto" w:fill="FFFFFF"/>
            <w:noWrap/>
            <w:vAlign w:val="center"/>
            <w:hideMark/>
          </w:tcPr>
          <w:p w14:paraId="19C4D68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La Magdalena</w:t>
            </w:r>
          </w:p>
        </w:tc>
        <w:tc>
          <w:tcPr>
            <w:tcW w:w="1480" w:type="dxa"/>
            <w:tcBorders>
              <w:top w:val="nil"/>
              <w:left w:val="nil"/>
              <w:bottom w:val="single" w:sz="4" w:space="0" w:color="auto"/>
              <w:right w:val="single" w:sz="4" w:space="0" w:color="auto"/>
            </w:tcBorders>
            <w:shd w:val="clear" w:color="auto" w:fill="FFFFFF"/>
            <w:noWrap/>
            <w:vAlign w:val="center"/>
            <w:hideMark/>
          </w:tcPr>
          <w:p w14:paraId="2F66CE0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La Merced</w:t>
            </w:r>
          </w:p>
        </w:tc>
        <w:tc>
          <w:tcPr>
            <w:tcW w:w="2126" w:type="dxa"/>
            <w:tcBorders>
              <w:top w:val="nil"/>
              <w:left w:val="nil"/>
              <w:bottom w:val="single" w:sz="4" w:space="0" w:color="auto"/>
              <w:right w:val="single" w:sz="4" w:space="0" w:color="auto"/>
            </w:tcBorders>
            <w:shd w:val="clear" w:color="auto" w:fill="FFFFFF"/>
            <w:noWrap/>
            <w:vAlign w:val="center"/>
            <w:hideMark/>
          </w:tcPr>
          <w:p w14:paraId="15FA222F"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1º 39´54´´ S</w:t>
            </w:r>
          </w:p>
          <w:p w14:paraId="37FE176D"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79º 4´30´´ W</w:t>
            </w:r>
          </w:p>
        </w:tc>
        <w:tc>
          <w:tcPr>
            <w:tcW w:w="992" w:type="dxa"/>
            <w:tcBorders>
              <w:top w:val="nil"/>
              <w:left w:val="nil"/>
              <w:bottom w:val="single" w:sz="4" w:space="0" w:color="auto"/>
              <w:right w:val="single" w:sz="4" w:space="0" w:color="auto"/>
            </w:tcBorders>
            <w:shd w:val="clear" w:color="auto" w:fill="FFFFFF"/>
            <w:noWrap/>
            <w:vAlign w:val="center"/>
            <w:hideMark/>
          </w:tcPr>
          <w:p w14:paraId="29D58CD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2804</w:t>
            </w:r>
          </w:p>
          <w:p w14:paraId="0088B83A" w14:textId="77777777" w:rsidR="0077235D" w:rsidRPr="00652401" w:rsidRDefault="0077235D" w:rsidP="009F4ACC">
            <w:pPr>
              <w:spacing w:after="0" w:line="240" w:lineRule="auto"/>
              <w:rPr>
                <w:rFonts w:eastAsia="Times New Roman" w:cs="Times New Roman"/>
                <w:sz w:val="22"/>
                <w:lang w:eastAsia="es-EC"/>
              </w:rPr>
            </w:pPr>
          </w:p>
        </w:tc>
      </w:tr>
      <w:tr w:rsidR="0077235D" w:rsidRPr="00652401" w14:paraId="06804725"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bottom"/>
            <w:hideMark/>
          </w:tcPr>
          <w:p w14:paraId="3F5A764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2009</w:t>
            </w:r>
          </w:p>
        </w:tc>
        <w:tc>
          <w:tcPr>
            <w:tcW w:w="1276" w:type="dxa"/>
            <w:tcBorders>
              <w:top w:val="nil"/>
              <w:left w:val="nil"/>
              <w:bottom w:val="single" w:sz="4" w:space="0" w:color="auto"/>
              <w:right w:val="single" w:sz="4" w:space="0" w:color="auto"/>
            </w:tcBorders>
            <w:shd w:val="clear" w:color="auto" w:fill="FFFFFF"/>
            <w:noWrap/>
            <w:vAlign w:val="bottom"/>
            <w:hideMark/>
          </w:tcPr>
          <w:p w14:paraId="0C785B7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97" w:type="dxa"/>
            <w:tcBorders>
              <w:top w:val="nil"/>
              <w:left w:val="nil"/>
              <w:bottom w:val="single" w:sz="4" w:space="0" w:color="auto"/>
              <w:right w:val="single" w:sz="4" w:space="0" w:color="auto"/>
            </w:tcBorders>
            <w:shd w:val="clear" w:color="auto" w:fill="FFFFFF"/>
            <w:noWrap/>
            <w:vAlign w:val="bottom"/>
            <w:hideMark/>
          </w:tcPr>
          <w:p w14:paraId="0058F7E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Chillanes</w:t>
            </w:r>
          </w:p>
        </w:tc>
        <w:tc>
          <w:tcPr>
            <w:tcW w:w="1480" w:type="dxa"/>
            <w:tcBorders>
              <w:top w:val="nil"/>
              <w:left w:val="nil"/>
              <w:bottom w:val="single" w:sz="4" w:space="0" w:color="auto"/>
              <w:right w:val="single" w:sz="4" w:space="0" w:color="auto"/>
            </w:tcBorders>
            <w:shd w:val="clear" w:color="auto" w:fill="FFFFFF"/>
            <w:noWrap/>
            <w:vAlign w:val="bottom"/>
            <w:hideMark/>
          </w:tcPr>
          <w:p w14:paraId="702A804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Pacay</w:t>
            </w:r>
          </w:p>
        </w:tc>
        <w:tc>
          <w:tcPr>
            <w:tcW w:w="2126" w:type="dxa"/>
            <w:tcBorders>
              <w:top w:val="nil"/>
              <w:left w:val="nil"/>
              <w:bottom w:val="single" w:sz="4" w:space="0" w:color="auto"/>
              <w:right w:val="single" w:sz="4" w:space="0" w:color="auto"/>
            </w:tcBorders>
            <w:shd w:val="clear" w:color="auto" w:fill="FFFFFF"/>
            <w:noWrap/>
            <w:vAlign w:val="bottom"/>
            <w:hideMark/>
          </w:tcPr>
          <w:p w14:paraId="29880235"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1º 58´ 53´´ S</w:t>
            </w:r>
          </w:p>
          <w:p w14:paraId="61C96805" w14:textId="77777777" w:rsidR="0077235D" w:rsidRPr="00652401" w:rsidRDefault="00C07CEF" w:rsidP="009F4ACC">
            <w:pPr>
              <w:spacing w:after="0" w:line="240" w:lineRule="auto"/>
              <w:rPr>
                <w:rFonts w:eastAsia="Times New Roman" w:cs="Times New Roman"/>
                <w:sz w:val="22"/>
                <w:lang w:eastAsia="es-EC"/>
              </w:rPr>
            </w:pPr>
            <w:r w:rsidRPr="00652401">
              <w:rPr>
                <w:rFonts w:eastAsia="Times New Roman" w:cs="Times New Roman"/>
                <w:sz w:val="22"/>
                <w:lang w:eastAsia="es-EC"/>
              </w:rPr>
              <w:t>79º 3´ 59´´ W</w:t>
            </w:r>
          </w:p>
        </w:tc>
        <w:tc>
          <w:tcPr>
            <w:tcW w:w="992" w:type="dxa"/>
            <w:tcBorders>
              <w:top w:val="nil"/>
              <w:left w:val="nil"/>
              <w:bottom w:val="single" w:sz="4" w:space="0" w:color="auto"/>
              <w:right w:val="single" w:sz="4" w:space="0" w:color="auto"/>
            </w:tcBorders>
            <w:shd w:val="clear" w:color="auto" w:fill="FFFFFF"/>
            <w:noWrap/>
            <w:vAlign w:val="bottom"/>
            <w:hideMark/>
          </w:tcPr>
          <w:p w14:paraId="06A86D93"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2320</w:t>
            </w:r>
          </w:p>
        </w:tc>
      </w:tr>
      <w:tr w:rsidR="0077235D" w:rsidRPr="00652401" w14:paraId="7F90E0F2" w14:textId="77777777" w:rsidTr="00E70495">
        <w:trPr>
          <w:trHeight w:val="300"/>
        </w:trPr>
        <w:tc>
          <w:tcPr>
            <w:tcW w:w="699" w:type="dxa"/>
            <w:tcBorders>
              <w:top w:val="nil"/>
              <w:left w:val="single" w:sz="4" w:space="0" w:color="auto"/>
              <w:bottom w:val="single" w:sz="4" w:space="0" w:color="auto"/>
              <w:right w:val="single" w:sz="4" w:space="0" w:color="auto"/>
            </w:tcBorders>
            <w:shd w:val="clear" w:color="auto" w:fill="FFFFFF"/>
            <w:noWrap/>
            <w:vAlign w:val="bottom"/>
            <w:hideMark/>
          </w:tcPr>
          <w:p w14:paraId="02360666"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2011</w:t>
            </w:r>
          </w:p>
        </w:tc>
        <w:tc>
          <w:tcPr>
            <w:tcW w:w="1276" w:type="dxa"/>
            <w:tcBorders>
              <w:top w:val="nil"/>
              <w:left w:val="nil"/>
              <w:bottom w:val="single" w:sz="4" w:space="0" w:color="auto"/>
              <w:right w:val="single" w:sz="4" w:space="0" w:color="auto"/>
            </w:tcBorders>
            <w:shd w:val="clear" w:color="auto" w:fill="FFFFFF"/>
            <w:noWrap/>
            <w:vAlign w:val="bottom"/>
            <w:hideMark/>
          </w:tcPr>
          <w:p w14:paraId="6DA0341E"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Chimbo</w:t>
            </w:r>
          </w:p>
        </w:tc>
        <w:tc>
          <w:tcPr>
            <w:tcW w:w="1497" w:type="dxa"/>
            <w:tcBorders>
              <w:top w:val="nil"/>
              <w:left w:val="nil"/>
              <w:bottom w:val="single" w:sz="4" w:space="0" w:color="auto"/>
              <w:right w:val="single" w:sz="4" w:space="0" w:color="auto"/>
            </w:tcBorders>
            <w:shd w:val="clear" w:color="auto" w:fill="FFFFFF"/>
            <w:noWrap/>
            <w:vAlign w:val="bottom"/>
            <w:hideMark/>
          </w:tcPr>
          <w:p w14:paraId="35FC6487"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Central</w:t>
            </w:r>
          </w:p>
        </w:tc>
        <w:tc>
          <w:tcPr>
            <w:tcW w:w="1480" w:type="dxa"/>
            <w:tcBorders>
              <w:top w:val="nil"/>
              <w:left w:val="nil"/>
              <w:bottom w:val="single" w:sz="4" w:space="0" w:color="auto"/>
              <w:right w:val="single" w:sz="4" w:space="0" w:color="auto"/>
            </w:tcBorders>
            <w:shd w:val="clear" w:color="auto" w:fill="FFFFFF"/>
            <w:noWrap/>
            <w:vAlign w:val="bottom"/>
            <w:hideMark/>
          </w:tcPr>
          <w:p w14:paraId="2EA962BD"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Tamban</w:t>
            </w:r>
          </w:p>
        </w:tc>
        <w:tc>
          <w:tcPr>
            <w:tcW w:w="2126" w:type="dxa"/>
            <w:tcBorders>
              <w:top w:val="nil"/>
              <w:left w:val="nil"/>
              <w:bottom w:val="single" w:sz="4" w:space="0" w:color="auto"/>
              <w:right w:val="single" w:sz="4" w:space="0" w:color="auto"/>
            </w:tcBorders>
            <w:shd w:val="clear" w:color="auto" w:fill="FFFFFF"/>
            <w:noWrap/>
            <w:vAlign w:val="bottom"/>
            <w:hideMark/>
          </w:tcPr>
          <w:p w14:paraId="333DC261"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1º 40´ 49´´ S</w:t>
            </w:r>
          </w:p>
          <w:p w14:paraId="6356D548"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79º 02´01´´ W</w:t>
            </w:r>
          </w:p>
        </w:tc>
        <w:tc>
          <w:tcPr>
            <w:tcW w:w="992" w:type="dxa"/>
            <w:tcBorders>
              <w:top w:val="nil"/>
              <w:left w:val="nil"/>
              <w:bottom w:val="single" w:sz="4" w:space="0" w:color="auto"/>
              <w:right w:val="single" w:sz="4" w:space="0" w:color="auto"/>
            </w:tcBorders>
            <w:shd w:val="clear" w:color="auto" w:fill="FFFFFF"/>
            <w:noWrap/>
            <w:vAlign w:val="bottom"/>
            <w:hideMark/>
          </w:tcPr>
          <w:p w14:paraId="15412764" w14:textId="77777777" w:rsidR="0077235D" w:rsidRPr="00652401" w:rsidRDefault="0077235D" w:rsidP="009F4ACC">
            <w:pPr>
              <w:spacing w:after="0" w:line="240" w:lineRule="auto"/>
              <w:rPr>
                <w:rFonts w:eastAsia="Times New Roman" w:cs="Times New Roman"/>
                <w:sz w:val="22"/>
                <w:lang w:eastAsia="es-EC"/>
              </w:rPr>
            </w:pPr>
            <w:r w:rsidRPr="00652401">
              <w:rPr>
                <w:rFonts w:eastAsia="Times New Roman" w:cs="Times New Roman"/>
                <w:sz w:val="22"/>
                <w:lang w:eastAsia="es-EC"/>
              </w:rPr>
              <w:t>2507</w:t>
            </w:r>
          </w:p>
        </w:tc>
      </w:tr>
    </w:tbl>
    <w:p w14:paraId="6B093436" w14:textId="7026076B" w:rsidR="00C26AF2" w:rsidRDefault="0030048E" w:rsidP="009F4ACC">
      <w:pPr>
        <w:spacing w:line="360" w:lineRule="auto"/>
        <w:rPr>
          <w:rFonts w:cs="Times New Roman"/>
          <w:sz w:val="20"/>
          <w:szCs w:val="20"/>
        </w:rPr>
      </w:pPr>
      <w:r w:rsidRPr="009F4ACC">
        <w:rPr>
          <w:rFonts w:cs="Times New Roman"/>
          <w:b/>
          <w:sz w:val="20"/>
          <w:szCs w:val="20"/>
        </w:rPr>
        <w:t>Fuente:</w:t>
      </w:r>
      <w:r w:rsidRPr="009F4ACC">
        <w:rPr>
          <w:rFonts w:cs="Times New Roman"/>
          <w:sz w:val="20"/>
          <w:szCs w:val="20"/>
        </w:rPr>
        <w:t xml:space="preserve"> MNSE</w:t>
      </w:r>
    </w:p>
    <w:p w14:paraId="0C99F2F1" w14:textId="3D975532" w:rsidR="00C26AF2" w:rsidRPr="00C26AF2" w:rsidRDefault="00C26AF2" w:rsidP="009F4ACC">
      <w:pPr>
        <w:pStyle w:val="Descripcin"/>
        <w:keepNext/>
        <w:spacing w:before="360"/>
        <w:rPr>
          <w:rFonts w:cs="Times New Roman"/>
          <w:i w:val="0"/>
          <w:iCs w:val="0"/>
          <w:color w:val="auto"/>
          <w:sz w:val="24"/>
          <w:szCs w:val="24"/>
          <w:lang w:val="es-ES" w:eastAsia="en-US"/>
        </w:rPr>
      </w:pPr>
      <w:bookmarkStart w:id="1051" w:name="_Toc79314001"/>
      <w:r w:rsidRPr="00C26AF2">
        <w:rPr>
          <w:rFonts w:cs="Times New Roman"/>
          <w:b/>
          <w:i w:val="0"/>
          <w:iCs w:val="0"/>
          <w:color w:val="auto"/>
          <w:sz w:val="24"/>
          <w:szCs w:val="24"/>
          <w:lang w:val="es-ES" w:eastAsia="en-US"/>
        </w:rPr>
        <w:lastRenderedPageBreak/>
        <w:t xml:space="preserve">Cuadro </w:t>
      </w:r>
      <w:r w:rsidRPr="00C26AF2">
        <w:rPr>
          <w:rFonts w:cs="Times New Roman"/>
          <w:b/>
          <w:i w:val="0"/>
          <w:iCs w:val="0"/>
          <w:color w:val="auto"/>
          <w:sz w:val="24"/>
          <w:szCs w:val="24"/>
          <w:lang w:val="es-ES" w:eastAsia="en-US"/>
        </w:rPr>
        <w:fldChar w:fldCharType="begin"/>
      </w:r>
      <w:r w:rsidRPr="00C26AF2">
        <w:rPr>
          <w:rFonts w:cs="Times New Roman"/>
          <w:b/>
          <w:i w:val="0"/>
          <w:iCs w:val="0"/>
          <w:color w:val="auto"/>
          <w:sz w:val="24"/>
          <w:szCs w:val="24"/>
          <w:lang w:val="es-ES" w:eastAsia="en-US"/>
        </w:rPr>
        <w:instrText xml:space="preserve"> SEQ Cuadro \* ARABIC </w:instrText>
      </w:r>
      <w:r w:rsidRPr="00C26AF2">
        <w:rPr>
          <w:rFonts w:cs="Times New Roman"/>
          <w:b/>
          <w:i w:val="0"/>
          <w:iCs w:val="0"/>
          <w:color w:val="auto"/>
          <w:sz w:val="24"/>
          <w:szCs w:val="24"/>
          <w:lang w:val="es-ES" w:eastAsia="en-US"/>
        </w:rPr>
        <w:fldChar w:fldCharType="separate"/>
      </w:r>
      <w:r w:rsidR="000D1F55">
        <w:rPr>
          <w:rFonts w:cs="Times New Roman"/>
          <w:b/>
          <w:i w:val="0"/>
          <w:iCs w:val="0"/>
          <w:noProof/>
          <w:color w:val="auto"/>
          <w:sz w:val="24"/>
          <w:szCs w:val="24"/>
          <w:lang w:val="es-ES" w:eastAsia="en-US"/>
        </w:rPr>
        <w:t>9</w:t>
      </w:r>
      <w:r w:rsidRPr="00C26AF2">
        <w:rPr>
          <w:rFonts w:cs="Times New Roman"/>
          <w:b/>
          <w:i w:val="0"/>
          <w:iCs w:val="0"/>
          <w:color w:val="auto"/>
          <w:sz w:val="24"/>
          <w:szCs w:val="24"/>
          <w:lang w:val="es-ES" w:eastAsia="en-US"/>
        </w:rPr>
        <w:fldChar w:fldCharType="end"/>
      </w:r>
      <w:r w:rsidRPr="00C26AF2">
        <w:rPr>
          <w:rFonts w:cs="Times New Roman"/>
          <w:b/>
          <w:i w:val="0"/>
          <w:iCs w:val="0"/>
          <w:color w:val="auto"/>
          <w:sz w:val="24"/>
          <w:szCs w:val="24"/>
          <w:lang w:val="es-ES" w:eastAsia="en-US"/>
        </w:rPr>
        <w:t>.</w:t>
      </w:r>
      <w:r w:rsidRPr="00C26AF2">
        <w:rPr>
          <w:rFonts w:cs="Times New Roman"/>
          <w:i w:val="0"/>
          <w:iCs w:val="0"/>
          <w:color w:val="auto"/>
          <w:sz w:val="24"/>
          <w:szCs w:val="24"/>
          <w:lang w:val="es-ES" w:eastAsia="en-US"/>
        </w:rPr>
        <w:t xml:space="preserve"> Ubicación del experimento en las localidades de la provincia de Chimborazo</w:t>
      </w:r>
      <w:bookmarkEnd w:id="1051"/>
    </w:p>
    <w:tbl>
      <w:tblPr>
        <w:tblW w:w="8080" w:type="dxa"/>
        <w:jc w:val="center"/>
        <w:tblLayout w:type="fixed"/>
        <w:tblCellMar>
          <w:left w:w="70" w:type="dxa"/>
          <w:right w:w="70" w:type="dxa"/>
        </w:tblCellMar>
        <w:tblLook w:val="04A0" w:firstRow="1" w:lastRow="0" w:firstColumn="1" w:lastColumn="0" w:noHBand="0" w:noVBand="1"/>
      </w:tblPr>
      <w:tblGrid>
        <w:gridCol w:w="841"/>
        <w:gridCol w:w="1276"/>
        <w:gridCol w:w="1417"/>
        <w:gridCol w:w="1701"/>
        <w:gridCol w:w="1701"/>
        <w:gridCol w:w="1144"/>
      </w:tblGrid>
      <w:tr w:rsidR="00C07CEF" w:rsidRPr="007E253F" w14:paraId="3DE7AF02" w14:textId="77777777" w:rsidTr="00E70495">
        <w:trPr>
          <w:trHeight w:val="366"/>
          <w:jc w:val="center"/>
        </w:trPr>
        <w:tc>
          <w:tcPr>
            <w:tcW w:w="8080" w:type="dxa"/>
            <w:gridSpan w:val="6"/>
            <w:tcBorders>
              <w:top w:val="single" w:sz="8" w:space="0" w:color="auto"/>
              <w:left w:val="single" w:sz="8" w:space="0" w:color="auto"/>
              <w:bottom w:val="nil"/>
              <w:right w:val="single" w:sz="8" w:space="0" w:color="auto"/>
            </w:tcBorders>
            <w:shd w:val="clear" w:color="auto" w:fill="auto"/>
            <w:vAlign w:val="center"/>
          </w:tcPr>
          <w:p w14:paraId="0D2E2254" w14:textId="77777777" w:rsidR="00C07CEF" w:rsidRPr="007E253F" w:rsidRDefault="00C07CEF" w:rsidP="009F4ACC">
            <w:pPr>
              <w:spacing w:after="0" w:line="240" w:lineRule="auto"/>
              <w:jc w:val="center"/>
              <w:rPr>
                <w:rFonts w:eastAsia="Calibri" w:cs="Times New Roman"/>
                <w:b/>
                <w:bCs/>
                <w:szCs w:val="24"/>
                <w:lang w:eastAsia="es-EC"/>
              </w:rPr>
            </w:pPr>
            <w:r w:rsidRPr="007E253F">
              <w:rPr>
                <w:rFonts w:eastAsia="Calibri" w:cs="Times New Roman"/>
                <w:b/>
                <w:bCs/>
                <w:szCs w:val="24"/>
                <w:lang w:eastAsia="es-EC"/>
              </w:rPr>
              <w:t>Provincia de Chimborazo</w:t>
            </w:r>
          </w:p>
        </w:tc>
      </w:tr>
      <w:tr w:rsidR="00C07CEF" w:rsidRPr="007E253F" w14:paraId="31C6A087" w14:textId="77777777" w:rsidTr="00E70495">
        <w:trPr>
          <w:trHeight w:val="880"/>
          <w:jc w:val="center"/>
        </w:trPr>
        <w:tc>
          <w:tcPr>
            <w:tcW w:w="841" w:type="dxa"/>
            <w:tcBorders>
              <w:top w:val="single" w:sz="8" w:space="0" w:color="auto"/>
              <w:left w:val="single" w:sz="8" w:space="0" w:color="auto"/>
              <w:bottom w:val="nil"/>
              <w:right w:val="single" w:sz="8" w:space="0" w:color="auto"/>
            </w:tcBorders>
            <w:shd w:val="clear" w:color="auto" w:fill="auto"/>
            <w:vAlign w:val="center"/>
            <w:hideMark/>
          </w:tcPr>
          <w:p w14:paraId="7C31A5EE" w14:textId="77777777" w:rsidR="00C07CEF" w:rsidRPr="007E253F" w:rsidRDefault="00C07CEF" w:rsidP="009F4ACC">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Año</w:t>
            </w:r>
          </w:p>
        </w:tc>
        <w:tc>
          <w:tcPr>
            <w:tcW w:w="1276" w:type="dxa"/>
            <w:tcBorders>
              <w:top w:val="single" w:sz="8" w:space="0" w:color="auto"/>
              <w:left w:val="nil"/>
              <w:bottom w:val="nil"/>
              <w:right w:val="single" w:sz="8" w:space="0" w:color="auto"/>
            </w:tcBorders>
            <w:shd w:val="clear" w:color="auto" w:fill="auto"/>
            <w:vAlign w:val="center"/>
            <w:hideMark/>
          </w:tcPr>
          <w:p w14:paraId="17B7A33C" w14:textId="77777777" w:rsidR="00C07CEF" w:rsidRPr="007E253F" w:rsidRDefault="00C07CEF" w:rsidP="009F4ACC">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Cantón</w:t>
            </w:r>
          </w:p>
        </w:tc>
        <w:tc>
          <w:tcPr>
            <w:tcW w:w="1417" w:type="dxa"/>
            <w:tcBorders>
              <w:top w:val="single" w:sz="8" w:space="0" w:color="auto"/>
              <w:left w:val="nil"/>
              <w:bottom w:val="nil"/>
              <w:right w:val="single" w:sz="8" w:space="0" w:color="auto"/>
            </w:tcBorders>
            <w:shd w:val="clear" w:color="auto" w:fill="auto"/>
            <w:vAlign w:val="center"/>
            <w:hideMark/>
          </w:tcPr>
          <w:p w14:paraId="7AFDED5D" w14:textId="77777777" w:rsidR="00C07CEF" w:rsidRPr="007E253F" w:rsidRDefault="00C07CEF" w:rsidP="009F4ACC">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Parroquia</w:t>
            </w:r>
          </w:p>
        </w:tc>
        <w:tc>
          <w:tcPr>
            <w:tcW w:w="1701" w:type="dxa"/>
            <w:tcBorders>
              <w:top w:val="single" w:sz="8" w:space="0" w:color="auto"/>
              <w:left w:val="nil"/>
              <w:bottom w:val="nil"/>
              <w:right w:val="single" w:sz="8" w:space="0" w:color="auto"/>
            </w:tcBorders>
            <w:shd w:val="clear" w:color="auto" w:fill="auto"/>
            <w:vAlign w:val="center"/>
            <w:hideMark/>
          </w:tcPr>
          <w:p w14:paraId="7A880E4E" w14:textId="77777777" w:rsidR="00C07CEF" w:rsidRPr="007E253F" w:rsidRDefault="00C07CEF" w:rsidP="009F4ACC">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Sitios</w:t>
            </w:r>
          </w:p>
        </w:tc>
        <w:tc>
          <w:tcPr>
            <w:tcW w:w="1701" w:type="dxa"/>
            <w:tcBorders>
              <w:top w:val="single" w:sz="8" w:space="0" w:color="auto"/>
              <w:left w:val="nil"/>
              <w:bottom w:val="nil"/>
              <w:right w:val="single" w:sz="8" w:space="0" w:color="auto"/>
            </w:tcBorders>
            <w:shd w:val="clear" w:color="auto" w:fill="auto"/>
            <w:vAlign w:val="center"/>
            <w:hideMark/>
          </w:tcPr>
          <w:p w14:paraId="5099BA8D" w14:textId="77777777" w:rsidR="00C07CEF" w:rsidRPr="007E253F" w:rsidRDefault="00C07CEF" w:rsidP="009F4ACC">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Coordenadas</w:t>
            </w:r>
          </w:p>
          <w:p w14:paraId="34968293" w14:textId="77777777" w:rsidR="00C07CEF" w:rsidRPr="007E253F" w:rsidRDefault="00C07CEF" w:rsidP="009F4ACC">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Lat, Lon, Al</w:t>
            </w:r>
          </w:p>
        </w:tc>
        <w:tc>
          <w:tcPr>
            <w:tcW w:w="1144" w:type="dxa"/>
            <w:tcBorders>
              <w:top w:val="single" w:sz="8" w:space="0" w:color="auto"/>
              <w:left w:val="nil"/>
              <w:bottom w:val="nil"/>
              <w:right w:val="single" w:sz="8" w:space="0" w:color="auto"/>
            </w:tcBorders>
            <w:shd w:val="clear" w:color="auto" w:fill="auto"/>
            <w:vAlign w:val="center"/>
            <w:hideMark/>
          </w:tcPr>
          <w:p w14:paraId="0D1C0298" w14:textId="77777777" w:rsidR="00C07CEF" w:rsidRPr="007E253F" w:rsidRDefault="00C07CEF" w:rsidP="009F4ACC">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Altitud</w:t>
            </w:r>
          </w:p>
          <w:p w14:paraId="069C35BF" w14:textId="77777777" w:rsidR="00C07CEF" w:rsidRPr="007E253F" w:rsidRDefault="00C07CEF" w:rsidP="009F4ACC">
            <w:pPr>
              <w:pStyle w:val="Sinespaciado"/>
              <w:jc w:val="center"/>
              <w:rPr>
                <w:rFonts w:ascii="Times New Roman" w:eastAsia="Times New Roman" w:hAnsi="Times New Roman" w:cs="Times New Roman"/>
                <w:b/>
                <w:bCs/>
                <w:sz w:val="24"/>
                <w:szCs w:val="24"/>
                <w:lang w:eastAsia="es-EC"/>
              </w:rPr>
            </w:pPr>
            <w:r w:rsidRPr="007E253F">
              <w:rPr>
                <w:rFonts w:ascii="Times New Roman" w:hAnsi="Times New Roman" w:cs="Times New Roman"/>
                <w:b/>
                <w:bCs/>
                <w:sz w:val="24"/>
                <w:szCs w:val="24"/>
                <w:lang w:eastAsia="es-EC"/>
              </w:rPr>
              <w:t>(msnm)</w:t>
            </w:r>
          </w:p>
        </w:tc>
      </w:tr>
      <w:tr w:rsidR="00C07CEF" w:rsidRPr="007E253F" w14:paraId="0F79C5C5" w14:textId="77777777" w:rsidTr="00E70495">
        <w:trPr>
          <w:trHeight w:val="315"/>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9211A"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47B5EA"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Riobamba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B1AB92F"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Quimiag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B3F1E8F"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Colegio Puruhá</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F842FAA"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78°34’20.2” O</w:t>
            </w:r>
          </w:p>
          <w:p w14:paraId="7D254CD1"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1°39’21” S</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1B00F9BF"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2730</w:t>
            </w:r>
          </w:p>
        </w:tc>
      </w:tr>
      <w:tr w:rsidR="00C07CEF" w:rsidRPr="007E253F" w14:paraId="3D60C882" w14:textId="77777777" w:rsidTr="00E70495">
        <w:trPr>
          <w:trHeight w:val="315"/>
          <w:jc w:val="center"/>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DA4BE94"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2012</w:t>
            </w:r>
          </w:p>
        </w:tc>
        <w:tc>
          <w:tcPr>
            <w:tcW w:w="1276" w:type="dxa"/>
            <w:tcBorders>
              <w:top w:val="nil"/>
              <w:left w:val="nil"/>
              <w:bottom w:val="single" w:sz="4" w:space="0" w:color="auto"/>
              <w:right w:val="single" w:sz="4" w:space="0" w:color="auto"/>
            </w:tcBorders>
            <w:shd w:val="clear" w:color="auto" w:fill="auto"/>
            <w:noWrap/>
            <w:vAlign w:val="bottom"/>
            <w:hideMark/>
          </w:tcPr>
          <w:p w14:paraId="44300D74"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Riobamba</w:t>
            </w:r>
          </w:p>
        </w:tc>
        <w:tc>
          <w:tcPr>
            <w:tcW w:w="1417" w:type="dxa"/>
            <w:tcBorders>
              <w:top w:val="nil"/>
              <w:left w:val="nil"/>
              <w:bottom w:val="single" w:sz="4" w:space="0" w:color="auto"/>
              <w:right w:val="single" w:sz="4" w:space="0" w:color="auto"/>
            </w:tcBorders>
            <w:shd w:val="clear" w:color="auto" w:fill="auto"/>
            <w:noWrap/>
            <w:vAlign w:val="bottom"/>
            <w:hideMark/>
          </w:tcPr>
          <w:p w14:paraId="0281053E"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Licto</w:t>
            </w:r>
          </w:p>
        </w:tc>
        <w:tc>
          <w:tcPr>
            <w:tcW w:w="1701" w:type="dxa"/>
            <w:tcBorders>
              <w:top w:val="nil"/>
              <w:left w:val="nil"/>
              <w:bottom w:val="single" w:sz="4" w:space="0" w:color="auto"/>
              <w:right w:val="single" w:sz="4" w:space="0" w:color="auto"/>
            </w:tcBorders>
            <w:shd w:val="clear" w:color="auto" w:fill="auto"/>
            <w:noWrap/>
            <w:vAlign w:val="bottom"/>
          </w:tcPr>
          <w:p w14:paraId="2AB2D6CB"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Ponpeya</w:t>
            </w:r>
          </w:p>
        </w:tc>
        <w:tc>
          <w:tcPr>
            <w:tcW w:w="1701" w:type="dxa"/>
            <w:tcBorders>
              <w:top w:val="nil"/>
              <w:left w:val="nil"/>
              <w:bottom w:val="single" w:sz="4" w:space="0" w:color="auto"/>
              <w:right w:val="single" w:sz="4" w:space="0" w:color="auto"/>
            </w:tcBorders>
            <w:shd w:val="clear" w:color="auto" w:fill="auto"/>
            <w:noWrap/>
            <w:vAlign w:val="bottom"/>
            <w:hideMark/>
          </w:tcPr>
          <w:p w14:paraId="29E6F73A"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78°37’40” O</w:t>
            </w:r>
          </w:p>
          <w:p w14:paraId="1CA72F82"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1°44’50” N</w:t>
            </w:r>
          </w:p>
        </w:tc>
        <w:tc>
          <w:tcPr>
            <w:tcW w:w="1144" w:type="dxa"/>
            <w:tcBorders>
              <w:top w:val="nil"/>
              <w:left w:val="nil"/>
              <w:bottom w:val="single" w:sz="4" w:space="0" w:color="auto"/>
              <w:right w:val="single" w:sz="4" w:space="0" w:color="auto"/>
            </w:tcBorders>
            <w:shd w:val="clear" w:color="auto" w:fill="auto"/>
            <w:noWrap/>
            <w:vAlign w:val="bottom"/>
            <w:hideMark/>
          </w:tcPr>
          <w:p w14:paraId="54D653FC"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2735</w:t>
            </w:r>
          </w:p>
        </w:tc>
      </w:tr>
      <w:tr w:rsidR="00C07CEF" w:rsidRPr="007E253F" w14:paraId="2CFA2D91" w14:textId="77777777" w:rsidTr="00E70495">
        <w:trPr>
          <w:trHeight w:val="315"/>
          <w:jc w:val="center"/>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4F8F486"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1DC99598"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Riobamba</w:t>
            </w:r>
          </w:p>
        </w:tc>
        <w:tc>
          <w:tcPr>
            <w:tcW w:w="1417" w:type="dxa"/>
            <w:tcBorders>
              <w:top w:val="nil"/>
              <w:left w:val="nil"/>
              <w:bottom w:val="single" w:sz="4" w:space="0" w:color="auto"/>
              <w:right w:val="single" w:sz="4" w:space="0" w:color="auto"/>
            </w:tcBorders>
            <w:shd w:val="clear" w:color="auto" w:fill="auto"/>
            <w:noWrap/>
            <w:vAlign w:val="bottom"/>
            <w:hideMark/>
          </w:tcPr>
          <w:p w14:paraId="597CA4AF"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Quimiag</w:t>
            </w:r>
          </w:p>
        </w:tc>
        <w:tc>
          <w:tcPr>
            <w:tcW w:w="1701" w:type="dxa"/>
            <w:tcBorders>
              <w:top w:val="nil"/>
              <w:left w:val="nil"/>
              <w:bottom w:val="single" w:sz="4" w:space="0" w:color="auto"/>
              <w:right w:val="single" w:sz="4" w:space="0" w:color="auto"/>
            </w:tcBorders>
            <w:shd w:val="clear" w:color="auto" w:fill="auto"/>
            <w:noWrap/>
            <w:vAlign w:val="bottom"/>
            <w:hideMark/>
          </w:tcPr>
          <w:p w14:paraId="1DC6BDD2"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ITSA Puruhá</w:t>
            </w:r>
          </w:p>
        </w:tc>
        <w:tc>
          <w:tcPr>
            <w:tcW w:w="1701" w:type="dxa"/>
            <w:tcBorders>
              <w:top w:val="nil"/>
              <w:left w:val="nil"/>
              <w:bottom w:val="single" w:sz="4" w:space="0" w:color="auto"/>
              <w:right w:val="single" w:sz="4" w:space="0" w:color="auto"/>
            </w:tcBorders>
            <w:shd w:val="clear" w:color="auto" w:fill="auto"/>
            <w:noWrap/>
            <w:vAlign w:val="bottom"/>
            <w:hideMark/>
          </w:tcPr>
          <w:p w14:paraId="6C6CD882"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78°34’18” O</w:t>
            </w:r>
          </w:p>
          <w:p w14:paraId="26BAEE69"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1°39’35” N</w:t>
            </w:r>
          </w:p>
        </w:tc>
        <w:tc>
          <w:tcPr>
            <w:tcW w:w="1144" w:type="dxa"/>
            <w:tcBorders>
              <w:top w:val="nil"/>
              <w:left w:val="nil"/>
              <w:bottom w:val="single" w:sz="4" w:space="0" w:color="auto"/>
              <w:right w:val="single" w:sz="4" w:space="0" w:color="auto"/>
            </w:tcBorders>
            <w:shd w:val="clear" w:color="auto" w:fill="auto"/>
            <w:noWrap/>
            <w:vAlign w:val="bottom"/>
            <w:hideMark/>
          </w:tcPr>
          <w:p w14:paraId="6C58FD4C"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2726</w:t>
            </w:r>
          </w:p>
        </w:tc>
      </w:tr>
      <w:tr w:rsidR="00C07CEF" w:rsidRPr="007E253F" w14:paraId="31CD7DFF" w14:textId="77777777" w:rsidTr="00E70495">
        <w:trPr>
          <w:trHeight w:val="315"/>
          <w:jc w:val="center"/>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4B2EF51"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2F93AF86"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Riobamba</w:t>
            </w:r>
          </w:p>
        </w:tc>
        <w:tc>
          <w:tcPr>
            <w:tcW w:w="1417" w:type="dxa"/>
            <w:tcBorders>
              <w:top w:val="nil"/>
              <w:left w:val="nil"/>
              <w:bottom w:val="single" w:sz="4" w:space="0" w:color="auto"/>
              <w:right w:val="single" w:sz="4" w:space="0" w:color="auto"/>
            </w:tcBorders>
            <w:shd w:val="clear" w:color="auto" w:fill="auto"/>
            <w:noWrap/>
            <w:vAlign w:val="bottom"/>
            <w:hideMark/>
          </w:tcPr>
          <w:p w14:paraId="4FC16AE4"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Licto</w:t>
            </w:r>
          </w:p>
        </w:tc>
        <w:tc>
          <w:tcPr>
            <w:tcW w:w="1701" w:type="dxa"/>
            <w:tcBorders>
              <w:top w:val="nil"/>
              <w:left w:val="nil"/>
              <w:bottom w:val="single" w:sz="4" w:space="0" w:color="auto"/>
              <w:right w:val="single" w:sz="4" w:space="0" w:color="auto"/>
            </w:tcBorders>
            <w:shd w:val="clear" w:color="auto" w:fill="auto"/>
            <w:noWrap/>
            <w:vAlign w:val="bottom"/>
            <w:hideMark/>
          </w:tcPr>
          <w:p w14:paraId="4A2E840B"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 Tunshi</w:t>
            </w:r>
          </w:p>
        </w:tc>
        <w:tc>
          <w:tcPr>
            <w:tcW w:w="1701" w:type="dxa"/>
            <w:tcBorders>
              <w:top w:val="nil"/>
              <w:left w:val="nil"/>
              <w:bottom w:val="single" w:sz="4" w:space="0" w:color="auto"/>
              <w:right w:val="single" w:sz="4" w:space="0" w:color="auto"/>
            </w:tcBorders>
            <w:shd w:val="clear" w:color="auto" w:fill="auto"/>
            <w:noWrap/>
            <w:vAlign w:val="bottom"/>
            <w:hideMark/>
          </w:tcPr>
          <w:p w14:paraId="758C8451"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w:t>
            </w:r>
          </w:p>
        </w:tc>
        <w:tc>
          <w:tcPr>
            <w:tcW w:w="1144" w:type="dxa"/>
            <w:tcBorders>
              <w:top w:val="nil"/>
              <w:left w:val="nil"/>
              <w:bottom w:val="single" w:sz="4" w:space="0" w:color="auto"/>
              <w:right w:val="single" w:sz="4" w:space="0" w:color="auto"/>
            </w:tcBorders>
            <w:shd w:val="clear" w:color="auto" w:fill="auto"/>
            <w:noWrap/>
            <w:vAlign w:val="bottom"/>
            <w:hideMark/>
          </w:tcPr>
          <w:p w14:paraId="2ABD0DF7"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2735</w:t>
            </w:r>
          </w:p>
        </w:tc>
      </w:tr>
      <w:tr w:rsidR="00C07CEF" w:rsidRPr="007E253F" w14:paraId="071D3890" w14:textId="77777777" w:rsidTr="00E70495">
        <w:trPr>
          <w:trHeight w:val="315"/>
          <w:jc w:val="center"/>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3675B22"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2014</w:t>
            </w:r>
          </w:p>
        </w:tc>
        <w:tc>
          <w:tcPr>
            <w:tcW w:w="1276" w:type="dxa"/>
            <w:tcBorders>
              <w:top w:val="nil"/>
              <w:left w:val="nil"/>
              <w:bottom w:val="single" w:sz="4" w:space="0" w:color="auto"/>
              <w:right w:val="single" w:sz="4" w:space="0" w:color="auto"/>
            </w:tcBorders>
            <w:shd w:val="clear" w:color="auto" w:fill="auto"/>
            <w:noWrap/>
            <w:vAlign w:val="bottom"/>
            <w:hideMark/>
          </w:tcPr>
          <w:p w14:paraId="1F1FE35F"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Guano </w:t>
            </w:r>
          </w:p>
        </w:tc>
        <w:tc>
          <w:tcPr>
            <w:tcW w:w="1417" w:type="dxa"/>
            <w:tcBorders>
              <w:top w:val="nil"/>
              <w:left w:val="nil"/>
              <w:bottom w:val="single" w:sz="4" w:space="0" w:color="auto"/>
              <w:right w:val="single" w:sz="4" w:space="0" w:color="auto"/>
            </w:tcBorders>
            <w:shd w:val="clear" w:color="auto" w:fill="auto"/>
            <w:noWrap/>
            <w:vAlign w:val="bottom"/>
            <w:hideMark/>
          </w:tcPr>
          <w:p w14:paraId="256279F2"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Chazo</w:t>
            </w:r>
          </w:p>
        </w:tc>
        <w:tc>
          <w:tcPr>
            <w:tcW w:w="1701" w:type="dxa"/>
            <w:tcBorders>
              <w:top w:val="nil"/>
              <w:left w:val="nil"/>
              <w:bottom w:val="single" w:sz="4" w:space="0" w:color="auto"/>
              <w:right w:val="single" w:sz="4" w:space="0" w:color="auto"/>
            </w:tcBorders>
            <w:shd w:val="clear" w:color="auto" w:fill="auto"/>
            <w:noWrap/>
            <w:vAlign w:val="bottom"/>
            <w:hideMark/>
          </w:tcPr>
          <w:p w14:paraId="4DED08DD"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Chazo</w:t>
            </w:r>
          </w:p>
        </w:tc>
        <w:tc>
          <w:tcPr>
            <w:tcW w:w="1701" w:type="dxa"/>
            <w:tcBorders>
              <w:top w:val="nil"/>
              <w:left w:val="nil"/>
              <w:bottom w:val="single" w:sz="4" w:space="0" w:color="auto"/>
              <w:right w:val="single" w:sz="4" w:space="0" w:color="auto"/>
            </w:tcBorders>
            <w:shd w:val="clear" w:color="auto" w:fill="auto"/>
            <w:noWrap/>
            <w:vAlign w:val="bottom"/>
            <w:hideMark/>
          </w:tcPr>
          <w:p w14:paraId="1979D8DC"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w:t>
            </w:r>
            <w:r w:rsidRPr="007E253F">
              <w:rPr>
                <w:rFonts w:eastAsia="Calibri" w:cs="Times New Roman"/>
                <w:color w:val="000000"/>
                <w:lang w:val="es-ES"/>
              </w:rPr>
              <w:t>98°14’83,2" O</w:t>
            </w:r>
          </w:p>
          <w:p w14:paraId="728129D7" w14:textId="77777777" w:rsidR="00C07CEF" w:rsidRPr="007E253F" w:rsidRDefault="00C07CEF" w:rsidP="009F4ACC">
            <w:pPr>
              <w:spacing w:after="0" w:line="240" w:lineRule="auto"/>
              <w:rPr>
                <w:rFonts w:eastAsia="Times New Roman" w:cs="Times New Roman"/>
                <w:szCs w:val="24"/>
                <w:lang w:eastAsia="es-EC"/>
              </w:rPr>
            </w:pPr>
            <w:r w:rsidRPr="007E253F">
              <w:rPr>
                <w:rFonts w:eastAsia="Calibri" w:cs="Times New Roman"/>
                <w:color w:val="000000"/>
                <w:lang w:val="es-ES"/>
              </w:rPr>
              <w:t>75°90’42" N</w:t>
            </w:r>
          </w:p>
        </w:tc>
        <w:tc>
          <w:tcPr>
            <w:tcW w:w="1144" w:type="dxa"/>
            <w:tcBorders>
              <w:top w:val="nil"/>
              <w:left w:val="nil"/>
              <w:bottom w:val="single" w:sz="4" w:space="0" w:color="auto"/>
              <w:right w:val="single" w:sz="4" w:space="0" w:color="auto"/>
            </w:tcBorders>
            <w:shd w:val="clear" w:color="auto" w:fill="auto"/>
            <w:noWrap/>
            <w:vAlign w:val="bottom"/>
            <w:hideMark/>
          </w:tcPr>
          <w:p w14:paraId="602F069A"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2868</w:t>
            </w:r>
          </w:p>
        </w:tc>
      </w:tr>
      <w:tr w:rsidR="00C07CEF" w:rsidRPr="007E253F" w14:paraId="0550D868" w14:textId="77777777" w:rsidTr="00E70495">
        <w:trPr>
          <w:trHeight w:val="315"/>
          <w:jc w:val="center"/>
        </w:trPr>
        <w:tc>
          <w:tcPr>
            <w:tcW w:w="841" w:type="dxa"/>
            <w:tcBorders>
              <w:top w:val="nil"/>
              <w:left w:val="single" w:sz="4" w:space="0" w:color="auto"/>
              <w:bottom w:val="single" w:sz="4" w:space="0" w:color="auto"/>
              <w:right w:val="single" w:sz="4" w:space="0" w:color="auto"/>
            </w:tcBorders>
            <w:shd w:val="clear" w:color="auto" w:fill="auto"/>
            <w:noWrap/>
            <w:vAlign w:val="bottom"/>
          </w:tcPr>
          <w:p w14:paraId="070F8E09"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2014</w:t>
            </w:r>
          </w:p>
        </w:tc>
        <w:tc>
          <w:tcPr>
            <w:tcW w:w="1276" w:type="dxa"/>
            <w:tcBorders>
              <w:top w:val="nil"/>
              <w:left w:val="nil"/>
              <w:bottom w:val="single" w:sz="4" w:space="0" w:color="auto"/>
              <w:right w:val="single" w:sz="4" w:space="0" w:color="auto"/>
            </w:tcBorders>
            <w:shd w:val="clear" w:color="auto" w:fill="auto"/>
            <w:noWrap/>
            <w:vAlign w:val="bottom"/>
          </w:tcPr>
          <w:p w14:paraId="7AC898B4"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Riobamba </w:t>
            </w:r>
          </w:p>
        </w:tc>
        <w:tc>
          <w:tcPr>
            <w:tcW w:w="1417" w:type="dxa"/>
            <w:tcBorders>
              <w:top w:val="nil"/>
              <w:left w:val="nil"/>
              <w:bottom w:val="single" w:sz="4" w:space="0" w:color="auto"/>
              <w:right w:val="single" w:sz="4" w:space="0" w:color="auto"/>
            </w:tcBorders>
            <w:shd w:val="clear" w:color="auto" w:fill="auto"/>
            <w:noWrap/>
            <w:vAlign w:val="bottom"/>
          </w:tcPr>
          <w:p w14:paraId="7C971C63"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Quimiag </w:t>
            </w:r>
          </w:p>
        </w:tc>
        <w:tc>
          <w:tcPr>
            <w:tcW w:w="1701" w:type="dxa"/>
            <w:tcBorders>
              <w:top w:val="nil"/>
              <w:left w:val="nil"/>
              <w:bottom w:val="single" w:sz="4" w:space="0" w:color="auto"/>
              <w:right w:val="single" w:sz="4" w:space="0" w:color="auto"/>
            </w:tcBorders>
            <w:shd w:val="clear" w:color="auto" w:fill="auto"/>
            <w:noWrap/>
            <w:vAlign w:val="bottom"/>
          </w:tcPr>
          <w:p w14:paraId="4C28EA7D"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Cortijo bajo</w:t>
            </w:r>
          </w:p>
        </w:tc>
        <w:tc>
          <w:tcPr>
            <w:tcW w:w="1701" w:type="dxa"/>
            <w:tcBorders>
              <w:top w:val="nil"/>
              <w:left w:val="nil"/>
              <w:bottom w:val="single" w:sz="4" w:space="0" w:color="auto"/>
              <w:right w:val="single" w:sz="4" w:space="0" w:color="auto"/>
            </w:tcBorders>
            <w:shd w:val="clear" w:color="auto" w:fill="auto"/>
            <w:noWrap/>
            <w:vAlign w:val="bottom"/>
          </w:tcPr>
          <w:p w14:paraId="58B8A63C"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17M0770393 (x)</w:t>
            </w:r>
          </w:p>
          <w:p w14:paraId="3ECE2A0F" w14:textId="77777777" w:rsidR="00C07CEF" w:rsidRPr="007E253F" w:rsidRDefault="00C07CEF" w:rsidP="009F4ACC">
            <w:pPr>
              <w:spacing w:after="0" w:line="240" w:lineRule="auto"/>
              <w:rPr>
                <w:rFonts w:eastAsia="Calibri" w:cs="Times New Roman"/>
                <w:color w:val="000000"/>
                <w:lang w:val="es-ES"/>
              </w:rPr>
            </w:pPr>
            <w:r w:rsidRPr="007E253F">
              <w:rPr>
                <w:rFonts w:eastAsia="Calibri" w:cs="Times New Roman"/>
                <w:color w:val="000000"/>
                <w:lang w:val="es-ES"/>
              </w:rPr>
              <w:t>9814072(y)</w:t>
            </w:r>
          </w:p>
        </w:tc>
        <w:tc>
          <w:tcPr>
            <w:tcW w:w="1144" w:type="dxa"/>
            <w:tcBorders>
              <w:top w:val="nil"/>
              <w:left w:val="nil"/>
              <w:bottom w:val="single" w:sz="4" w:space="0" w:color="auto"/>
              <w:right w:val="single" w:sz="4" w:space="0" w:color="auto"/>
            </w:tcBorders>
            <w:shd w:val="clear" w:color="auto" w:fill="auto"/>
            <w:noWrap/>
            <w:vAlign w:val="bottom"/>
          </w:tcPr>
          <w:p w14:paraId="06304843"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2290</w:t>
            </w:r>
          </w:p>
        </w:tc>
      </w:tr>
      <w:tr w:rsidR="00C07CEF" w:rsidRPr="007E253F" w14:paraId="3387F70E" w14:textId="77777777" w:rsidTr="00E70495">
        <w:trPr>
          <w:trHeight w:val="315"/>
          <w:jc w:val="center"/>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98ACBC0"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2016</w:t>
            </w:r>
          </w:p>
        </w:tc>
        <w:tc>
          <w:tcPr>
            <w:tcW w:w="1276" w:type="dxa"/>
            <w:tcBorders>
              <w:top w:val="nil"/>
              <w:left w:val="nil"/>
              <w:bottom w:val="single" w:sz="4" w:space="0" w:color="auto"/>
              <w:right w:val="single" w:sz="4" w:space="0" w:color="auto"/>
            </w:tcBorders>
            <w:shd w:val="clear" w:color="auto" w:fill="auto"/>
            <w:noWrap/>
            <w:vAlign w:val="bottom"/>
            <w:hideMark/>
          </w:tcPr>
          <w:p w14:paraId="2CB7408B"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Riobamba</w:t>
            </w:r>
          </w:p>
        </w:tc>
        <w:tc>
          <w:tcPr>
            <w:tcW w:w="1417" w:type="dxa"/>
            <w:tcBorders>
              <w:top w:val="nil"/>
              <w:left w:val="nil"/>
              <w:bottom w:val="single" w:sz="4" w:space="0" w:color="auto"/>
              <w:right w:val="single" w:sz="4" w:space="0" w:color="auto"/>
            </w:tcBorders>
            <w:shd w:val="clear" w:color="auto" w:fill="auto"/>
            <w:noWrap/>
            <w:vAlign w:val="bottom"/>
            <w:hideMark/>
          </w:tcPr>
          <w:p w14:paraId="0D33EC64"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Quimiag</w:t>
            </w:r>
          </w:p>
        </w:tc>
        <w:tc>
          <w:tcPr>
            <w:tcW w:w="1701" w:type="dxa"/>
            <w:tcBorders>
              <w:top w:val="nil"/>
              <w:left w:val="nil"/>
              <w:bottom w:val="single" w:sz="4" w:space="0" w:color="auto"/>
              <w:right w:val="single" w:sz="4" w:space="0" w:color="auto"/>
            </w:tcBorders>
            <w:shd w:val="clear" w:color="auto" w:fill="auto"/>
            <w:noWrap/>
            <w:vAlign w:val="bottom"/>
            <w:hideMark/>
          </w:tcPr>
          <w:p w14:paraId="1C006E47"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Granja Colegio</w:t>
            </w:r>
          </w:p>
        </w:tc>
        <w:tc>
          <w:tcPr>
            <w:tcW w:w="1701" w:type="dxa"/>
            <w:tcBorders>
              <w:top w:val="nil"/>
              <w:left w:val="nil"/>
              <w:bottom w:val="single" w:sz="4" w:space="0" w:color="auto"/>
              <w:right w:val="single" w:sz="4" w:space="0" w:color="auto"/>
            </w:tcBorders>
            <w:shd w:val="clear" w:color="auto" w:fill="auto"/>
            <w:noWrap/>
            <w:vAlign w:val="bottom"/>
            <w:hideMark/>
          </w:tcPr>
          <w:p w14:paraId="57936B3D"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w:t>
            </w:r>
            <w:r w:rsidRPr="007E253F">
              <w:rPr>
                <w:rFonts w:eastAsia="Calibri" w:cs="Times New Roman"/>
                <w:color w:val="000000"/>
                <w:lang w:val="es-ES"/>
              </w:rPr>
              <w:t>17M0770275</w:t>
            </w:r>
          </w:p>
          <w:p w14:paraId="4D85EE02" w14:textId="77777777" w:rsidR="00C07CEF" w:rsidRPr="007E253F" w:rsidRDefault="00C07CEF" w:rsidP="009F4ACC">
            <w:pPr>
              <w:spacing w:after="0" w:line="240" w:lineRule="auto"/>
              <w:rPr>
                <w:rFonts w:eastAsia="Calibri" w:cs="Times New Roman"/>
                <w:color w:val="000000"/>
                <w:lang w:val="es-ES"/>
              </w:rPr>
            </w:pPr>
            <w:r w:rsidRPr="007E253F">
              <w:rPr>
                <w:rFonts w:eastAsia="Calibri" w:cs="Times New Roman"/>
                <w:color w:val="000000"/>
                <w:lang w:val="es-ES"/>
              </w:rPr>
              <w:t>9817568</w:t>
            </w:r>
          </w:p>
        </w:tc>
        <w:tc>
          <w:tcPr>
            <w:tcW w:w="1144" w:type="dxa"/>
            <w:tcBorders>
              <w:top w:val="nil"/>
              <w:left w:val="nil"/>
              <w:bottom w:val="single" w:sz="4" w:space="0" w:color="auto"/>
              <w:right w:val="single" w:sz="4" w:space="0" w:color="auto"/>
            </w:tcBorders>
            <w:shd w:val="clear" w:color="auto" w:fill="auto"/>
            <w:noWrap/>
            <w:vAlign w:val="bottom"/>
            <w:hideMark/>
          </w:tcPr>
          <w:p w14:paraId="26089D51" w14:textId="77777777" w:rsidR="00C07CEF" w:rsidRPr="007E253F" w:rsidRDefault="00C07CEF" w:rsidP="009F4ACC">
            <w:pPr>
              <w:spacing w:after="0" w:line="240" w:lineRule="auto"/>
              <w:rPr>
                <w:rFonts w:eastAsia="Times New Roman" w:cs="Times New Roman"/>
                <w:szCs w:val="24"/>
                <w:lang w:eastAsia="es-EC"/>
              </w:rPr>
            </w:pPr>
            <w:r w:rsidRPr="007E253F">
              <w:rPr>
                <w:rFonts w:eastAsia="Times New Roman" w:cs="Times New Roman"/>
                <w:szCs w:val="24"/>
                <w:lang w:eastAsia="es-EC"/>
              </w:rPr>
              <w:t> 2684</w:t>
            </w:r>
          </w:p>
        </w:tc>
      </w:tr>
    </w:tbl>
    <w:p w14:paraId="4AE66533" w14:textId="77777777" w:rsidR="00E70495" w:rsidRPr="00E70495" w:rsidRDefault="0030048E" w:rsidP="00E70495">
      <w:pPr>
        <w:spacing w:line="360" w:lineRule="auto"/>
        <w:rPr>
          <w:rFonts w:cs="Times New Roman"/>
          <w:sz w:val="20"/>
          <w:szCs w:val="20"/>
        </w:rPr>
      </w:pPr>
      <w:r w:rsidRPr="00E70495">
        <w:rPr>
          <w:rFonts w:cs="Times New Roman"/>
          <w:sz w:val="20"/>
          <w:szCs w:val="20"/>
        </w:rPr>
        <w:t>Fuente: MNSE</w:t>
      </w:r>
      <w:bookmarkStart w:id="1052" w:name="_Toc79314002"/>
    </w:p>
    <w:p w14:paraId="688F2600" w14:textId="21CA0003" w:rsidR="00C26AF2" w:rsidRPr="00E70495" w:rsidRDefault="00C26AF2" w:rsidP="00E70495">
      <w:pPr>
        <w:spacing w:before="360" w:after="0" w:line="360" w:lineRule="auto"/>
        <w:rPr>
          <w:rFonts w:cs="Times New Roman"/>
          <w:szCs w:val="24"/>
        </w:rPr>
      </w:pPr>
      <w:r w:rsidRPr="00C26AF2">
        <w:rPr>
          <w:rFonts w:cs="Times New Roman"/>
          <w:b/>
          <w:szCs w:val="24"/>
          <w:lang w:val="es-ES"/>
        </w:rPr>
        <w:t xml:space="preserve">Cuadro </w:t>
      </w:r>
      <w:r w:rsidRPr="00C26AF2">
        <w:rPr>
          <w:rFonts w:cs="Times New Roman"/>
          <w:b/>
          <w:i/>
          <w:iCs/>
          <w:szCs w:val="24"/>
          <w:lang w:val="es-ES"/>
        </w:rPr>
        <w:fldChar w:fldCharType="begin"/>
      </w:r>
      <w:r w:rsidRPr="00C26AF2">
        <w:rPr>
          <w:rFonts w:cs="Times New Roman"/>
          <w:b/>
          <w:szCs w:val="24"/>
          <w:lang w:val="es-ES"/>
        </w:rPr>
        <w:instrText xml:space="preserve"> SEQ Cuadro \* ARABIC </w:instrText>
      </w:r>
      <w:r w:rsidRPr="00C26AF2">
        <w:rPr>
          <w:rFonts w:cs="Times New Roman"/>
          <w:b/>
          <w:i/>
          <w:iCs/>
          <w:szCs w:val="24"/>
          <w:lang w:val="es-ES"/>
        </w:rPr>
        <w:fldChar w:fldCharType="separate"/>
      </w:r>
      <w:r w:rsidR="000D1F55">
        <w:rPr>
          <w:rFonts w:cs="Times New Roman"/>
          <w:b/>
          <w:noProof/>
          <w:szCs w:val="24"/>
          <w:lang w:val="es-ES"/>
        </w:rPr>
        <w:t>10</w:t>
      </w:r>
      <w:r w:rsidRPr="00C26AF2">
        <w:rPr>
          <w:rFonts w:cs="Times New Roman"/>
          <w:b/>
          <w:i/>
          <w:iCs/>
          <w:szCs w:val="24"/>
          <w:lang w:val="es-ES"/>
        </w:rPr>
        <w:fldChar w:fldCharType="end"/>
      </w:r>
      <w:r w:rsidRPr="00C26AF2">
        <w:rPr>
          <w:rFonts w:cs="Times New Roman"/>
          <w:b/>
          <w:szCs w:val="24"/>
          <w:lang w:val="es-ES"/>
        </w:rPr>
        <w:t>.</w:t>
      </w:r>
      <w:r w:rsidRPr="00C26AF2">
        <w:rPr>
          <w:rFonts w:cs="Times New Roman"/>
          <w:szCs w:val="24"/>
          <w:lang w:val="es-ES"/>
        </w:rPr>
        <w:t xml:space="preserve"> Ubicación del experimento en las localidades de la provincia de Imbabura</w:t>
      </w:r>
      <w:bookmarkEnd w:id="1052"/>
    </w:p>
    <w:tbl>
      <w:tblPr>
        <w:tblW w:w="7933" w:type="dxa"/>
        <w:tblCellMar>
          <w:left w:w="70" w:type="dxa"/>
          <w:right w:w="70" w:type="dxa"/>
        </w:tblCellMar>
        <w:tblLook w:val="04A0" w:firstRow="1" w:lastRow="0" w:firstColumn="1" w:lastColumn="0" w:noHBand="0" w:noVBand="1"/>
      </w:tblPr>
      <w:tblGrid>
        <w:gridCol w:w="625"/>
        <w:gridCol w:w="1278"/>
        <w:gridCol w:w="1665"/>
        <w:gridCol w:w="1365"/>
        <w:gridCol w:w="2021"/>
        <w:gridCol w:w="979"/>
      </w:tblGrid>
      <w:tr w:rsidR="0030048E" w:rsidRPr="007E253F" w14:paraId="75DC174F" w14:textId="77777777" w:rsidTr="00E70495">
        <w:trPr>
          <w:trHeight w:val="309"/>
        </w:trPr>
        <w:tc>
          <w:tcPr>
            <w:tcW w:w="79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42E1C5" w14:textId="77777777" w:rsidR="0030048E" w:rsidRPr="007E253F" w:rsidRDefault="0030048E" w:rsidP="00E70495">
            <w:pPr>
              <w:spacing w:after="0" w:line="240" w:lineRule="auto"/>
              <w:jc w:val="center"/>
              <w:rPr>
                <w:rFonts w:eastAsia="Times New Roman" w:cs="Times New Roman"/>
                <w:b/>
                <w:bCs/>
                <w:szCs w:val="24"/>
                <w:lang w:eastAsia="es-EC"/>
              </w:rPr>
            </w:pPr>
            <w:r w:rsidRPr="007E253F">
              <w:rPr>
                <w:rFonts w:eastAsia="Times New Roman" w:cs="Times New Roman"/>
                <w:b/>
                <w:bCs/>
                <w:szCs w:val="24"/>
                <w:lang w:eastAsia="es-EC"/>
              </w:rPr>
              <w:t>Provincia de Imbabura</w:t>
            </w:r>
          </w:p>
        </w:tc>
      </w:tr>
      <w:tr w:rsidR="0030048E" w:rsidRPr="007E253F" w14:paraId="72A0E3BA" w14:textId="77777777" w:rsidTr="00E70495">
        <w:trPr>
          <w:trHeight w:val="543"/>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71C40" w14:textId="77777777" w:rsidR="0030048E" w:rsidRPr="007E253F" w:rsidRDefault="0030048E" w:rsidP="009F4ACC">
            <w:pPr>
              <w:spacing w:after="0" w:line="240" w:lineRule="auto"/>
              <w:jc w:val="center"/>
              <w:rPr>
                <w:rFonts w:eastAsia="Times New Roman" w:cs="Times New Roman"/>
                <w:b/>
                <w:bCs/>
                <w:szCs w:val="24"/>
                <w:lang w:eastAsia="es-EC"/>
              </w:rPr>
            </w:pPr>
            <w:r w:rsidRPr="007E253F">
              <w:rPr>
                <w:rFonts w:eastAsia="Times New Roman" w:cs="Times New Roman"/>
                <w:b/>
                <w:bCs/>
                <w:szCs w:val="24"/>
                <w:lang w:eastAsia="es-EC"/>
              </w:rPr>
              <w:t>Año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4F83821D" w14:textId="77777777" w:rsidR="0030048E" w:rsidRPr="007E253F" w:rsidRDefault="0030048E" w:rsidP="00E70495">
            <w:pPr>
              <w:spacing w:after="0" w:line="240" w:lineRule="auto"/>
              <w:jc w:val="center"/>
              <w:rPr>
                <w:rFonts w:eastAsia="Times New Roman" w:cs="Times New Roman"/>
                <w:b/>
                <w:bCs/>
                <w:szCs w:val="24"/>
                <w:lang w:eastAsia="es-EC"/>
              </w:rPr>
            </w:pPr>
            <w:r w:rsidRPr="007E253F">
              <w:rPr>
                <w:rFonts w:eastAsia="Times New Roman" w:cs="Times New Roman"/>
                <w:b/>
                <w:bCs/>
                <w:szCs w:val="24"/>
                <w:lang w:eastAsia="es-EC"/>
              </w:rPr>
              <w:t>Cantón</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03237B97" w14:textId="77777777" w:rsidR="0030048E" w:rsidRPr="007E253F" w:rsidRDefault="0030048E" w:rsidP="00E70495">
            <w:pPr>
              <w:spacing w:after="0" w:line="240" w:lineRule="auto"/>
              <w:jc w:val="center"/>
              <w:rPr>
                <w:rFonts w:eastAsia="Times New Roman" w:cs="Times New Roman"/>
                <w:b/>
                <w:bCs/>
                <w:szCs w:val="24"/>
                <w:lang w:eastAsia="es-EC"/>
              </w:rPr>
            </w:pPr>
            <w:r w:rsidRPr="007E253F">
              <w:rPr>
                <w:rFonts w:eastAsia="Times New Roman" w:cs="Times New Roman"/>
                <w:b/>
                <w:bCs/>
                <w:szCs w:val="24"/>
                <w:lang w:eastAsia="es-EC"/>
              </w:rPr>
              <w:t>Parroquia</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0348F64C" w14:textId="77777777" w:rsidR="0030048E" w:rsidRPr="007E253F" w:rsidRDefault="0030048E" w:rsidP="00E70495">
            <w:pPr>
              <w:spacing w:after="0" w:line="240" w:lineRule="auto"/>
              <w:jc w:val="center"/>
              <w:rPr>
                <w:rFonts w:eastAsia="Times New Roman" w:cs="Times New Roman"/>
                <w:b/>
                <w:bCs/>
                <w:szCs w:val="24"/>
                <w:lang w:eastAsia="es-EC"/>
              </w:rPr>
            </w:pPr>
            <w:r w:rsidRPr="007E253F">
              <w:rPr>
                <w:rFonts w:eastAsia="Times New Roman" w:cs="Times New Roman"/>
                <w:b/>
                <w:bCs/>
                <w:szCs w:val="24"/>
                <w:lang w:eastAsia="es-EC"/>
              </w:rPr>
              <w:t>Sitios</w:t>
            </w:r>
          </w:p>
        </w:tc>
        <w:tc>
          <w:tcPr>
            <w:tcW w:w="2021" w:type="dxa"/>
            <w:tcBorders>
              <w:top w:val="single" w:sz="4" w:space="0" w:color="auto"/>
              <w:left w:val="nil"/>
              <w:bottom w:val="single" w:sz="4" w:space="0" w:color="auto"/>
              <w:right w:val="single" w:sz="4" w:space="0" w:color="auto"/>
            </w:tcBorders>
            <w:shd w:val="clear" w:color="auto" w:fill="auto"/>
            <w:vAlign w:val="center"/>
            <w:hideMark/>
          </w:tcPr>
          <w:p w14:paraId="211D7C0F" w14:textId="77777777" w:rsidR="0030048E" w:rsidRPr="007E253F" w:rsidRDefault="0030048E" w:rsidP="00E70495">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Coordenadas</w:t>
            </w:r>
          </w:p>
          <w:p w14:paraId="032D09A4" w14:textId="77777777" w:rsidR="0030048E" w:rsidRPr="007E253F" w:rsidRDefault="0030048E" w:rsidP="00E70495">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Lat, Lon, Al</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1D77B44" w14:textId="77777777" w:rsidR="0030048E" w:rsidRPr="007E253F" w:rsidRDefault="0030048E" w:rsidP="00E70495">
            <w:pPr>
              <w:pStyle w:val="Sinespaciado"/>
              <w:jc w:val="center"/>
              <w:rPr>
                <w:rFonts w:ascii="Times New Roman" w:hAnsi="Times New Roman" w:cs="Times New Roman"/>
                <w:b/>
                <w:bCs/>
                <w:sz w:val="24"/>
                <w:szCs w:val="24"/>
                <w:lang w:eastAsia="es-EC"/>
              </w:rPr>
            </w:pPr>
            <w:r w:rsidRPr="007E253F">
              <w:rPr>
                <w:rFonts w:ascii="Times New Roman" w:hAnsi="Times New Roman" w:cs="Times New Roman"/>
                <w:b/>
                <w:bCs/>
                <w:sz w:val="24"/>
                <w:szCs w:val="24"/>
                <w:lang w:eastAsia="es-EC"/>
              </w:rPr>
              <w:t>Altitud (msnm)</w:t>
            </w:r>
          </w:p>
        </w:tc>
      </w:tr>
      <w:tr w:rsidR="0030048E" w:rsidRPr="007E253F" w14:paraId="563DE97D" w14:textId="77777777" w:rsidTr="00E70495">
        <w:trPr>
          <w:trHeight w:val="271"/>
        </w:trPr>
        <w:tc>
          <w:tcPr>
            <w:tcW w:w="625" w:type="dxa"/>
            <w:tcBorders>
              <w:top w:val="nil"/>
              <w:left w:val="single" w:sz="4" w:space="0" w:color="auto"/>
              <w:bottom w:val="single" w:sz="4" w:space="0" w:color="auto"/>
              <w:right w:val="single" w:sz="4" w:space="0" w:color="auto"/>
            </w:tcBorders>
            <w:shd w:val="clear" w:color="auto" w:fill="auto"/>
            <w:vAlign w:val="bottom"/>
            <w:hideMark/>
          </w:tcPr>
          <w:p w14:paraId="214D4970" w14:textId="77777777" w:rsidR="0030048E" w:rsidRPr="007E253F" w:rsidRDefault="0030048E"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2010</w:t>
            </w:r>
          </w:p>
        </w:tc>
        <w:tc>
          <w:tcPr>
            <w:tcW w:w="1278" w:type="dxa"/>
            <w:tcBorders>
              <w:top w:val="nil"/>
              <w:left w:val="nil"/>
              <w:bottom w:val="single" w:sz="4" w:space="0" w:color="auto"/>
              <w:right w:val="single" w:sz="4" w:space="0" w:color="auto"/>
            </w:tcBorders>
            <w:shd w:val="clear" w:color="auto" w:fill="auto"/>
            <w:vAlign w:val="bottom"/>
            <w:hideMark/>
          </w:tcPr>
          <w:p w14:paraId="2D0712B3"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Otavalo</w:t>
            </w:r>
          </w:p>
        </w:tc>
        <w:tc>
          <w:tcPr>
            <w:tcW w:w="1665" w:type="dxa"/>
            <w:tcBorders>
              <w:top w:val="nil"/>
              <w:left w:val="nil"/>
              <w:bottom w:val="single" w:sz="4" w:space="0" w:color="auto"/>
              <w:right w:val="single" w:sz="4" w:space="0" w:color="auto"/>
            </w:tcBorders>
            <w:shd w:val="clear" w:color="auto" w:fill="auto"/>
            <w:vAlign w:val="bottom"/>
            <w:hideMark/>
          </w:tcPr>
          <w:p w14:paraId="03651BAC"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 Miguel Egas </w:t>
            </w:r>
          </w:p>
        </w:tc>
        <w:tc>
          <w:tcPr>
            <w:tcW w:w="1365" w:type="dxa"/>
            <w:tcBorders>
              <w:top w:val="nil"/>
              <w:left w:val="nil"/>
              <w:bottom w:val="single" w:sz="4" w:space="0" w:color="auto"/>
              <w:right w:val="single" w:sz="4" w:space="0" w:color="auto"/>
            </w:tcBorders>
            <w:shd w:val="clear" w:color="auto" w:fill="auto"/>
            <w:vAlign w:val="bottom"/>
            <w:hideMark/>
          </w:tcPr>
          <w:p w14:paraId="58E34344"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Quinchuqui</w:t>
            </w:r>
          </w:p>
        </w:tc>
        <w:tc>
          <w:tcPr>
            <w:tcW w:w="2021" w:type="dxa"/>
            <w:tcBorders>
              <w:top w:val="nil"/>
              <w:left w:val="nil"/>
              <w:bottom w:val="single" w:sz="4" w:space="0" w:color="auto"/>
              <w:right w:val="single" w:sz="4" w:space="0" w:color="auto"/>
            </w:tcBorders>
            <w:shd w:val="clear" w:color="auto" w:fill="auto"/>
            <w:vAlign w:val="bottom"/>
            <w:hideMark/>
          </w:tcPr>
          <w:p w14:paraId="219860DF"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Times New Roman" w:cs="Times New Roman"/>
                <w:szCs w:val="24"/>
                <w:lang w:eastAsia="es-EC"/>
              </w:rPr>
              <w:t> </w:t>
            </w:r>
            <w:r w:rsidRPr="007E253F">
              <w:rPr>
                <w:rFonts w:eastAsia="Calibri" w:cs="Times New Roman"/>
                <w:color w:val="000000"/>
                <w:szCs w:val="24"/>
                <w:lang w:val="es-ES"/>
              </w:rPr>
              <w:t>78°14’26,1” O</w:t>
            </w:r>
          </w:p>
          <w:p w14:paraId="6DC90454"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0°15’16,8” S</w:t>
            </w:r>
          </w:p>
        </w:tc>
        <w:tc>
          <w:tcPr>
            <w:tcW w:w="979" w:type="dxa"/>
            <w:tcBorders>
              <w:top w:val="nil"/>
              <w:left w:val="nil"/>
              <w:bottom w:val="single" w:sz="4" w:space="0" w:color="auto"/>
              <w:right w:val="single" w:sz="4" w:space="0" w:color="auto"/>
            </w:tcBorders>
            <w:shd w:val="clear" w:color="auto" w:fill="auto"/>
            <w:vAlign w:val="bottom"/>
            <w:hideMark/>
          </w:tcPr>
          <w:p w14:paraId="53B808FE"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2650</w:t>
            </w:r>
          </w:p>
        </w:tc>
      </w:tr>
      <w:tr w:rsidR="0030048E" w:rsidRPr="007E253F" w14:paraId="14817197" w14:textId="77777777" w:rsidTr="00E70495">
        <w:trPr>
          <w:trHeight w:val="271"/>
        </w:trPr>
        <w:tc>
          <w:tcPr>
            <w:tcW w:w="625" w:type="dxa"/>
            <w:tcBorders>
              <w:top w:val="nil"/>
              <w:left w:val="single" w:sz="4" w:space="0" w:color="auto"/>
              <w:bottom w:val="single" w:sz="4" w:space="0" w:color="auto"/>
              <w:right w:val="single" w:sz="4" w:space="0" w:color="auto"/>
            </w:tcBorders>
            <w:shd w:val="clear" w:color="auto" w:fill="auto"/>
            <w:vAlign w:val="bottom"/>
          </w:tcPr>
          <w:p w14:paraId="20334BDC" w14:textId="77777777" w:rsidR="0030048E" w:rsidRPr="007E253F" w:rsidRDefault="0030048E"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2011</w:t>
            </w:r>
          </w:p>
        </w:tc>
        <w:tc>
          <w:tcPr>
            <w:tcW w:w="1278" w:type="dxa"/>
            <w:tcBorders>
              <w:top w:val="nil"/>
              <w:left w:val="nil"/>
              <w:bottom w:val="single" w:sz="4" w:space="0" w:color="auto"/>
              <w:right w:val="single" w:sz="4" w:space="0" w:color="auto"/>
            </w:tcBorders>
            <w:shd w:val="clear" w:color="auto" w:fill="auto"/>
            <w:vAlign w:val="bottom"/>
          </w:tcPr>
          <w:p w14:paraId="6AF1FC87"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Otavalo</w:t>
            </w:r>
          </w:p>
        </w:tc>
        <w:tc>
          <w:tcPr>
            <w:tcW w:w="1665" w:type="dxa"/>
            <w:tcBorders>
              <w:top w:val="nil"/>
              <w:left w:val="nil"/>
              <w:bottom w:val="single" w:sz="4" w:space="0" w:color="auto"/>
              <w:right w:val="single" w:sz="4" w:space="0" w:color="auto"/>
            </w:tcBorders>
            <w:shd w:val="clear" w:color="auto" w:fill="auto"/>
            <w:vAlign w:val="bottom"/>
          </w:tcPr>
          <w:p w14:paraId="6071BD6E"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Paztavi</w:t>
            </w:r>
          </w:p>
        </w:tc>
        <w:tc>
          <w:tcPr>
            <w:tcW w:w="1365" w:type="dxa"/>
            <w:tcBorders>
              <w:top w:val="nil"/>
              <w:left w:val="nil"/>
              <w:bottom w:val="single" w:sz="4" w:space="0" w:color="auto"/>
              <w:right w:val="single" w:sz="4" w:space="0" w:color="auto"/>
            </w:tcBorders>
            <w:shd w:val="clear" w:color="auto" w:fill="auto"/>
            <w:vAlign w:val="bottom"/>
          </w:tcPr>
          <w:p w14:paraId="067CFE81"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Quichinche</w:t>
            </w:r>
          </w:p>
        </w:tc>
        <w:tc>
          <w:tcPr>
            <w:tcW w:w="2021" w:type="dxa"/>
            <w:tcBorders>
              <w:top w:val="nil"/>
              <w:left w:val="nil"/>
              <w:bottom w:val="single" w:sz="4" w:space="0" w:color="auto"/>
              <w:right w:val="single" w:sz="4" w:space="0" w:color="auto"/>
            </w:tcBorders>
            <w:shd w:val="clear" w:color="auto" w:fill="auto"/>
            <w:vAlign w:val="bottom"/>
          </w:tcPr>
          <w:p w14:paraId="043C50AA"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78°17’02” O</w:t>
            </w:r>
          </w:p>
          <w:p w14:paraId="18EF4D45"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0°14’22” N</w:t>
            </w:r>
          </w:p>
        </w:tc>
        <w:tc>
          <w:tcPr>
            <w:tcW w:w="979" w:type="dxa"/>
            <w:tcBorders>
              <w:top w:val="nil"/>
              <w:left w:val="nil"/>
              <w:bottom w:val="single" w:sz="4" w:space="0" w:color="auto"/>
              <w:right w:val="single" w:sz="4" w:space="0" w:color="auto"/>
            </w:tcBorders>
            <w:shd w:val="clear" w:color="auto" w:fill="auto"/>
            <w:vAlign w:val="bottom"/>
          </w:tcPr>
          <w:p w14:paraId="2F741CCB"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2623</w:t>
            </w:r>
          </w:p>
        </w:tc>
      </w:tr>
      <w:tr w:rsidR="0030048E" w:rsidRPr="007E253F" w14:paraId="3428FFDF" w14:textId="77777777" w:rsidTr="00E70495">
        <w:trPr>
          <w:trHeight w:val="271"/>
        </w:trPr>
        <w:tc>
          <w:tcPr>
            <w:tcW w:w="625" w:type="dxa"/>
            <w:tcBorders>
              <w:top w:val="nil"/>
              <w:left w:val="single" w:sz="4" w:space="0" w:color="auto"/>
              <w:bottom w:val="single" w:sz="4" w:space="0" w:color="auto"/>
              <w:right w:val="single" w:sz="4" w:space="0" w:color="auto"/>
            </w:tcBorders>
            <w:shd w:val="clear" w:color="auto" w:fill="auto"/>
            <w:vAlign w:val="bottom"/>
          </w:tcPr>
          <w:p w14:paraId="44EF592A" w14:textId="77777777" w:rsidR="0030048E" w:rsidRPr="007E253F" w:rsidRDefault="0030048E"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2011</w:t>
            </w:r>
          </w:p>
        </w:tc>
        <w:tc>
          <w:tcPr>
            <w:tcW w:w="1278" w:type="dxa"/>
            <w:tcBorders>
              <w:top w:val="nil"/>
              <w:left w:val="nil"/>
              <w:bottom w:val="single" w:sz="4" w:space="0" w:color="auto"/>
              <w:right w:val="single" w:sz="4" w:space="0" w:color="auto"/>
            </w:tcBorders>
            <w:shd w:val="clear" w:color="auto" w:fill="auto"/>
            <w:vAlign w:val="bottom"/>
          </w:tcPr>
          <w:p w14:paraId="2D3C79A6"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Otavalo</w:t>
            </w:r>
          </w:p>
        </w:tc>
        <w:tc>
          <w:tcPr>
            <w:tcW w:w="1665" w:type="dxa"/>
            <w:tcBorders>
              <w:top w:val="nil"/>
              <w:left w:val="nil"/>
              <w:bottom w:val="single" w:sz="4" w:space="0" w:color="auto"/>
              <w:right w:val="single" w:sz="4" w:space="0" w:color="auto"/>
            </w:tcBorders>
            <w:shd w:val="clear" w:color="auto" w:fill="auto"/>
            <w:vAlign w:val="bottom"/>
          </w:tcPr>
          <w:p w14:paraId="0413A389"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Miguel Egas </w:t>
            </w:r>
          </w:p>
        </w:tc>
        <w:tc>
          <w:tcPr>
            <w:tcW w:w="1365" w:type="dxa"/>
            <w:tcBorders>
              <w:top w:val="nil"/>
              <w:left w:val="nil"/>
              <w:bottom w:val="single" w:sz="4" w:space="0" w:color="auto"/>
              <w:right w:val="single" w:sz="4" w:space="0" w:color="auto"/>
            </w:tcBorders>
            <w:shd w:val="clear" w:color="auto" w:fill="auto"/>
            <w:vAlign w:val="bottom"/>
          </w:tcPr>
          <w:p w14:paraId="0075642A"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Quinchuqui </w:t>
            </w:r>
          </w:p>
        </w:tc>
        <w:tc>
          <w:tcPr>
            <w:tcW w:w="2021" w:type="dxa"/>
            <w:tcBorders>
              <w:top w:val="nil"/>
              <w:left w:val="nil"/>
              <w:bottom w:val="single" w:sz="4" w:space="0" w:color="auto"/>
              <w:right w:val="single" w:sz="4" w:space="0" w:color="auto"/>
            </w:tcBorders>
            <w:shd w:val="clear" w:color="auto" w:fill="auto"/>
            <w:vAlign w:val="bottom"/>
          </w:tcPr>
          <w:p w14:paraId="329044DF" w14:textId="77777777" w:rsidR="0030048E" w:rsidRPr="007E253F" w:rsidRDefault="0030048E" w:rsidP="00E70495">
            <w:pPr>
              <w:spacing w:after="0" w:line="240" w:lineRule="auto"/>
              <w:rPr>
                <w:rFonts w:eastAsia="Times New Roman" w:cs="Times New Roman"/>
                <w:szCs w:val="24"/>
                <w:lang w:eastAsia="es-EC"/>
              </w:rPr>
            </w:pPr>
            <w:r w:rsidRPr="007E253F">
              <w:rPr>
                <w:rFonts w:eastAsia="Calibri" w:cs="Times New Roman"/>
                <w:color w:val="000000"/>
                <w:szCs w:val="24"/>
                <w:lang w:val="es-ES"/>
              </w:rPr>
              <w:t>78°14’18” O</w:t>
            </w:r>
          </w:p>
          <w:p w14:paraId="63AEFFE5" w14:textId="77777777" w:rsidR="0030048E" w:rsidRPr="007E253F" w:rsidRDefault="0030048E" w:rsidP="00E70495">
            <w:pPr>
              <w:spacing w:after="0" w:line="240" w:lineRule="auto"/>
              <w:rPr>
                <w:rFonts w:eastAsia="Times New Roman" w:cs="Times New Roman"/>
                <w:szCs w:val="24"/>
                <w:lang w:eastAsia="es-EC"/>
              </w:rPr>
            </w:pPr>
            <w:r w:rsidRPr="007E253F">
              <w:rPr>
                <w:rFonts w:eastAsia="Calibri" w:cs="Times New Roman"/>
                <w:color w:val="000000"/>
                <w:szCs w:val="24"/>
                <w:lang w:val="es-ES"/>
              </w:rPr>
              <w:t>0°15’12” S</w:t>
            </w:r>
          </w:p>
        </w:tc>
        <w:tc>
          <w:tcPr>
            <w:tcW w:w="979" w:type="dxa"/>
            <w:tcBorders>
              <w:top w:val="nil"/>
              <w:left w:val="nil"/>
              <w:bottom w:val="single" w:sz="4" w:space="0" w:color="auto"/>
              <w:right w:val="single" w:sz="4" w:space="0" w:color="auto"/>
            </w:tcBorders>
            <w:shd w:val="clear" w:color="auto" w:fill="auto"/>
            <w:vAlign w:val="bottom"/>
          </w:tcPr>
          <w:p w14:paraId="4B9BD436"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2643</w:t>
            </w:r>
          </w:p>
        </w:tc>
      </w:tr>
      <w:tr w:rsidR="0030048E" w:rsidRPr="007E253F" w14:paraId="5A9B2318" w14:textId="77777777" w:rsidTr="00E70495">
        <w:trPr>
          <w:trHeight w:val="271"/>
        </w:trPr>
        <w:tc>
          <w:tcPr>
            <w:tcW w:w="625" w:type="dxa"/>
            <w:tcBorders>
              <w:top w:val="nil"/>
              <w:left w:val="single" w:sz="4" w:space="0" w:color="auto"/>
              <w:bottom w:val="single" w:sz="4" w:space="0" w:color="auto"/>
              <w:right w:val="single" w:sz="4" w:space="0" w:color="auto"/>
            </w:tcBorders>
            <w:shd w:val="clear" w:color="auto" w:fill="auto"/>
            <w:vAlign w:val="bottom"/>
          </w:tcPr>
          <w:p w14:paraId="23ECE934" w14:textId="77777777" w:rsidR="0030048E" w:rsidRPr="007E253F" w:rsidRDefault="0030048E"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2011</w:t>
            </w:r>
          </w:p>
        </w:tc>
        <w:tc>
          <w:tcPr>
            <w:tcW w:w="1278" w:type="dxa"/>
            <w:tcBorders>
              <w:top w:val="nil"/>
              <w:left w:val="nil"/>
              <w:bottom w:val="single" w:sz="4" w:space="0" w:color="auto"/>
              <w:right w:val="single" w:sz="4" w:space="0" w:color="auto"/>
            </w:tcBorders>
            <w:shd w:val="clear" w:color="auto" w:fill="auto"/>
            <w:vAlign w:val="bottom"/>
          </w:tcPr>
          <w:p w14:paraId="52BB258A"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Otavalo </w:t>
            </w:r>
          </w:p>
        </w:tc>
        <w:tc>
          <w:tcPr>
            <w:tcW w:w="1665" w:type="dxa"/>
            <w:tcBorders>
              <w:top w:val="nil"/>
              <w:left w:val="nil"/>
              <w:bottom w:val="single" w:sz="4" w:space="0" w:color="auto"/>
              <w:right w:val="single" w:sz="4" w:space="0" w:color="auto"/>
            </w:tcBorders>
            <w:shd w:val="clear" w:color="auto" w:fill="auto"/>
            <w:vAlign w:val="bottom"/>
          </w:tcPr>
          <w:p w14:paraId="709BFB11"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Miguel Egas </w:t>
            </w:r>
          </w:p>
        </w:tc>
        <w:tc>
          <w:tcPr>
            <w:tcW w:w="1365" w:type="dxa"/>
            <w:tcBorders>
              <w:top w:val="nil"/>
              <w:left w:val="nil"/>
              <w:bottom w:val="single" w:sz="4" w:space="0" w:color="auto"/>
              <w:right w:val="single" w:sz="4" w:space="0" w:color="auto"/>
            </w:tcBorders>
            <w:shd w:val="clear" w:color="auto" w:fill="auto"/>
            <w:vAlign w:val="bottom"/>
          </w:tcPr>
          <w:p w14:paraId="2AFBB682"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San José</w:t>
            </w:r>
          </w:p>
        </w:tc>
        <w:tc>
          <w:tcPr>
            <w:tcW w:w="2021" w:type="dxa"/>
            <w:tcBorders>
              <w:top w:val="nil"/>
              <w:left w:val="nil"/>
              <w:bottom w:val="single" w:sz="4" w:space="0" w:color="auto"/>
              <w:right w:val="single" w:sz="4" w:space="0" w:color="auto"/>
            </w:tcBorders>
            <w:shd w:val="clear" w:color="auto" w:fill="auto"/>
            <w:vAlign w:val="bottom"/>
          </w:tcPr>
          <w:p w14:paraId="15957278" w14:textId="77777777" w:rsidR="0030048E" w:rsidRPr="007E253F" w:rsidRDefault="0030048E" w:rsidP="00E70495">
            <w:pPr>
              <w:spacing w:after="0" w:line="240" w:lineRule="auto"/>
              <w:rPr>
                <w:rFonts w:eastAsia="Times New Roman" w:cs="Times New Roman"/>
                <w:szCs w:val="24"/>
                <w:lang w:eastAsia="es-EC"/>
              </w:rPr>
            </w:pPr>
          </w:p>
        </w:tc>
        <w:tc>
          <w:tcPr>
            <w:tcW w:w="979" w:type="dxa"/>
            <w:tcBorders>
              <w:top w:val="nil"/>
              <w:left w:val="nil"/>
              <w:bottom w:val="single" w:sz="4" w:space="0" w:color="auto"/>
              <w:right w:val="single" w:sz="4" w:space="0" w:color="auto"/>
            </w:tcBorders>
            <w:shd w:val="clear" w:color="auto" w:fill="auto"/>
            <w:vAlign w:val="bottom"/>
          </w:tcPr>
          <w:p w14:paraId="215525E2"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2643</w:t>
            </w:r>
          </w:p>
        </w:tc>
      </w:tr>
      <w:tr w:rsidR="0030048E" w:rsidRPr="007E253F" w14:paraId="52A5D7C2" w14:textId="77777777" w:rsidTr="00E70495">
        <w:trPr>
          <w:trHeight w:val="271"/>
        </w:trPr>
        <w:tc>
          <w:tcPr>
            <w:tcW w:w="625" w:type="dxa"/>
            <w:tcBorders>
              <w:top w:val="nil"/>
              <w:left w:val="single" w:sz="4" w:space="0" w:color="auto"/>
              <w:bottom w:val="single" w:sz="4" w:space="0" w:color="auto"/>
              <w:right w:val="single" w:sz="4" w:space="0" w:color="auto"/>
            </w:tcBorders>
            <w:shd w:val="clear" w:color="auto" w:fill="auto"/>
            <w:vAlign w:val="bottom"/>
          </w:tcPr>
          <w:p w14:paraId="0C9E4150" w14:textId="77777777" w:rsidR="0030048E" w:rsidRPr="007E253F" w:rsidRDefault="0030048E"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2012</w:t>
            </w:r>
          </w:p>
        </w:tc>
        <w:tc>
          <w:tcPr>
            <w:tcW w:w="1278" w:type="dxa"/>
            <w:tcBorders>
              <w:top w:val="nil"/>
              <w:left w:val="nil"/>
              <w:bottom w:val="single" w:sz="4" w:space="0" w:color="auto"/>
              <w:right w:val="single" w:sz="4" w:space="0" w:color="auto"/>
            </w:tcBorders>
            <w:shd w:val="clear" w:color="auto" w:fill="auto"/>
            <w:vAlign w:val="bottom"/>
          </w:tcPr>
          <w:p w14:paraId="2E3C5BA0"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Otavalo</w:t>
            </w:r>
          </w:p>
        </w:tc>
        <w:tc>
          <w:tcPr>
            <w:tcW w:w="1665" w:type="dxa"/>
            <w:tcBorders>
              <w:top w:val="nil"/>
              <w:left w:val="nil"/>
              <w:bottom w:val="single" w:sz="4" w:space="0" w:color="auto"/>
              <w:right w:val="single" w:sz="4" w:space="0" w:color="auto"/>
            </w:tcBorders>
            <w:shd w:val="clear" w:color="auto" w:fill="auto"/>
            <w:vAlign w:val="bottom"/>
          </w:tcPr>
          <w:p w14:paraId="5C93E07D"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Illuman</w:t>
            </w:r>
          </w:p>
        </w:tc>
        <w:tc>
          <w:tcPr>
            <w:tcW w:w="1365" w:type="dxa"/>
            <w:tcBorders>
              <w:top w:val="nil"/>
              <w:left w:val="nil"/>
              <w:bottom w:val="single" w:sz="4" w:space="0" w:color="auto"/>
              <w:right w:val="single" w:sz="4" w:space="0" w:color="auto"/>
            </w:tcBorders>
            <w:shd w:val="clear" w:color="auto" w:fill="auto"/>
            <w:vAlign w:val="bottom"/>
          </w:tcPr>
          <w:p w14:paraId="301813AC"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Sta. Mónica</w:t>
            </w:r>
          </w:p>
        </w:tc>
        <w:tc>
          <w:tcPr>
            <w:tcW w:w="2021" w:type="dxa"/>
            <w:tcBorders>
              <w:top w:val="nil"/>
              <w:left w:val="nil"/>
              <w:bottom w:val="single" w:sz="4" w:space="0" w:color="auto"/>
              <w:right w:val="single" w:sz="4" w:space="0" w:color="auto"/>
            </w:tcBorders>
            <w:shd w:val="clear" w:color="auto" w:fill="auto"/>
            <w:vAlign w:val="bottom"/>
          </w:tcPr>
          <w:p w14:paraId="26B7756B"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78°14’35” O</w:t>
            </w:r>
          </w:p>
          <w:p w14:paraId="67204BBB"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0°17’31” N</w:t>
            </w:r>
          </w:p>
        </w:tc>
        <w:tc>
          <w:tcPr>
            <w:tcW w:w="979" w:type="dxa"/>
            <w:tcBorders>
              <w:top w:val="nil"/>
              <w:left w:val="nil"/>
              <w:bottom w:val="single" w:sz="4" w:space="0" w:color="auto"/>
              <w:right w:val="single" w:sz="4" w:space="0" w:color="auto"/>
            </w:tcBorders>
            <w:shd w:val="clear" w:color="auto" w:fill="auto"/>
            <w:vAlign w:val="bottom"/>
          </w:tcPr>
          <w:p w14:paraId="5D06382C"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2460</w:t>
            </w:r>
          </w:p>
        </w:tc>
      </w:tr>
      <w:tr w:rsidR="0030048E" w:rsidRPr="007E253F" w14:paraId="42B73F21" w14:textId="77777777" w:rsidTr="00E70495">
        <w:trPr>
          <w:trHeight w:val="271"/>
        </w:trPr>
        <w:tc>
          <w:tcPr>
            <w:tcW w:w="625" w:type="dxa"/>
            <w:tcBorders>
              <w:top w:val="nil"/>
              <w:left w:val="single" w:sz="4" w:space="0" w:color="auto"/>
              <w:bottom w:val="single" w:sz="4" w:space="0" w:color="auto"/>
              <w:right w:val="single" w:sz="4" w:space="0" w:color="auto"/>
            </w:tcBorders>
            <w:shd w:val="clear" w:color="auto" w:fill="auto"/>
            <w:vAlign w:val="bottom"/>
          </w:tcPr>
          <w:p w14:paraId="3F531D45" w14:textId="77777777" w:rsidR="0030048E" w:rsidRPr="007E253F" w:rsidRDefault="0030048E"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2013</w:t>
            </w:r>
          </w:p>
        </w:tc>
        <w:tc>
          <w:tcPr>
            <w:tcW w:w="1278" w:type="dxa"/>
            <w:tcBorders>
              <w:top w:val="nil"/>
              <w:left w:val="nil"/>
              <w:bottom w:val="single" w:sz="4" w:space="0" w:color="auto"/>
              <w:right w:val="single" w:sz="4" w:space="0" w:color="auto"/>
            </w:tcBorders>
            <w:shd w:val="clear" w:color="auto" w:fill="auto"/>
            <w:vAlign w:val="bottom"/>
          </w:tcPr>
          <w:p w14:paraId="7296BA34"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Cotacachi </w:t>
            </w:r>
          </w:p>
        </w:tc>
        <w:tc>
          <w:tcPr>
            <w:tcW w:w="1665" w:type="dxa"/>
            <w:tcBorders>
              <w:top w:val="nil"/>
              <w:left w:val="nil"/>
              <w:bottom w:val="single" w:sz="4" w:space="0" w:color="auto"/>
              <w:right w:val="single" w:sz="4" w:space="0" w:color="auto"/>
            </w:tcBorders>
            <w:shd w:val="clear" w:color="auto" w:fill="auto"/>
            <w:vAlign w:val="bottom"/>
          </w:tcPr>
          <w:p w14:paraId="1B724A70"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Imantag</w:t>
            </w:r>
          </w:p>
        </w:tc>
        <w:tc>
          <w:tcPr>
            <w:tcW w:w="1365" w:type="dxa"/>
            <w:tcBorders>
              <w:top w:val="nil"/>
              <w:left w:val="nil"/>
              <w:bottom w:val="single" w:sz="4" w:space="0" w:color="auto"/>
              <w:right w:val="single" w:sz="4" w:space="0" w:color="auto"/>
            </w:tcBorders>
            <w:shd w:val="clear" w:color="auto" w:fill="auto"/>
            <w:vAlign w:val="bottom"/>
          </w:tcPr>
          <w:p w14:paraId="0A9E73BF"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Peribuela </w:t>
            </w:r>
          </w:p>
        </w:tc>
        <w:tc>
          <w:tcPr>
            <w:tcW w:w="2021" w:type="dxa"/>
            <w:tcBorders>
              <w:top w:val="nil"/>
              <w:left w:val="nil"/>
              <w:bottom w:val="single" w:sz="4" w:space="0" w:color="auto"/>
              <w:right w:val="single" w:sz="4" w:space="0" w:color="auto"/>
            </w:tcBorders>
            <w:shd w:val="clear" w:color="auto" w:fill="auto"/>
            <w:vAlign w:val="bottom"/>
          </w:tcPr>
          <w:p w14:paraId="7BCB1DAE"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78°15’57” O</w:t>
            </w:r>
          </w:p>
          <w:p w14:paraId="3A3E9E5D"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0°23’21” N</w:t>
            </w:r>
          </w:p>
        </w:tc>
        <w:tc>
          <w:tcPr>
            <w:tcW w:w="979" w:type="dxa"/>
            <w:tcBorders>
              <w:top w:val="nil"/>
              <w:left w:val="nil"/>
              <w:bottom w:val="single" w:sz="4" w:space="0" w:color="auto"/>
              <w:right w:val="single" w:sz="4" w:space="0" w:color="auto"/>
            </w:tcBorders>
            <w:shd w:val="clear" w:color="auto" w:fill="auto"/>
            <w:vAlign w:val="bottom"/>
          </w:tcPr>
          <w:p w14:paraId="0F4E1CE5"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2581</w:t>
            </w:r>
          </w:p>
        </w:tc>
      </w:tr>
      <w:tr w:rsidR="0030048E" w:rsidRPr="007E253F" w14:paraId="72CCE6F2" w14:textId="77777777" w:rsidTr="00E70495">
        <w:trPr>
          <w:trHeight w:val="271"/>
        </w:trPr>
        <w:tc>
          <w:tcPr>
            <w:tcW w:w="625" w:type="dxa"/>
            <w:tcBorders>
              <w:top w:val="nil"/>
              <w:left w:val="single" w:sz="4" w:space="0" w:color="auto"/>
              <w:bottom w:val="single" w:sz="4" w:space="0" w:color="auto"/>
              <w:right w:val="single" w:sz="4" w:space="0" w:color="auto"/>
            </w:tcBorders>
            <w:shd w:val="clear" w:color="auto" w:fill="auto"/>
            <w:vAlign w:val="bottom"/>
          </w:tcPr>
          <w:p w14:paraId="0AFDA8D6" w14:textId="77777777" w:rsidR="0030048E" w:rsidRPr="007E253F" w:rsidRDefault="0030048E"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2015</w:t>
            </w:r>
          </w:p>
        </w:tc>
        <w:tc>
          <w:tcPr>
            <w:tcW w:w="1278" w:type="dxa"/>
            <w:tcBorders>
              <w:top w:val="nil"/>
              <w:left w:val="nil"/>
              <w:bottom w:val="single" w:sz="4" w:space="0" w:color="auto"/>
              <w:right w:val="single" w:sz="4" w:space="0" w:color="auto"/>
            </w:tcBorders>
            <w:shd w:val="clear" w:color="auto" w:fill="auto"/>
            <w:vAlign w:val="bottom"/>
          </w:tcPr>
          <w:p w14:paraId="4042D709"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Cotacachi</w:t>
            </w:r>
          </w:p>
        </w:tc>
        <w:tc>
          <w:tcPr>
            <w:tcW w:w="1665" w:type="dxa"/>
            <w:tcBorders>
              <w:top w:val="nil"/>
              <w:left w:val="nil"/>
              <w:bottom w:val="single" w:sz="4" w:space="0" w:color="auto"/>
              <w:right w:val="single" w:sz="4" w:space="0" w:color="auto"/>
            </w:tcBorders>
            <w:shd w:val="clear" w:color="auto" w:fill="auto"/>
            <w:vAlign w:val="bottom"/>
          </w:tcPr>
          <w:p w14:paraId="5F403E13"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El Sagrario</w:t>
            </w:r>
          </w:p>
        </w:tc>
        <w:tc>
          <w:tcPr>
            <w:tcW w:w="1365" w:type="dxa"/>
            <w:tcBorders>
              <w:top w:val="nil"/>
              <w:left w:val="nil"/>
              <w:bottom w:val="single" w:sz="4" w:space="0" w:color="auto"/>
              <w:right w:val="single" w:sz="4" w:space="0" w:color="auto"/>
            </w:tcBorders>
            <w:shd w:val="clear" w:color="auto" w:fill="auto"/>
            <w:vAlign w:val="bottom"/>
          </w:tcPr>
          <w:p w14:paraId="3E9A3585"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San Nicolas</w:t>
            </w:r>
          </w:p>
        </w:tc>
        <w:tc>
          <w:tcPr>
            <w:tcW w:w="2021" w:type="dxa"/>
            <w:tcBorders>
              <w:top w:val="nil"/>
              <w:left w:val="nil"/>
              <w:bottom w:val="single" w:sz="4" w:space="0" w:color="auto"/>
              <w:right w:val="single" w:sz="4" w:space="0" w:color="auto"/>
            </w:tcBorders>
            <w:shd w:val="clear" w:color="auto" w:fill="auto"/>
            <w:vAlign w:val="bottom"/>
          </w:tcPr>
          <w:p w14:paraId="3D040842"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17N0806209</w:t>
            </w:r>
          </w:p>
          <w:p w14:paraId="5EBD96C1"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0034141</w:t>
            </w:r>
          </w:p>
        </w:tc>
        <w:tc>
          <w:tcPr>
            <w:tcW w:w="979" w:type="dxa"/>
            <w:tcBorders>
              <w:top w:val="nil"/>
              <w:left w:val="nil"/>
              <w:bottom w:val="single" w:sz="4" w:space="0" w:color="auto"/>
              <w:right w:val="single" w:sz="4" w:space="0" w:color="auto"/>
            </w:tcBorders>
            <w:shd w:val="clear" w:color="auto" w:fill="auto"/>
            <w:vAlign w:val="bottom"/>
          </w:tcPr>
          <w:p w14:paraId="2A4D4E98"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2389</w:t>
            </w:r>
          </w:p>
        </w:tc>
      </w:tr>
      <w:tr w:rsidR="0030048E" w:rsidRPr="007E253F" w14:paraId="4BAD8E7B" w14:textId="77777777" w:rsidTr="00E70495">
        <w:trPr>
          <w:trHeight w:val="271"/>
        </w:trPr>
        <w:tc>
          <w:tcPr>
            <w:tcW w:w="625" w:type="dxa"/>
            <w:tcBorders>
              <w:top w:val="nil"/>
              <w:left w:val="single" w:sz="4" w:space="0" w:color="auto"/>
              <w:bottom w:val="single" w:sz="4" w:space="0" w:color="auto"/>
              <w:right w:val="single" w:sz="4" w:space="0" w:color="auto"/>
            </w:tcBorders>
            <w:shd w:val="clear" w:color="auto" w:fill="auto"/>
            <w:vAlign w:val="bottom"/>
          </w:tcPr>
          <w:p w14:paraId="39C4C7ED" w14:textId="77777777" w:rsidR="0030048E" w:rsidRPr="007E253F" w:rsidRDefault="0030048E" w:rsidP="009F4ACC">
            <w:pPr>
              <w:spacing w:after="0" w:line="240" w:lineRule="auto"/>
              <w:rPr>
                <w:rFonts w:eastAsia="Times New Roman" w:cs="Times New Roman"/>
                <w:szCs w:val="24"/>
                <w:lang w:eastAsia="es-EC"/>
              </w:rPr>
            </w:pPr>
            <w:r w:rsidRPr="007E253F">
              <w:rPr>
                <w:rFonts w:eastAsia="Times New Roman" w:cs="Times New Roman"/>
                <w:szCs w:val="24"/>
                <w:lang w:eastAsia="es-EC"/>
              </w:rPr>
              <w:t>2015</w:t>
            </w:r>
          </w:p>
        </w:tc>
        <w:tc>
          <w:tcPr>
            <w:tcW w:w="1278" w:type="dxa"/>
            <w:tcBorders>
              <w:top w:val="nil"/>
              <w:left w:val="nil"/>
              <w:bottom w:val="single" w:sz="4" w:space="0" w:color="auto"/>
              <w:right w:val="single" w:sz="4" w:space="0" w:color="auto"/>
            </w:tcBorders>
            <w:shd w:val="clear" w:color="auto" w:fill="auto"/>
            <w:vAlign w:val="bottom"/>
          </w:tcPr>
          <w:p w14:paraId="4D36AC3C"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Cotacachi </w:t>
            </w:r>
          </w:p>
        </w:tc>
        <w:tc>
          <w:tcPr>
            <w:tcW w:w="1665" w:type="dxa"/>
            <w:tcBorders>
              <w:top w:val="nil"/>
              <w:left w:val="nil"/>
              <w:bottom w:val="single" w:sz="4" w:space="0" w:color="auto"/>
              <w:right w:val="single" w:sz="4" w:space="0" w:color="auto"/>
            </w:tcBorders>
            <w:shd w:val="clear" w:color="auto" w:fill="auto"/>
            <w:vAlign w:val="bottom"/>
          </w:tcPr>
          <w:p w14:paraId="457A4B2B"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Imantag</w:t>
            </w:r>
          </w:p>
        </w:tc>
        <w:tc>
          <w:tcPr>
            <w:tcW w:w="1365" w:type="dxa"/>
            <w:tcBorders>
              <w:top w:val="nil"/>
              <w:left w:val="nil"/>
              <w:bottom w:val="single" w:sz="4" w:space="0" w:color="auto"/>
              <w:right w:val="single" w:sz="4" w:space="0" w:color="auto"/>
            </w:tcBorders>
            <w:shd w:val="clear" w:color="auto" w:fill="auto"/>
            <w:vAlign w:val="bottom"/>
          </w:tcPr>
          <w:p w14:paraId="7FA2947F"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 xml:space="preserve">Peribuela </w:t>
            </w:r>
          </w:p>
        </w:tc>
        <w:tc>
          <w:tcPr>
            <w:tcW w:w="2021" w:type="dxa"/>
            <w:tcBorders>
              <w:top w:val="nil"/>
              <w:left w:val="nil"/>
              <w:bottom w:val="single" w:sz="4" w:space="0" w:color="auto"/>
              <w:right w:val="single" w:sz="4" w:space="0" w:color="auto"/>
            </w:tcBorders>
            <w:shd w:val="clear" w:color="auto" w:fill="auto"/>
            <w:vAlign w:val="bottom"/>
          </w:tcPr>
          <w:p w14:paraId="1B27D136"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17N0804864</w:t>
            </w:r>
          </w:p>
          <w:p w14:paraId="6191CEDF" w14:textId="77777777" w:rsidR="0030048E" w:rsidRPr="007E253F" w:rsidRDefault="0030048E" w:rsidP="00E70495">
            <w:pPr>
              <w:spacing w:after="0" w:line="240" w:lineRule="auto"/>
              <w:rPr>
                <w:rFonts w:eastAsia="Calibri" w:cs="Times New Roman"/>
                <w:color w:val="000000"/>
                <w:szCs w:val="24"/>
                <w:lang w:val="es-ES"/>
              </w:rPr>
            </w:pPr>
            <w:r w:rsidRPr="007E253F">
              <w:rPr>
                <w:rFonts w:eastAsia="Calibri" w:cs="Times New Roman"/>
                <w:color w:val="000000"/>
                <w:szCs w:val="24"/>
                <w:lang w:val="es-ES"/>
              </w:rPr>
              <w:t>0042835</w:t>
            </w:r>
          </w:p>
        </w:tc>
        <w:tc>
          <w:tcPr>
            <w:tcW w:w="979" w:type="dxa"/>
            <w:tcBorders>
              <w:top w:val="nil"/>
              <w:left w:val="nil"/>
              <w:bottom w:val="single" w:sz="4" w:space="0" w:color="auto"/>
              <w:right w:val="single" w:sz="4" w:space="0" w:color="auto"/>
            </w:tcBorders>
            <w:shd w:val="clear" w:color="auto" w:fill="auto"/>
            <w:vAlign w:val="bottom"/>
          </w:tcPr>
          <w:p w14:paraId="31BA1B14" w14:textId="77777777" w:rsidR="0030048E" w:rsidRPr="007E253F" w:rsidRDefault="0030048E" w:rsidP="00E70495">
            <w:pPr>
              <w:spacing w:after="0" w:line="240" w:lineRule="auto"/>
              <w:rPr>
                <w:rFonts w:eastAsia="Times New Roman" w:cs="Times New Roman"/>
                <w:szCs w:val="24"/>
                <w:lang w:eastAsia="es-EC"/>
              </w:rPr>
            </w:pPr>
            <w:r w:rsidRPr="007E253F">
              <w:rPr>
                <w:rFonts w:eastAsia="Times New Roman" w:cs="Times New Roman"/>
                <w:szCs w:val="24"/>
                <w:lang w:eastAsia="es-EC"/>
              </w:rPr>
              <w:t>2434</w:t>
            </w:r>
          </w:p>
        </w:tc>
      </w:tr>
    </w:tbl>
    <w:p w14:paraId="49A5D8C8" w14:textId="709E3656" w:rsidR="009F4ACC" w:rsidRDefault="0030048E" w:rsidP="00E70495">
      <w:pPr>
        <w:spacing w:after="360" w:line="360" w:lineRule="auto"/>
        <w:rPr>
          <w:rFonts w:cs="Times New Roman"/>
          <w:sz w:val="20"/>
          <w:szCs w:val="20"/>
        </w:rPr>
      </w:pPr>
      <w:r w:rsidRPr="009F4ACC">
        <w:rPr>
          <w:rFonts w:cs="Times New Roman"/>
          <w:b/>
          <w:sz w:val="20"/>
          <w:szCs w:val="20"/>
        </w:rPr>
        <w:t>Fuente:</w:t>
      </w:r>
      <w:r w:rsidRPr="009F4ACC">
        <w:rPr>
          <w:rFonts w:cs="Times New Roman"/>
          <w:sz w:val="20"/>
          <w:szCs w:val="20"/>
        </w:rPr>
        <w:t xml:space="preserve"> MNSE</w:t>
      </w:r>
    </w:p>
    <w:p w14:paraId="595107FF" w14:textId="4F869C8A" w:rsidR="0030048E" w:rsidRDefault="00F67B88" w:rsidP="000639DD">
      <w:pPr>
        <w:pStyle w:val="Ttulo3"/>
        <w:spacing w:before="360" w:after="0"/>
        <w:rPr>
          <w:rFonts w:eastAsia="Times New Roman"/>
        </w:rPr>
      </w:pPr>
      <w:bookmarkStart w:id="1053" w:name="_Toc72741133"/>
      <w:bookmarkStart w:id="1054" w:name="_Toc72741931"/>
      <w:bookmarkStart w:id="1055" w:name="_Toc72742729"/>
      <w:bookmarkStart w:id="1056" w:name="_Toc72881481"/>
      <w:bookmarkStart w:id="1057" w:name="_Toc72882563"/>
      <w:bookmarkStart w:id="1058" w:name="_Toc75608908"/>
      <w:bookmarkStart w:id="1059" w:name="_Toc75611834"/>
      <w:bookmarkStart w:id="1060" w:name="_Toc75612680"/>
      <w:bookmarkStart w:id="1061" w:name="_Toc75679835"/>
      <w:bookmarkStart w:id="1062" w:name="_Toc75702443"/>
      <w:bookmarkStart w:id="1063" w:name="_Toc80312288"/>
      <w:r>
        <w:rPr>
          <w:rFonts w:eastAsia="Times New Roman"/>
        </w:rPr>
        <w:lastRenderedPageBreak/>
        <w:t xml:space="preserve">Situación </w:t>
      </w:r>
      <w:r w:rsidR="0030048E" w:rsidRPr="007E253F">
        <w:rPr>
          <w:rFonts w:eastAsia="Times New Roman"/>
        </w:rPr>
        <w:t>climática</w:t>
      </w:r>
      <w:bookmarkEnd w:id="1053"/>
      <w:bookmarkEnd w:id="1054"/>
      <w:bookmarkEnd w:id="1055"/>
      <w:bookmarkEnd w:id="1056"/>
      <w:bookmarkEnd w:id="1057"/>
      <w:bookmarkEnd w:id="1058"/>
      <w:bookmarkEnd w:id="1059"/>
      <w:bookmarkEnd w:id="1060"/>
      <w:bookmarkEnd w:id="1061"/>
      <w:bookmarkEnd w:id="1062"/>
      <w:bookmarkEnd w:id="1063"/>
    </w:p>
    <w:p w14:paraId="0B9CE9B2" w14:textId="591DDFF4" w:rsidR="00C26AF2" w:rsidRDefault="00C26AF2" w:rsidP="000639DD">
      <w:pPr>
        <w:pStyle w:val="Descripcin"/>
        <w:keepNext/>
        <w:spacing w:before="360"/>
      </w:pPr>
      <w:bookmarkStart w:id="1064" w:name="_Toc79314003"/>
      <w:r w:rsidRPr="00C26AF2">
        <w:rPr>
          <w:rFonts w:eastAsia="Calibri" w:cs="Times New Roman"/>
          <w:b/>
          <w:i w:val="0"/>
          <w:iCs w:val="0"/>
          <w:color w:val="auto"/>
          <w:sz w:val="24"/>
          <w:szCs w:val="24"/>
          <w:lang w:val="es-ES" w:eastAsia="en-US"/>
        </w:rPr>
        <w:t xml:space="preserve">Cuadro </w:t>
      </w:r>
      <w:r w:rsidRPr="00C26AF2">
        <w:rPr>
          <w:rFonts w:eastAsia="Calibri" w:cs="Times New Roman"/>
          <w:b/>
          <w:i w:val="0"/>
          <w:iCs w:val="0"/>
          <w:color w:val="auto"/>
          <w:sz w:val="24"/>
          <w:szCs w:val="24"/>
          <w:lang w:val="es-ES" w:eastAsia="en-US"/>
        </w:rPr>
        <w:fldChar w:fldCharType="begin"/>
      </w:r>
      <w:r w:rsidRPr="00C26AF2">
        <w:rPr>
          <w:rFonts w:eastAsia="Calibri" w:cs="Times New Roman"/>
          <w:b/>
          <w:i w:val="0"/>
          <w:iCs w:val="0"/>
          <w:color w:val="auto"/>
          <w:sz w:val="24"/>
          <w:szCs w:val="24"/>
          <w:lang w:val="es-ES" w:eastAsia="en-US"/>
        </w:rPr>
        <w:instrText xml:space="preserve"> SEQ Cuadro \* ARABIC </w:instrText>
      </w:r>
      <w:r w:rsidRPr="00C26AF2">
        <w:rPr>
          <w:rFonts w:eastAsia="Calibri" w:cs="Times New Roman"/>
          <w:b/>
          <w:i w:val="0"/>
          <w:iCs w:val="0"/>
          <w:color w:val="auto"/>
          <w:sz w:val="24"/>
          <w:szCs w:val="24"/>
          <w:lang w:val="es-ES" w:eastAsia="en-US"/>
        </w:rPr>
        <w:fldChar w:fldCharType="separate"/>
      </w:r>
      <w:r w:rsidR="000D1F55">
        <w:rPr>
          <w:rFonts w:eastAsia="Calibri" w:cs="Times New Roman"/>
          <w:b/>
          <w:i w:val="0"/>
          <w:iCs w:val="0"/>
          <w:noProof/>
          <w:color w:val="auto"/>
          <w:sz w:val="24"/>
          <w:szCs w:val="24"/>
          <w:lang w:val="es-ES" w:eastAsia="en-US"/>
        </w:rPr>
        <w:t>11</w:t>
      </w:r>
      <w:r w:rsidRPr="00C26AF2">
        <w:rPr>
          <w:rFonts w:eastAsia="Calibri" w:cs="Times New Roman"/>
          <w:b/>
          <w:i w:val="0"/>
          <w:iCs w:val="0"/>
          <w:color w:val="auto"/>
          <w:sz w:val="24"/>
          <w:szCs w:val="24"/>
          <w:lang w:val="es-ES" w:eastAsia="en-US"/>
        </w:rPr>
        <w:fldChar w:fldCharType="end"/>
      </w:r>
      <w:r w:rsidRPr="00C26AF2">
        <w:rPr>
          <w:rFonts w:eastAsia="Calibri" w:cs="Times New Roman"/>
          <w:b/>
          <w:i w:val="0"/>
          <w:iCs w:val="0"/>
          <w:color w:val="auto"/>
          <w:sz w:val="24"/>
          <w:szCs w:val="24"/>
          <w:lang w:val="es-ES" w:eastAsia="en-US"/>
        </w:rPr>
        <w:t>.</w:t>
      </w:r>
      <w:r w:rsidRPr="00C26AF2">
        <w:rPr>
          <w:rFonts w:eastAsia="Calibri" w:cs="Times New Roman"/>
          <w:i w:val="0"/>
          <w:iCs w:val="0"/>
          <w:color w:val="auto"/>
          <w:sz w:val="24"/>
          <w:szCs w:val="24"/>
          <w:lang w:val="es-ES" w:eastAsia="en-US"/>
        </w:rPr>
        <w:t xml:space="preserve"> Condiciones climáticas de las provincias en donde se realizó el experimento.</w:t>
      </w:r>
      <w:bookmarkEnd w:id="1064"/>
    </w:p>
    <w:tbl>
      <w:tblPr>
        <w:tblStyle w:val="Tablaconcuadrcula1"/>
        <w:tblW w:w="0" w:type="auto"/>
        <w:jc w:val="center"/>
        <w:tblLook w:val="04A0" w:firstRow="1" w:lastRow="0" w:firstColumn="1" w:lastColumn="0" w:noHBand="0" w:noVBand="1"/>
      </w:tblPr>
      <w:tblGrid>
        <w:gridCol w:w="2405"/>
        <w:gridCol w:w="1558"/>
        <w:gridCol w:w="1982"/>
        <w:gridCol w:w="1982"/>
      </w:tblGrid>
      <w:tr w:rsidR="0030048E" w:rsidRPr="007E253F" w14:paraId="7BDDF6CF" w14:textId="77777777" w:rsidTr="003D266E">
        <w:trPr>
          <w:jc w:val="center"/>
        </w:trPr>
        <w:tc>
          <w:tcPr>
            <w:tcW w:w="2405" w:type="dxa"/>
          </w:tcPr>
          <w:p w14:paraId="14ACAE10" w14:textId="77777777" w:rsidR="0030048E" w:rsidRPr="007E253F" w:rsidRDefault="0030048E" w:rsidP="000639DD">
            <w:pPr>
              <w:rPr>
                <w:rFonts w:eastAsia="Calibri" w:cs="Times New Roman"/>
                <w:szCs w:val="24"/>
              </w:rPr>
            </w:pPr>
          </w:p>
        </w:tc>
        <w:tc>
          <w:tcPr>
            <w:tcW w:w="1558" w:type="dxa"/>
          </w:tcPr>
          <w:p w14:paraId="3F9E48EB" w14:textId="77777777" w:rsidR="0030048E" w:rsidRPr="007E253F" w:rsidRDefault="0030048E" w:rsidP="000639DD">
            <w:pPr>
              <w:rPr>
                <w:rFonts w:eastAsia="Calibri" w:cs="Times New Roman"/>
                <w:szCs w:val="24"/>
              </w:rPr>
            </w:pPr>
            <w:r w:rsidRPr="007E253F">
              <w:rPr>
                <w:rFonts w:eastAsia="Calibri" w:cs="Times New Roman"/>
                <w:b/>
                <w:bCs/>
                <w:szCs w:val="24"/>
              </w:rPr>
              <w:t>Bolívar</w:t>
            </w:r>
          </w:p>
        </w:tc>
        <w:tc>
          <w:tcPr>
            <w:tcW w:w="1982" w:type="dxa"/>
          </w:tcPr>
          <w:p w14:paraId="3660468C" w14:textId="77777777" w:rsidR="0030048E" w:rsidRPr="007E253F" w:rsidRDefault="0030048E" w:rsidP="000639DD">
            <w:pPr>
              <w:rPr>
                <w:rFonts w:eastAsia="Calibri" w:cs="Times New Roman"/>
                <w:szCs w:val="24"/>
              </w:rPr>
            </w:pPr>
            <w:r w:rsidRPr="007E253F">
              <w:rPr>
                <w:rFonts w:eastAsia="Calibri" w:cs="Times New Roman"/>
                <w:b/>
                <w:bCs/>
                <w:szCs w:val="24"/>
              </w:rPr>
              <w:t>Chimborazo</w:t>
            </w:r>
          </w:p>
        </w:tc>
        <w:tc>
          <w:tcPr>
            <w:tcW w:w="1982" w:type="dxa"/>
          </w:tcPr>
          <w:p w14:paraId="267F4745" w14:textId="77777777" w:rsidR="0030048E" w:rsidRPr="007E253F" w:rsidRDefault="0030048E" w:rsidP="000639DD">
            <w:pPr>
              <w:rPr>
                <w:rFonts w:eastAsia="Calibri" w:cs="Times New Roman"/>
                <w:szCs w:val="24"/>
              </w:rPr>
            </w:pPr>
            <w:r w:rsidRPr="007E253F">
              <w:rPr>
                <w:rFonts w:eastAsia="Calibri" w:cs="Times New Roman"/>
                <w:b/>
                <w:bCs/>
                <w:szCs w:val="24"/>
              </w:rPr>
              <w:t>Imbabura</w:t>
            </w:r>
          </w:p>
        </w:tc>
      </w:tr>
      <w:tr w:rsidR="0030048E" w:rsidRPr="007E253F" w14:paraId="79FB658D" w14:textId="77777777" w:rsidTr="003D266E">
        <w:trPr>
          <w:jc w:val="center"/>
        </w:trPr>
        <w:tc>
          <w:tcPr>
            <w:tcW w:w="2405" w:type="dxa"/>
          </w:tcPr>
          <w:p w14:paraId="0D524DC0" w14:textId="77777777" w:rsidR="0030048E" w:rsidRPr="007E253F" w:rsidRDefault="0030048E" w:rsidP="000639DD">
            <w:pPr>
              <w:rPr>
                <w:rFonts w:eastAsia="Calibri" w:cs="Times New Roman"/>
                <w:b/>
                <w:bCs/>
                <w:szCs w:val="24"/>
              </w:rPr>
            </w:pPr>
            <w:r w:rsidRPr="007E253F">
              <w:rPr>
                <w:rFonts w:eastAsia="Calibri" w:cs="Times New Roman"/>
                <w:b/>
                <w:bCs/>
                <w:szCs w:val="24"/>
              </w:rPr>
              <w:t>Precipitación anual</w:t>
            </w:r>
          </w:p>
        </w:tc>
        <w:tc>
          <w:tcPr>
            <w:tcW w:w="1558" w:type="dxa"/>
          </w:tcPr>
          <w:p w14:paraId="297D7D9E" w14:textId="77777777" w:rsidR="0030048E" w:rsidRPr="007E253F" w:rsidRDefault="0030048E" w:rsidP="000639DD">
            <w:pPr>
              <w:rPr>
                <w:rFonts w:eastAsia="Calibri" w:cs="Times New Roman"/>
                <w:szCs w:val="24"/>
              </w:rPr>
            </w:pPr>
            <w:r w:rsidRPr="007E253F">
              <w:rPr>
                <w:rFonts w:eastAsia="Calibri" w:cs="Times New Roman"/>
                <w:szCs w:val="24"/>
              </w:rPr>
              <w:t>980 mm</w:t>
            </w:r>
          </w:p>
        </w:tc>
        <w:tc>
          <w:tcPr>
            <w:tcW w:w="1982" w:type="dxa"/>
          </w:tcPr>
          <w:p w14:paraId="4E48D916" w14:textId="77777777" w:rsidR="0030048E" w:rsidRPr="007E253F" w:rsidRDefault="0030048E" w:rsidP="000639DD">
            <w:pPr>
              <w:rPr>
                <w:rFonts w:eastAsia="Calibri" w:cs="Times New Roman"/>
                <w:szCs w:val="24"/>
              </w:rPr>
            </w:pPr>
            <w:r w:rsidRPr="007E253F">
              <w:rPr>
                <w:rFonts w:eastAsia="Calibri" w:cs="Times New Roman"/>
                <w:szCs w:val="24"/>
              </w:rPr>
              <w:t>475 mm</w:t>
            </w:r>
          </w:p>
        </w:tc>
        <w:tc>
          <w:tcPr>
            <w:tcW w:w="1982" w:type="dxa"/>
          </w:tcPr>
          <w:p w14:paraId="5BBCEDCB" w14:textId="77777777" w:rsidR="0030048E" w:rsidRPr="007E253F" w:rsidRDefault="0030048E" w:rsidP="000639DD">
            <w:pPr>
              <w:rPr>
                <w:rFonts w:eastAsia="Calibri" w:cs="Times New Roman"/>
                <w:szCs w:val="24"/>
              </w:rPr>
            </w:pPr>
            <w:r w:rsidRPr="007E253F">
              <w:rPr>
                <w:rFonts w:eastAsia="Calibri" w:cs="Times New Roman"/>
                <w:szCs w:val="24"/>
              </w:rPr>
              <w:t>850 mm</w:t>
            </w:r>
          </w:p>
        </w:tc>
      </w:tr>
      <w:tr w:rsidR="0030048E" w:rsidRPr="007E253F" w14:paraId="14EF4C60" w14:textId="77777777" w:rsidTr="003D266E">
        <w:trPr>
          <w:jc w:val="center"/>
        </w:trPr>
        <w:tc>
          <w:tcPr>
            <w:tcW w:w="2405" w:type="dxa"/>
          </w:tcPr>
          <w:p w14:paraId="3C73C623" w14:textId="77777777" w:rsidR="0030048E" w:rsidRPr="007E253F" w:rsidRDefault="0030048E" w:rsidP="000639DD">
            <w:pPr>
              <w:rPr>
                <w:rFonts w:eastAsia="Calibri" w:cs="Times New Roman"/>
                <w:b/>
                <w:bCs/>
                <w:szCs w:val="24"/>
              </w:rPr>
            </w:pPr>
            <w:r w:rsidRPr="007E253F">
              <w:rPr>
                <w:rFonts w:eastAsia="Calibri" w:cs="Times New Roman"/>
                <w:b/>
                <w:bCs/>
                <w:szCs w:val="24"/>
              </w:rPr>
              <w:t>Horas luz</w:t>
            </w:r>
          </w:p>
        </w:tc>
        <w:tc>
          <w:tcPr>
            <w:tcW w:w="1558" w:type="dxa"/>
          </w:tcPr>
          <w:p w14:paraId="4085068E" w14:textId="77777777" w:rsidR="0030048E" w:rsidRPr="007E253F" w:rsidRDefault="0030048E" w:rsidP="000639DD">
            <w:pPr>
              <w:rPr>
                <w:rFonts w:eastAsia="Calibri" w:cs="Times New Roman"/>
                <w:szCs w:val="24"/>
              </w:rPr>
            </w:pPr>
            <w:r w:rsidRPr="007E253F">
              <w:rPr>
                <w:rFonts w:eastAsia="Calibri" w:cs="Times New Roman"/>
                <w:szCs w:val="24"/>
              </w:rPr>
              <w:t>900/h/l/año</w:t>
            </w:r>
          </w:p>
        </w:tc>
        <w:tc>
          <w:tcPr>
            <w:tcW w:w="1982" w:type="dxa"/>
          </w:tcPr>
          <w:p w14:paraId="4A594742" w14:textId="77777777" w:rsidR="0030048E" w:rsidRPr="007E253F" w:rsidRDefault="0030048E" w:rsidP="000639DD">
            <w:pPr>
              <w:rPr>
                <w:rFonts w:eastAsia="Calibri" w:cs="Times New Roman"/>
                <w:szCs w:val="24"/>
              </w:rPr>
            </w:pPr>
            <w:r w:rsidRPr="007E253F">
              <w:rPr>
                <w:rFonts w:eastAsia="Calibri" w:cs="Times New Roman"/>
                <w:szCs w:val="24"/>
              </w:rPr>
              <w:t>1784/h/l/año</w:t>
            </w:r>
          </w:p>
        </w:tc>
        <w:tc>
          <w:tcPr>
            <w:tcW w:w="1982" w:type="dxa"/>
          </w:tcPr>
          <w:p w14:paraId="5E0F885D" w14:textId="77777777" w:rsidR="0030048E" w:rsidRPr="007E253F" w:rsidRDefault="0030048E" w:rsidP="000639DD">
            <w:pPr>
              <w:rPr>
                <w:rFonts w:eastAsia="Calibri" w:cs="Times New Roman"/>
                <w:szCs w:val="24"/>
              </w:rPr>
            </w:pPr>
            <w:r w:rsidRPr="007E253F">
              <w:rPr>
                <w:rFonts w:eastAsia="Calibri" w:cs="Times New Roman"/>
                <w:szCs w:val="24"/>
              </w:rPr>
              <w:t>778/h/l/año</w:t>
            </w:r>
          </w:p>
        </w:tc>
      </w:tr>
      <w:tr w:rsidR="0030048E" w:rsidRPr="007E253F" w14:paraId="3899B3BB" w14:textId="77777777" w:rsidTr="003D266E">
        <w:trPr>
          <w:jc w:val="center"/>
        </w:trPr>
        <w:tc>
          <w:tcPr>
            <w:tcW w:w="2405" w:type="dxa"/>
          </w:tcPr>
          <w:p w14:paraId="3B51CAA1" w14:textId="77777777" w:rsidR="0030048E" w:rsidRPr="007E253F" w:rsidRDefault="0030048E" w:rsidP="000639DD">
            <w:pPr>
              <w:rPr>
                <w:rFonts w:eastAsia="Calibri" w:cs="Times New Roman"/>
                <w:b/>
                <w:bCs/>
                <w:szCs w:val="24"/>
              </w:rPr>
            </w:pPr>
            <w:r w:rsidRPr="007E253F">
              <w:rPr>
                <w:rFonts w:eastAsia="Calibri" w:cs="Times New Roman"/>
                <w:b/>
                <w:bCs/>
                <w:szCs w:val="24"/>
              </w:rPr>
              <w:t>Tem. Media anual</w:t>
            </w:r>
          </w:p>
        </w:tc>
        <w:tc>
          <w:tcPr>
            <w:tcW w:w="1558" w:type="dxa"/>
          </w:tcPr>
          <w:p w14:paraId="4BD74E77" w14:textId="77777777" w:rsidR="0030048E" w:rsidRPr="007E253F" w:rsidRDefault="0030048E" w:rsidP="000639DD">
            <w:pPr>
              <w:rPr>
                <w:rFonts w:eastAsia="Calibri" w:cs="Times New Roman"/>
                <w:szCs w:val="24"/>
              </w:rPr>
            </w:pPr>
            <w:r w:rsidRPr="007E253F">
              <w:rPr>
                <w:rFonts w:eastAsia="Calibri" w:cs="Times New Roman"/>
                <w:szCs w:val="24"/>
              </w:rPr>
              <w:t>14,4 °C</w:t>
            </w:r>
          </w:p>
        </w:tc>
        <w:tc>
          <w:tcPr>
            <w:tcW w:w="1982" w:type="dxa"/>
          </w:tcPr>
          <w:p w14:paraId="1DEA0C1D" w14:textId="77777777" w:rsidR="0030048E" w:rsidRPr="007E253F" w:rsidRDefault="0030048E" w:rsidP="000639DD">
            <w:pPr>
              <w:rPr>
                <w:rFonts w:eastAsia="Calibri" w:cs="Times New Roman"/>
                <w:szCs w:val="24"/>
              </w:rPr>
            </w:pPr>
            <w:r w:rsidRPr="007E253F">
              <w:rPr>
                <w:rFonts w:eastAsia="Calibri" w:cs="Times New Roman"/>
                <w:szCs w:val="24"/>
              </w:rPr>
              <w:t>13,0°C</w:t>
            </w:r>
          </w:p>
        </w:tc>
        <w:tc>
          <w:tcPr>
            <w:tcW w:w="1982" w:type="dxa"/>
          </w:tcPr>
          <w:p w14:paraId="36DF890E" w14:textId="77777777" w:rsidR="0030048E" w:rsidRPr="007E253F" w:rsidRDefault="0030048E" w:rsidP="000639DD">
            <w:pPr>
              <w:rPr>
                <w:rFonts w:eastAsia="Calibri" w:cs="Times New Roman"/>
                <w:szCs w:val="24"/>
              </w:rPr>
            </w:pPr>
            <w:r w:rsidRPr="007E253F">
              <w:rPr>
                <w:rFonts w:eastAsia="Calibri" w:cs="Times New Roman"/>
                <w:szCs w:val="24"/>
              </w:rPr>
              <w:t xml:space="preserve">16,3 </w:t>
            </w:r>
            <w:r w:rsidRPr="007E253F">
              <w:rPr>
                <w:rFonts w:eastAsia="Calibri" w:cs="Times New Roman"/>
                <w:szCs w:val="24"/>
                <w:vertAlign w:val="superscript"/>
              </w:rPr>
              <w:t>0</w:t>
            </w:r>
            <w:r w:rsidRPr="007E253F">
              <w:rPr>
                <w:rFonts w:eastAsia="Calibri" w:cs="Times New Roman"/>
                <w:szCs w:val="24"/>
              </w:rPr>
              <w:t>C</w:t>
            </w:r>
          </w:p>
        </w:tc>
      </w:tr>
    </w:tbl>
    <w:p w14:paraId="7B90D802" w14:textId="439545EC" w:rsidR="0030048E" w:rsidRPr="009D6115" w:rsidRDefault="00C26AF2" w:rsidP="000639DD">
      <w:pPr>
        <w:spacing w:line="240" w:lineRule="auto"/>
        <w:rPr>
          <w:rFonts w:eastAsia="Calibri" w:cs="Times New Roman"/>
          <w:sz w:val="20"/>
          <w:szCs w:val="20"/>
          <w:lang w:val="es-ES"/>
        </w:rPr>
      </w:pPr>
      <w:r w:rsidRPr="009D6115">
        <w:rPr>
          <w:rFonts w:eastAsia="Calibri" w:cs="Times New Roman"/>
          <w:b/>
          <w:sz w:val="20"/>
          <w:szCs w:val="20"/>
          <w:lang w:val="es-ES"/>
        </w:rPr>
        <w:t xml:space="preserve">       </w:t>
      </w:r>
      <w:r w:rsidR="0030048E" w:rsidRPr="009D6115">
        <w:rPr>
          <w:rFonts w:eastAsia="Calibri" w:cs="Times New Roman"/>
          <w:b/>
          <w:sz w:val="20"/>
          <w:szCs w:val="20"/>
          <w:lang w:val="es-ES"/>
        </w:rPr>
        <w:t>FUENTE:</w:t>
      </w:r>
      <w:r w:rsidR="0030048E" w:rsidRPr="009D6115">
        <w:rPr>
          <w:rFonts w:eastAsia="Calibri" w:cs="Times New Roman"/>
          <w:sz w:val="20"/>
          <w:szCs w:val="20"/>
          <w:lang w:val="es-ES"/>
        </w:rPr>
        <w:t xml:space="preserve"> </w:t>
      </w:r>
      <w:sdt>
        <w:sdtPr>
          <w:rPr>
            <w:rFonts w:eastAsia="Calibri" w:cs="Times New Roman"/>
            <w:sz w:val="20"/>
            <w:szCs w:val="20"/>
            <w:lang w:val="es-ES"/>
          </w:rPr>
          <w:id w:val="-1413923867"/>
          <w:citation/>
        </w:sdtPr>
        <w:sdtEndPr/>
        <w:sdtContent>
          <w:r w:rsidR="00652401" w:rsidRPr="009D6115">
            <w:rPr>
              <w:rFonts w:eastAsia="Calibri" w:cs="Times New Roman"/>
              <w:sz w:val="20"/>
              <w:szCs w:val="20"/>
              <w:lang w:val="es-ES"/>
            </w:rPr>
            <w:fldChar w:fldCharType="begin"/>
          </w:r>
          <w:r w:rsidR="00652401" w:rsidRPr="009D6115">
            <w:rPr>
              <w:rFonts w:eastAsia="Calibri" w:cs="Times New Roman"/>
              <w:sz w:val="20"/>
              <w:szCs w:val="20"/>
              <w:lang w:val="es-MX"/>
            </w:rPr>
            <w:instrText xml:space="preserve"> CITATION INI \l 2058 </w:instrText>
          </w:r>
          <w:r w:rsidR="00652401" w:rsidRPr="009D6115">
            <w:rPr>
              <w:rFonts w:eastAsia="Calibri" w:cs="Times New Roman"/>
              <w:sz w:val="20"/>
              <w:szCs w:val="20"/>
              <w:lang w:val="es-ES"/>
            </w:rPr>
            <w:fldChar w:fldCharType="separate"/>
          </w:r>
          <w:r w:rsidR="005106B9" w:rsidRPr="005106B9">
            <w:rPr>
              <w:rFonts w:eastAsia="Calibri" w:cs="Times New Roman"/>
              <w:noProof/>
              <w:sz w:val="20"/>
              <w:szCs w:val="20"/>
              <w:lang w:val="es-MX"/>
            </w:rPr>
            <w:t>(INIAP s. , s.f.)</w:t>
          </w:r>
          <w:r w:rsidR="00652401" w:rsidRPr="009D6115">
            <w:rPr>
              <w:rFonts w:eastAsia="Calibri" w:cs="Times New Roman"/>
              <w:sz w:val="20"/>
              <w:szCs w:val="20"/>
              <w:lang w:val="es-ES"/>
            </w:rPr>
            <w:fldChar w:fldCharType="end"/>
          </w:r>
        </w:sdtContent>
      </w:sdt>
    </w:p>
    <w:p w14:paraId="7EBBC513" w14:textId="379D6D88" w:rsidR="0030048E" w:rsidRPr="007E253F" w:rsidRDefault="0030048E" w:rsidP="000639DD">
      <w:pPr>
        <w:pStyle w:val="Ttulo3"/>
        <w:spacing w:before="360" w:after="360"/>
        <w:rPr>
          <w:rFonts w:eastAsia="Times New Roman"/>
          <w:b w:val="0"/>
          <w:bCs w:val="0"/>
        </w:rPr>
      </w:pPr>
      <w:bookmarkStart w:id="1065" w:name="_Toc72741135"/>
      <w:bookmarkStart w:id="1066" w:name="_Toc72741933"/>
      <w:bookmarkStart w:id="1067" w:name="_Toc72742731"/>
      <w:bookmarkStart w:id="1068" w:name="_Toc72881483"/>
      <w:bookmarkStart w:id="1069" w:name="_Toc72882565"/>
      <w:bookmarkStart w:id="1070" w:name="_Toc75608910"/>
      <w:bookmarkStart w:id="1071" w:name="_Toc75611836"/>
      <w:bookmarkStart w:id="1072" w:name="_Toc75612682"/>
      <w:bookmarkStart w:id="1073" w:name="_Toc75679837"/>
      <w:bookmarkStart w:id="1074" w:name="_Toc75702445"/>
      <w:bookmarkStart w:id="1075" w:name="_Toc80312289"/>
      <w:r w:rsidRPr="007E253F">
        <w:rPr>
          <w:rFonts w:eastAsia="Times New Roman"/>
        </w:rPr>
        <w:t>Material experimental</w:t>
      </w:r>
      <w:bookmarkEnd w:id="1065"/>
      <w:bookmarkEnd w:id="1066"/>
      <w:bookmarkEnd w:id="1067"/>
      <w:bookmarkEnd w:id="1068"/>
      <w:bookmarkEnd w:id="1069"/>
      <w:bookmarkEnd w:id="1070"/>
      <w:bookmarkEnd w:id="1071"/>
      <w:bookmarkEnd w:id="1072"/>
      <w:bookmarkEnd w:id="1073"/>
      <w:bookmarkEnd w:id="1074"/>
      <w:bookmarkEnd w:id="1075"/>
    </w:p>
    <w:p w14:paraId="04846FF4" w14:textId="7BDF32C5" w:rsidR="00C0270A" w:rsidRPr="007E253F" w:rsidRDefault="0030048E" w:rsidP="00C0270A">
      <w:pPr>
        <w:spacing w:line="360" w:lineRule="auto"/>
        <w:rPr>
          <w:rFonts w:eastAsia="Calibri" w:cs="Times New Roman"/>
          <w:szCs w:val="24"/>
          <w:lang w:val="es-ES"/>
        </w:rPr>
      </w:pPr>
      <w:r w:rsidRPr="007E253F">
        <w:rPr>
          <w:rFonts w:eastAsia="Calibri" w:cs="Times New Roman"/>
          <w:szCs w:val="24"/>
          <w:lang w:val="es-ES"/>
        </w:rPr>
        <w:t>Base de datos de ensayos de maíz del Departamento Nacional de Manejo de Suelos y Aguas de la Estación Experimental Santa Catalina del Instituto Nacional de Investigaciones Agropecuarias (INIA</w:t>
      </w:r>
      <w:r w:rsidR="0010261A">
        <w:rPr>
          <w:rFonts w:eastAsia="Calibri" w:cs="Times New Roman"/>
          <w:szCs w:val="24"/>
          <w:lang w:val="es-ES"/>
        </w:rPr>
        <w:t>P</w:t>
      </w:r>
      <w:r w:rsidRPr="007E253F">
        <w:rPr>
          <w:rFonts w:eastAsia="Calibri" w:cs="Times New Roman"/>
          <w:szCs w:val="24"/>
          <w:lang w:val="es-ES"/>
        </w:rPr>
        <w:t>) en las provincias de: Bolívar, Chimborazo, Imbabura. La base de datos contenía 26 archivos Excel</w:t>
      </w:r>
      <w:r w:rsidR="00C0270A" w:rsidRPr="007E253F">
        <w:rPr>
          <w:rFonts w:eastAsia="Calibri" w:cs="Times New Roman"/>
          <w:szCs w:val="24"/>
          <w:lang w:val="es-ES"/>
        </w:rPr>
        <w:t xml:space="preserve"> de ensayos de maíz con MNSE.</w:t>
      </w:r>
    </w:p>
    <w:p w14:paraId="67C79577" w14:textId="706CF4DE" w:rsidR="00C0270A" w:rsidRPr="007E253F" w:rsidRDefault="00C0270A" w:rsidP="000639DD">
      <w:pPr>
        <w:pStyle w:val="Ttulo3"/>
        <w:spacing w:before="360" w:after="360"/>
        <w:rPr>
          <w:rFonts w:eastAsia="Calibri"/>
        </w:rPr>
      </w:pPr>
      <w:bookmarkStart w:id="1076" w:name="_Toc72741136"/>
      <w:bookmarkStart w:id="1077" w:name="_Toc72741934"/>
      <w:bookmarkStart w:id="1078" w:name="_Toc72742732"/>
      <w:bookmarkStart w:id="1079" w:name="_Toc72881484"/>
      <w:bookmarkStart w:id="1080" w:name="_Toc72882566"/>
      <w:bookmarkStart w:id="1081" w:name="_Toc75608911"/>
      <w:bookmarkStart w:id="1082" w:name="_Toc75611837"/>
      <w:bookmarkStart w:id="1083" w:name="_Toc75612683"/>
      <w:bookmarkStart w:id="1084" w:name="_Toc75679838"/>
      <w:bookmarkStart w:id="1085" w:name="_Toc75702446"/>
      <w:bookmarkStart w:id="1086" w:name="_Toc80312290"/>
      <w:r w:rsidRPr="007E253F">
        <w:rPr>
          <w:rFonts w:eastAsia="Times New Roman"/>
        </w:rPr>
        <w:t>Material de oficina</w:t>
      </w:r>
      <w:bookmarkEnd w:id="1076"/>
      <w:bookmarkEnd w:id="1077"/>
      <w:bookmarkEnd w:id="1078"/>
      <w:bookmarkEnd w:id="1079"/>
      <w:bookmarkEnd w:id="1080"/>
      <w:bookmarkEnd w:id="1081"/>
      <w:bookmarkEnd w:id="1082"/>
      <w:bookmarkEnd w:id="1083"/>
      <w:bookmarkEnd w:id="1084"/>
      <w:bookmarkEnd w:id="1085"/>
      <w:bookmarkEnd w:id="1086"/>
      <w:r w:rsidRPr="007E253F">
        <w:rPr>
          <w:rFonts w:eastAsia="Times New Roman"/>
        </w:rPr>
        <w:t xml:space="preserve"> </w:t>
      </w:r>
    </w:p>
    <w:p w14:paraId="6EBDEE6A" w14:textId="77777777" w:rsidR="00C0270A" w:rsidRPr="007E253F" w:rsidRDefault="00C0270A" w:rsidP="00135DE8">
      <w:pPr>
        <w:pStyle w:val="Prrafodelista"/>
        <w:numPr>
          <w:ilvl w:val="0"/>
          <w:numId w:val="14"/>
        </w:numPr>
        <w:spacing w:before="360" w:after="360"/>
        <w:rPr>
          <w:lang w:eastAsia="es-ES"/>
        </w:rPr>
      </w:pPr>
      <w:bookmarkStart w:id="1087" w:name="_Toc72703964"/>
      <w:bookmarkStart w:id="1088" w:name="_Toc72704488"/>
      <w:bookmarkStart w:id="1089" w:name="_Toc72705548"/>
      <w:bookmarkStart w:id="1090" w:name="_Toc72706187"/>
      <w:bookmarkStart w:id="1091" w:name="_Toc72741137"/>
      <w:bookmarkStart w:id="1092" w:name="_Toc72741935"/>
      <w:bookmarkStart w:id="1093" w:name="_Toc72742733"/>
      <w:r w:rsidRPr="007E253F">
        <w:rPr>
          <w:lang w:eastAsia="es-ES"/>
        </w:rPr>
        <w:t>Laptop</w:t>
      </w:r>
      <w:bookmarkEnd w:id="1087"/>
      <w:bookmarkEnd w:id="1088"/>
      <w:bookmarkEnd w:id="1089"/>
      <w:bookmarkEnd w:id="1090"/>
      <w:bookmarkEnd w:id="1091"/>
      <w:bookmarkEnd w:id="1092"/>
      <w:bookmarkEnd w:id="1093"/>
    </w:p>
    <w:p w14:paraId="07703FD6" w14:textId="77777777" w:rsidR="00C0270A" w:rsidRPr="007E253F" w:rsidRDefault="00C0270A" w:rsidP="00135DE8">
      <w:pPr>
        <w:pStyle w:val="Prrafodelista"/>
        <w:numPr>
          <w:ilvl w:val="0"/>
          <w:numId w:val="14"/>
        </w:numPr>
        <w:spacing w:before="360" w:after="360"/>
        <w:rPr>
          <w:lang w:eastAsia="es-ES"/>
        </w:rPr>
      </w:pPr>
      <w:bookmarkStart w:id="1094" w:name="_Toc72703965"/>
      <w:bookmarkStart w:id="1095" w:name="_Toc72704489"/>
      <w:bookmarkStart w:id="1096" w:name="_Toc72705549"/>
      <w:bookmarkStart w:id="1097" w:name="_Toc72706188"/>
      <w:bookmarkStart w:id="1098" w:name="_Toc72741138"/>
      <w:bookmarkStart w:id="1099" w:name="_Toc72741936"/>
      <w:bookmarkStart w:id="1100" w:name="_Toc72742734"/>
      <w:r w:rsidRPr="007E253F">
        <w:rPr>
          <w:lang w:eastAsia="es-ES"/>
        </w:rPr>
        <w:t>Impresora</w:t>
      </w:r>
      <w:bookmarkEnd w:id="1094"/>
      <w:bookmarkEnd w:id="1095"/>
      <w:bookmarkEnd w:id="1096"/>
      <w:bookmarkEnd w:id="1097"/>
      <w:bookmarkEnd w:id="1098"/>
      <w:bookmarkEnd w:id="1099"/>
      <w:bookmarkEnd w:id="1100"/>
      <w:r w:rsidRPr="007E253F">
        <w:rPr>
          <w:lang w:eastAsia="es-ES"/>
        </w:rPr>
        <w:t xml:space="preserve"> </w:t>
      </w:r>
    </w:p>
    <w:p w14:paraId="784DBACC" w14:textId="77777777" w:rsidR="00C0270A" w:rsidRPr="007E253F" w:rsidRDefault="00C0270A" w:rsidP="00135DE8">
      <w:pPr>
        <w:pStyle w:val="Prrafodelista"/>
        <w:numPr>
          <w:ilvl w:val="0"/>
          <w:numId w:val="14"/>
        </w:numPr>
        <w:spacing w:before="360" w:after="360"/>
        <w:rPr>
          <w:lang w:eastAsia="es-ES"/>
        </w:rPr>
      </w:pPr>
      <w:bookmarkStart w:id="1101" w:name="_Toc72703966"/>
      <w:bookmarkStart w:id="1102" w:name="_Toc72704490"/>
      <w:bookmarkStart w:id="1103" w:name="_Toc72705550"/>
      <w:bookmarkStart w:id="1104" w:name="_Toc72706189"/>
      <w:bookmarkStart w:id="1105" w:name="_Toc72741139"/>
      <w:bookmarkStart w:id="1106" w:name="_Toc72741937"/>
      <w:bookmarkStart w:id="1107" w:name="_Toc72742735"/>
      <w:r w:rsidRPr="007E253F">
        <w:rPr>
          <w:lang w:eastAsia="es-ES"/>
        </w:rPr>
        <w:t>Internet</w:t>
      </w:r>
      <w:bookmarkEnd w:id="1101"/>
      <w:bookmarkEnd w:id="1102"/>
      <w:bookmarkEnd w:id="1103"/>
      <w:bookmarkEnd w:id="1104"/>
      <w:bookmarkEnd w:id="1105"/>
      <w:bookmarkEnd w:id="1106"/>
      <w:bookmarkEnd w:id="1107"/>
    </w:p>
    <w:p w14:paraId="59041DF1" w14:textId="77777777" w:rsidR="00C0270A" w:rsidRPr="007E253F" w:rsidRDefault="00C0270A" w:rsidP="00135DE8">
      <w:pPr>
        <w:pStyle w:val="Prrafodelista"/>
        <w:numPr>
          <w:ilvl w:val="0"/>
          <w:numId w:val="14"/>
        </w:numPr>
        <w:spacing w:before="360" w:after="360"/>
        <w:rPr>
          <w:lang w:eastAsia="es-ES"/>
        </w:rPr>
      </w:pPr>
      <w:bookmarkStart w:id="1108" w:name="_Toc72703967"/>
      <w:bookmarkStart w:id="1109" w:name="_Toc72704491"/>
      <w:bookmarkStart w:id="1110" w:name="_Toc72705551"/>
      <w:bookmarkStart w:id="1111" w:name="_Toc72706190"/>
      <w:bookmarkStart w:id="1112" w:name="_Toc72741140"/>
      <w:bookmarkStart w:id="1113" w:name="_Toc72741938"/>
      <w:bookmarkStart w:id="1114" w:name="_Toc72742736"/>
      <w:r w:rsidRPr="007E253F">
        <w:rPr>
          <w:lang w:eastAsia="es-ES"/>
        </w:rPr>
        <w:t>Pen drive</w:t>
      </w:r>
      <w:bookmarkEnd w:id="1108"/>
      <w:bookmarkEnd w:id="1109"/>
      <w:bookmarkEnd w:id="1110"/>
      <w:bookmarkEnd w:id="1111"/>
      <w:bookmarkEnd w:id="1112"/>
      <w:bookmarkEnd w:id="1113"/>
      <w:bookmarkEnd w:id="1114"/>
      <w:r w:rsidRPr="007E253F">
        <w:rPr>
          <w:lang w:eastAsia="es-ES"/>
        </w:rPr>
        <w:t xml:space="preserve"> </w:t>
      </w:r>
    </w:p>
    <w:p w14:paraId="0DFD8DE1" w14:textId="77777777" w:rsidR="00C0270A" w:rsidRPr="007E253F" w:rsidRDefault="00C0270A" w:rsidP="00135DE8">
      <w:pPr>
        <w:pStyle w:val="Prrafodelista"/>
        <w:numPr>
          <w:ilvl w:val="0"/>
          <w:numId w:val="14"/>
        </w:numPr>
        <w:spacing w:before="360" w:after="360"/>
        <w:rPr>
          <w:lang w:eastAsia="es-ES"/>
        </w:rPr>
      </w:pPr>
      <w:bookmarkStart w:id="1115" w:name="_Toc72703968"/>
      <w:bookmarkStart w:id="1116" w:name="_Toc72704492"/>
      <w:bookmarkStart w:id="1117" w:name="_Toc72705552"/>
      <w:bookmarkStart w:id="1118" w:name="_Toc72706191"/>
      <w:bookmarkStart w:id="1119" w:name="_Toc72741141"/>
      <w:bookmarkStart w:id="1120" w:name="_Toc72741939"/>
      <w:bookmarkStart w:id="1121" w:name="_Toc72742737"/>
      <w:r w:rsidRPr="007E253F">
        <w:rPr>
          <w:lang w:eastAsia="es-ES"/>
        </w:rPr>
        <w:t>Hojas INEN 4</w:t>
      </w:r>
      <w:bookmarkEnd w:id="1115"/>
      <w:bookmarkEnd w:id="1116"/>
      <w:bookmarkEnd w:id="1117"/>
      <w:bookmarkEnd w:id="1118"/>
      <w:bookmarkEnd w:id="1119"/>
      <w:bookmarkEnd w:id="1120"/>
      <w:bookmarkEnd w:id="1121"/>
    </w:p>
    <w:p w14:paraId="5338B6B8" w14:textId="77777777" w:rsidR="00C0270A" w:rsidRPr="007E253F" w:rsidRDefault="00C0270A" w:rsidP="00135DE8">
      <w:pPr>
        <w:pStyle w:val="Prrafodelista"/>
        <w:numPr>
          <w:ilvl w:val="0"/>
          <w:numId w:val="14"/>
        </w:numPr>
        <w:spacing w:before="360" w:after="360"/>
        <w:rPr>
          <w:lang w:eastAsia="es-ES"/>
        </w:rPr>
      </w:pPr>
      <w:bookmarkStart w:id="1122" w:name="_Toc72703969"/>
      <w:bookmarkStart w:id="1123" w:name="_Toc72704493"/>
      <w:bookmarkStart w:id="1124" w:name="_Toc72705553"/>
      <w:bookmarkStart w:id="1125" w:name="_Toc72706192"/>
      <w:bookmarkStart w:id="1126" w:name="_Toc72741142"/>
      <w:bookmarkStart w:id="1127" w:name="_Toc72741940"/>
      <w:bookmarkStart w:id="1128" w:name="_Toc72742738"/>
      <w:r w:rsidRPr="007E253F">
        <w:rPr>
          <w:lang w:eastAsia="es-ES"/>
        </w:rPr>
        <w:t>Esferos gráficos</w:t>
      </w:r>
      <w:bookmarkEnd w:id="1122"/>
      <w:bookmarkEnd w:id="1123"/>
      <w:bookmarkEnd w:id="1124"/>
      <w:bookmarkEnd w:id="1125"/>
      <w:bookmarkEnd w:id="1126"/>
      <w:bookmarkEnd w:id="1127"/>
      <w:bookmarkEnd w:id="1128"/>
      <w:r w:rsidRPr="007E253F">
        <w:rPr>
          <w:lang w:eastAsia="es-ES"/>
        </w:rPr>
        <w:t xml:space="preserve"> </w:t>
      </w:r>
    </w:p>
    <w:p w14:paraId="41C6A3B6" w14:textId="3CABA5E1" w:rsidR="00C0270A" w:rsidRDefault="00C0270A" w:rsidP="00135DE8">
      <w:pPr>
        <w:pStyle w:val="Prrafodelista"/>
        <w:numPr>
          <w:ilvl w:val="0"/>
          <w:numId w:val="14"/>
        </w:numPr>
        <w:spacing w:before="360" w:after="360"/>
        <w:rPr>
          <w:lang w:eastAsia="es-ES"/>
        </w:rPr>
      </w:pPr>
      <w:bookmarkStart w:id="1129" w:name="_Toc72703970"/>
      <w:bookmarkStart w:id="1130" w:name="_Toc72704494"/>
      <w:bookmarkStart w:id="1131" w:name="_Toc72705554"/>
      <w:bookmarkStart w:id="1132" w:name="_Toc72706193"/>
      <w:bookmarkStart w:id="1133" w:name="_Toc72741143"/>
      <w:bookmarkStart w:id="1134" w:name="_Toc72741941"/>
      <w:bookmarkStart w:id="1135" w:name="_Toc72742739"/>
      <w:r w:rsidRPr="007E253F">
        <w:rPr>
          <w:lang w:eastAsia="es-ES"/>
        </w:rPr>
        <w:t>Programas estadísticos</w:t>
      </w:r>
      <w:bookmarkEnd w:id="1129"/>
      <w:bookmarkEnd w:id="1130"/>
      <w:bookmarkEnd w:id="1131"/>
      <w:bookmarkEnd w:id="1132"/>
      <w:bookmarkEnd w:id="1133"/>
      <w:bookmarkEnd w:id="1134"/>
      <w:bookmarkEnd w:id="1135"/>
      <w:r w:rsidRPr="007E253F">
        <w:rPr>
          <w:lang w:eastAsia="es-ES"/>
        </w:rPr>
        <w:t xml:space="preserve">  </w:t>
      </w:r>
    </w:p>
    <w:p w14:paraId="5289CAC2" w14:textId="6F4D436A" w:rsidR="00C0270A" w:rsidRPr="007E253F" w:rsidRDefault="00C0270A" w:rsidP="000639DD">
      <w:pPr>
        <w:pStyle w:val="Ttulo2"/>
        <w:spacing w:before="360" w:after="360"/>
        <w:ind w:left="425" w:hanging="425"/>
        <w:rPr>
          <w:rFonts w:eastAsia="Times New Roman"/>
        </w:rPr>
      </w:pPr>
      <w:bookmarkStart w:id="1136" w:name="_Toc72741144"/>
      <w:bookmarkStart w:id="1137" w:name="_Toc72741942"/>
      <w:bookmarkStart w:id="1138" w:name="_Toc72742740"/>
      <w:bookmarkStart w:id="1139" w:name="_Toc72881485"/>
      <w:bookmarkStart w:id="1140" w:name="_Toc72882567"/>
      <w:bookmarkStart w:id="1141" w:name="_Toc75608912"/>
      <w:bookmarkStart w:id="1142" w:name="_Toc75611838"/>
      <w:bookmarkStart w:id="1143" w:name="_Toc75612684"/>
      <w:bookmarkStart w:id="1144" w:name="_Toc75679839"/>
      <w:bookmarkStart w:id="1145" w:name="_Toc75702447"/>
      <w:bookmarkStart w:id="1146" w:name="_Toc80312291"/>
      <w:r w:rsidRPr="007E253F">
        <w:rPr>
          <w:rFonts w:eastAsia="Times New Roman"/>
        </w:rPr>
        <w:t>M</w:t>
      </w:r>
      <w:bookmarkEnd w:id="1136"/>
      <w:bookmarkEnd w:id="1137"/>
      <w:bookmarkEnd w:id="1138"/>
      <w:bookmarkEnd w:id="1139"/>
      <w:bookmarkEnd w:id="1140"/>
      <w:bookmarkEnd w:id="1141"/>
      <w:bookmarkEnd w:id="1142"/>
      <w:bookmarkEnd w:id="1143"/>
      <w:bookmarkEnd w:id="1144"/>
      <w:bookmarkEnd w:id="1145"/>
      <w:r w:rsidR="00F67B88">
        <w:rPr>
          <w:rFonts w:eastAsia="Times New Roman"/>
        </w:rPr>
        <w:t>étodos</w:t>
      </w:r>
      <w:bookmarkEnd w:id="1146"/>
    </w:p>
    <w:p w14:paraId="0B344CD2" w14:textId="0092EF55" w:rsidR="00C0270A" w:rsidRPr="007E253F" w:rsidRDefault="00C0270A" w:rsidP="000639DD">
      <w:pPr>
        <w:pStyle w:val="Ttulo3"/>
        <w:spacing w:before="360" w:after="360"/>
        <w:rPr>
          <w:rFonts w:eastAsia="Times New Roman"/>
          <w:b w:val="0"/>
          <w:bCs w:val="0"/>
        </w:rPr>
      </w:pPr>
      <w:bookmarkStart w:id="1147" w:name="_Toc72741145"/>
      <w:bookmarkStart w:id="1148" w:name="_Toc72741943"/>
      <w:bookmarkStart w:id="1149" w:name="_Toc72742741"/>
      <w:bookmarkStart w:id="1150" w:name="_Toc72881486"/>
      <w:bookmarkStart w:id="1151" w:name="_Toc72882568"/>
      <w:bookmarkStart w:id="1152" w:name="_Toc75608913"/>
      <w:bookmarkStart w:id="1153" w:name="_Toc75611839"/>
      <w:bookmarkStart w:id="1154" w:name="_Toc75612685"/>
      <w:bookmarkStart w:id="1155" w:name="_Toc75679840"/>
      <w:bookmarkStart w:id="1156" w:name="_Toc75702448"/>
      <w:bookmarkStart w:id="1157" w:name="_Toc80312292"/>
      <w:r w:rsidRPr="007E253F">
        <w:rPr>
          <w:rFonts w:eastAsia="Times New Roman"/>
        </w:rPr>
        <w:t>Factores en estudio</w:t>
      </w:r>
      <w:bookmarkEnd w:id="1147"/>
      <w:bookmarkEnd w:id="1148"/>
      <w:bookmarkEnd w:id="1149"/>
      <w:bookmarkEnd w:id="1150"/>
      <w:bookmarkEnd w:id="1151"/>
      <w:bookmarkEnd w:id="1152"/>
      <w:bookmarkEnd w:id="1153"/>
      <w:bookmarkEnd w:id="1154"/>
      <w:bookmarkEnd w:id="1155"/>
      <w:bookmarkEnd w:id="1156"/>
      <w:bookmarkEnd w:id="1157"/>
    </w:p>
    <w:p w14:paraId="2F85EE46" w14:textId="77777777" w:rsidR="00062720" w:rsidRDefault="00C0270A" w:rsidP="000639DD">
      <w:pPr>
        <w:spacing w:before="360" w:after="360" w:line="360" w:lineRule="auto"/>
        <w:rPr>
          <w:rFonts w:cs="Times New Roman"/>
          <w:szCs w:val="24"/>
        </w:rPr>
      </w:pPr>
      <w:bookmarkStart w:id="1158" w:name="_Toc72703973"/>
      <w:bookmarkStart w:id="1159" w:name="_Toc72705557"/>
      <w:bookmarkStart w:id="1160" w:name="_Toc72706196"/>
      <w:bookmarkStart w:id="1161" w:name="_Toc72741146"/>
      <w:bookmarkStart w:id="1162" w:name="_Toc72741944"/>
      <w:bookmarkStart w:id="1163" w:name="_Toc72742742"/>
      <w:r w:rsidRPr="00DE09C7">
        <w:rPr>
          <w:rFonts w:cs="Times New Roman"/>
          <w:szCs w:val="24"/>
        </w:rPr>
        <w:t xml:space="preserve">Los factores en estudio </w:t>
      </w:r>
      <w:r w:rsidR="00062720">
        <w:rPr>
          <w:rFonts w:cs="Times New Roman"/>
          <w:szCs w:val="24"/>
        </w:rPr>
        <w:t>fueron:</w:t>
      </w:r>
    </w:p>
    <w:p w14:paraId="56973EB3" w14:textId="2C6DD2B2" w:rsidR="00062720" w:rsidRPr="00E70495" w:rsidRDefault="00062720" w:rsidP="00E70495">
      <w:pPr>
        <w:pStyle w:val="Prrafodelista"/>
        <w:numPr>
          <w:ilvl w:val="0"/>
          <w:numId w:val="48"/>
        </w:numPr>
        <w:spacing w:line="360" w:lineRule="auto"/>
      </w:pPr>
      <w:r w:rsidRPr="00E70495">
        <w:t>Localidades</w:t>
      </w:r>
      <w:r w:rsidR="00B006A2" w:rsidRPr="00E70495">
        <w:t>: Bolívar, Chimborazo e Imbabura</w:t>
      </w:r>
      <w:r w:rsidRPr="00E70495">
        <w:t>.</w:t>
      </w:r>
    </w:p>
    <w:p w14:paraId="3856DC79" w14:textId="302207BF" w:rsidR="00062720" w:rsidRPr="00E70495" w:rsidRDefault="00062720" w:rsidP="00E70495">
      <w:pPr>
        <w:pStyle w:val="Prrafodelista"/>
        <w:numPr>
          <w:ilvl w:val="0"/>
          <w:numId w:val="48"/>
        </w:numPr>
        <w:spacing w:line="360" w:lineRule="auto"/>
        <w:rPr>
          <w:szCs w:val="24"/>
        </w:rPr>
      </w:pPr>
      <w:r w:rsidRPr="00E70495">
        <w:rPr>
          <w:szCs w:val="24"/>
        </w:rPr>
        <w:t xml:space="preserve">Variedades de maíz: con cinco tipos; </w:t>
      </w:r>
      <w:r w:rsidRPr="00E70495">
        <w:rPr>
          <w:lang w:val="en-US"/>
        </w:rPr>
        <w:t>INIAP 102, INIAP 111, Chazo, INIAP 122, Huandango</w:t>
      </w:r>
      <w:r w:rsidRPr="00E70495">
        <w:rPr>
          <w:szCs w:val="24"/>
        </w:rPr>
        <w:t xml:space="preserve"> </w:t>
      </w:r>
    </w:p>
    <w:p w14:paraId="7073CDAE" w14:textId="31B46CD4" w:rsidR="00C0270A" w:rsidRPr="00187241" w:rsidRDefault="00062720" w:rsidP="00E70495">
      <w:pPr>
        <w:pStyle w:val="Prrafodelista"/>
        <w:numPr>
          <w:ilvl w:val="0"/>
          <w:numId w:val="48"/>
        </w:numPr>
        <w:spacing w:line="360" w:lineRule="auto"/>
      </w:pPr>
      <w:r w:rsidRPr="00187241">
        <w:lastRenderedPageBreak/>
        <w:t>D</w:t>
      </w:r>
      <w:r w:rsidR="00C0270A" w:rsidRPr="00187241">
        <w:t>osis de N, P, K, S aplicados al cultivo de maíz.</w:t>
      </w:r>
      <w:bookmarkEnd w:id="1158"/>
      <w:bookmarkEnd w:id="1159"/>
      <w:bookmarkEnd w:id="1160"/>
      <w:bookmarkEnd w:id="1161"/>
      <w:bookmarkEnd w:id="1162"/>
      <w:bookmarkEnd w:id="1163"/>
      <w:r w:rsidR="00B7395A" w:rsidRPr="00187241">
        <w:t xml:space="preserve"> </w:t>
      </w:r>
    </w:p>
    <w:p w14:paraId="022EC735" w14:textId="213D71B3" w:rsidR="0030048E" w:rsidRPr="007E253F" w:rsidRDefault="0030048E" w:rsidP="000639DD">
      <w:pPr>
        <w:pStyle w:val="Ttulo3"/>
        <w:spacing w:before="360" w:after="360"/>
        <w:rPr>
          <w:rFonts w:eastAsia="Times New Roman"/>
          <w:b w:val="0"/>
          <w:bCs w:val="0"/>
        </w:rPr>
      </w:pPr>
      <w:bookmarkStart w:id="1164" w:name="_Toc72741147"/>
      <w:bookmarkStart w:id="1165" w:name="_Toc72741945"/>
      <w:bookmarkStart w:id="1166" w:name="_Toc72742743"/>
      <w:bookmarkStart w:id="1167" w:name="_Toc72881487"/>
      <w:bookmarkStart w:id="1168" w:name="_Toc72882569"/>
      <w:bookmarkStart w:id="1169" w:name="_Toc75608914"/>
      <w:bookmarkStart w:id="1170" w:name="_Toc75611840"/>
      <w:bookmarkStart w:id="1171" w:name="_Toc75612686"/>
      <w:bookmarkStart w:id="1172" w:name="_Toc75679841"/>
      <w:bookmarkStart w:id="1173" w:name="_Toc75702449"/>
      <w:bookmarkStart w:id="1174" w:name="_Toc80312293"/>
      <w:r w:rsidRPr="007E253F">
        <w:rPr>
          <w:rFonts w:eastAsia="Times New Roman"/>
        </w:rPr>
        <w:t>Procedimiento</w:t>
      </w:r>
      <w:bookmarkEnd w:id="1164"/>
      <w:bookmarkEnd w:id="1165"/>
      <w:bookmarkEnd w:id="1166"/>
      <w:bookmarkEnd w:id="1167"/>
      <w:bookmarkEnd w:id="1168"/>
      <w:bookmarkEnd w:id="1169"/>
      <w:bookmarkEnd w:id="1170"/>
      <w:bookmarkEnd w:id="1171"/>
      <w:bookmarkEnd w:id="1172"/>
      <w:bookmarkEnd w:id="1173"/>
      <w:bookmarkEnd w:id="1174"/>
      <w:r w:rsidRPr="007E253F">
        <w:rPr>
          <w:rFonts w:eastAsia="Times New Roman"/>
        </w:rPr>
        <w:t xml:space="preserve"> </w:t>
      </w:r>
    </w:p>
    <w:p w14:paraId="257F9CE4" w14:textId="4B9CA1B8" w:rsidR="001F0F13" w:rsidRDefault="0030048E" w:rsidP="00C0270A">
      <w:pPr>
        <w:spacing w:after="0" w:line="360" w:lineRule="auto"/>
        <w:rPr>
          <w:rFonts w:eastAsia="Times New Roman" w:cs="Times New Roman"/>
          <w:szCs w:val="24"/>
          <w:lang w:val="es-ES"/>
        </w:rPr>
      </w:pPr>
      <w:r w:rsidRPr="007E253F">
        <w:rPr>
          <w:rFonts w:eastAsia="Times New Roman" w:cs="Times New Roman"/>
          <w:szCs w:val="24"/>
          <w:lang w:val="es-ES"/>
        </w:rPr>
        <w:t>El presente</w:t>
      </w:r>
      <w:r w:rsidR="00F63637">
        <w:rPr>
          <w:rFonts w:eastAsia="Times New Roman" w:cs="Times New Roman"/>
          <w:szCs w:val="24"/>
          <w:lang w:val="es-ES"/>
        </w:rPr>
        <w:t xml:space="preserve"> estudio se basó en organizar y analizar datos de ensayos de fertilización de maíz del </w:t>
      </w:r>
      <w:r w:rsidR="006641CA">
        <w:rPr>
          <w:rFonts w:eastAsia="Times New Roman" w:cs="Times New Roman"/>
          <w:szCs w:val="24"/>
          <w:lang w:val="es-ES"/>
        </w:rPr>
        <w:t xml:space="preserve">INIAP. </w:t>
      </w:r>
      <w:r w:rsidRPr="007E253F">
        <w:rPr>
          <w:rFonts w:eastAsia="Times New Roman" w:cs="Times New Roman"/>
          <w:szCs w:val="24"/>
          <w:lang w:val="es-ES"/>
        </w:rPr>
        <w:t xml:space="preserve">La mayor cantidad de ensayos disponibles correspondían a diseños de bloques completos al azar con tres y cuatro repeticiones, o a parcelas de evaluación sin replicas. </w:t>
      </w:r>
    </w:p>
    <w:p w14:paraId="32AA75A4" w14:textId="77777777" w:rsidR="000639DD" w:rsidRDefault="0030048E" w:rsidP="000639DD">
      <w:pPr>
        <w:spacing w:before="360" w:after="360" w:line="360" w:lineRule="auto"/>
        <w:rPr>
          <w:rFonts w:eastAsia="Times New Roman" w:cs="Times New Roman"/>
          <w:szCs w:val="24"/>
          <w:lang w:val="es-ES"/>
        </w:rPr>
      </w:pPr>
      <w:r w:rsidRPr="007E253F">
        <w:rPr>
          <w:rFonts w:eastAsia="Times New Roman" w:cs="Times New Roman"/>
          <w:szCs w:val="24"/>
          <w:lang w:val="es-ES"/>
        </w:rPr>
        <w:t xml:space="preserve">Independientemente del diseño utilizado, se trabajó con los promedios de </w:t>
      </w:r>
      <w:r w:rsidR="00F63637">
        <w:rPr>
          <w:rFonts w:eastAsia="Times New Roman" w:cs="Times New Roman"/>
          <w:szCs w:val="24"/>
          <w:lang w:val="es-ES"/>
        </w:rPr>
        <w:t xml:space="preserve">rendimiento y absorción de nutrientes de </w:t>
      </w:r>
      <w:r w:rsidRPr="007E253F">
        <w:rPr>
          <w:rFonts w:eastAsia="Times New Roman" w:cs="Times New Roman"/>
          <w:szCs w:val="24"/>
          <w:lang w:val="es-ES"/>
        </w:rPr>
        <w:t>cada tratamiento o dosis de fertilizante utilizado</w:t>
      </w:r>
      <w:r w:rsidR="00F63637">
        <w:rPr>
          <w:rFonts w:eastAsia="Times New Roman" w:cs="Times New Roman"/>
          <w:szCs w:val="24"/>
          <w:lang w:val="es-ES"/>
        </w:rPr>
        <w:t>,</w:t>
      </w:r>
      <w:r w:rsidRPr="007E253F">
        <w:rPr>
          <w:rFonts w:eastAsia="Times New Roman" w:cs="Times New Roman"/>
          <w:szCs w:val="24"/>
          <w:lang w:val="es-ES"/>
        </w:rPr>
        <w:t xml:space="preserve"> para cada un</w:t>
      </w:r>
      <w:r w:rsidR="00F63637">
        <w:rPr>
          <w:rFonts w:eastAsia="Times New Roman" w:cs="Times New Roman"/>
          <w:szCs w:val="24"/>
          <w:lang w:val="es-ES"/>
        </w:rPr>
        <w:t>a</w:t>
      </w:r>
      <w:r w:rsidRPr="007E253F">
        <w:rPr>
          <w:rFonts w:eastAsia="Times New Roman" w:cs="Times New Roman"/>
          <w:szCs w:val="24"/>
          <w:lang w:val="es-ES"/>
        </w:rPr>
        <w:t xml:space="preserve"> de las localidades o ensayos recibidos. </w:t>
      </w:r>
    </w:p>
    <w:p w14:paraId="579CE251" w14:textId="641FCA8D" w:rsidR="0030048E" w:rsidRPr="007E253F" w:rsidRDefault="0030048E" w:rsidP="000639DD">
      <w:pPr>
        <w:spacing w:before="360" w:after="360" w:line="360" w:lineRule="auto"/>
        <w:rPr>
          <w:rFonts w:eastAsia="Times New Roman" w:cs="Times New Roman"/>
          <w:szCs w:val="24"/>
          <w:lang w:val="es-ES"/>
        </w:rPr>
      </w:pPr>
      <w:r w:rsidRPr="007E253F">
        <w:rPr>
          <w:rFonts w:eastAsia="Times New Roman" w:cs="Times New Roman"/>
          <w:szCs w:val="24"/>
          <w:lang w:val="es-ES"/>
        </w:rPr>
        <w:t xml:space="preserve">Las variables analizadas correspondieron a rendimiento de grano (seco ajustado al 14% de humedad) y absorción de nutrientes, realizado en el laboratorio del Departamento de Manejo de Suelos y Aguas de la Estación Experimental Santa Catalina del INIAP. </w:t>
      </w:r>
    </w:p>
    <w:p w14:paraId="6552E245" w14:textId="472C288E" w:rsidR="0030048E" w:rsidRPr="007E253F" w:rsidRDefault="0030048E" w:rsidP="000639DD">
      <w:pPr>
        <w:pStyle w:val="Ttulo3"/>
        <w:spacing w:before="360" w:after="360"/>
        <w:rPr>
          <w:rFonts w:eastAsia="Times New Roman"/>
          <w:b w:val="0"/>
          <w:bCs w:val="0"/>
        </w:rPr>
      </w:pPr>
      <w:bookmarkStart w:id="1175" w:name="_Toc72741148"/>
      <w:bookmarkStart w:id="1176" w:name="_Toc72741946"/>
      <w:bookmarkStart w:id="1177" w:name="_Toc72742744"/>
      <w:bookmarkStart w:id="1178" w:name="_Toc72881488"/>
      <w:bookmarkStart w:id="1179" w:name="_Toc72882570"/>
      <w:bookmarkStart w:id="1180" w:name="_Toc75608915"/>
      <w:bookmarkStart w:id="1181" w:name="_Toc75611841"/>
      <w:bookmarkStart w:id="1182" w:name="_Toc75612687"/>
      <w:bookmarkStart w:id="1183" w:name="_Toc75679842"/>
      <w:bookmarkStart w:id="1184" w:name="_Toc75702450"/>
      <w:bookmarkStart w:id="1185" w:name="_Toc80312294"/>
      <w:r w:rsidRPr="007E253F">
        <w:rPr>
          <w:rFonts w:eastAsia="Times New Roman"/>
        </w:rPr>
        <w:t>Tipo de análisis</w:t>
      </w:r>
      <w:bookmarkEnd w:id="1175"/>
      <w:bookmarkEnd w:id="1176"/>
      <w:bookmarkEnd w:id="1177"/>
      <w:bookmarkEnd w:id="1178"/>
      <w:bookmarkEnd w:id="1179"/>
      <w:bookmarkEnd w:id="1180"/>
      <w:bookmarkEnd w:id="1181"/>
      <w:bookmarkEnd w:id="1182"/>
      <w:bookmarkEnd w:id="1183"/>
      <w:bookmarkEnd w:id="1184"/>
      <w:bookmarkEnd w:id="1185"/>
      <w:r w:rsidRPr="007E253F">
        <w:rPr>
          <w:rFonts w:eastAsia="Times New Roman"/>
        </w:rPr>
        <w:t xml:space="preserve">  </w:t>
      </w:r>
    </w:p>
    <w:p w14:paraId="37BF6641" w14:textId="77777777" w:rsidR="0030048E" w:rsidRPr="007E253F" w:rsidRDefault="0030048E" w:rsidP="00C0270A">
      <w:pPr>
        <w:spacing w:after="0" w:line="360" w:lineRule="auto"/>
        <w:rPr>
          <w:rFonts w:eastAsia="Times New Roman" w:cs="Times New Roman"/>
          <w:szCs w:val="24"/>
          <w:lang w:val="es-ES"/>
        </w:rPr>
      </w:pPr>
      <w:r w:rsidRPr="007E253F">
        <w:rPr>
          <w:rFonts w:eastAsia="Times New Roman" w:cs="Times New Roman"/>
          <w:szCs w:val="24"/>
          <w:lang w:val="es-ES"/>
        </w:rPr>
        <w:t>De los archivos Excel recibidos se organizaron por provincia, año y localidad. De los archivos se obtuvieron los promedios de cada tratamiento, lo que permitió tabular, sistematizar y agrupar componentes de cada una de las características presentes para cada tratamiento o dosis de fertilizante.</w:t>
      </w:r>
    </w:p>
    <w:p w14:paraId="44C2A8C0" w14:textId="0A9FC97B" w:rsidR="0030048E" w:rsidRPr="007E253F" w:rsidRDefault="0030048E" w:rsidP="000639DD">
      <w:pPr>
        <w:spacing w:before="360" w:after="360" w:line="360" w:lineRule="auto"/>
        <w:rPr>
          <w:rFonts w:eastAsia="Times New Roman" w:cs="Times New Roman"/>
          <w:szCs w:val="24"/>
          <w:lang w:val="es-ES"/>
        </w:rPr>
      </w:pPr>
      <w:r w:rsidRPr="007E253F">
        <w:rPr>
          <w:rFonts w:eastAsia="Times New Roman" w:cs="Times New Roman"/>
          <w:szCs w:val="24"/>
          <w:lang w:val="es-ES"/>
        </w:rPr>
        <w:t>Se realizó un análisis de correlación (Pearson) para identificar relaciones entre los factores en estudio y las variables de respuesta o de análisis.</w:t>
      </w:r>
    </w:p>
    <w:p w14:paraId="7AD09F1E" w14:textId="582BB9E1" w:rsidR="0030048E" w:rsidRPr="007E253F" w:rsidRDefault="0030048E" w:rsidP="00306EB1">
      <w:pPr>
        <w:spacing w:after="0" w:line="360" w:lineRule="auto"/>
        <w:rPr>
          <w:rFonts w:eastAsia="Times New Roman" w:cs="Times New Roman"/>
          <w:szCs w:val="24"/>
          <w:lang w:val="es-ES"/>
        </w:rPr>
      </w:pPr>
      <w:r w:rsidRPr="007E253F">
        <w:rPr>
          <w:rFonts w:eastAsia="Times New Roman" w:cs="Times New Roman"/>
          <w:szCs w:val="24"/>
          <w:lang w:val="es-ES"/>
        </w:rPr>
        <w:t xml:space="preserve">Se utilizó modelos lineales generalizados (Generalized Linear Models) para determinar el efecto de cada nutriente sobre el rendimiento y absorción (extracción) de nutrientes utilizando el paquete estadístico INFOSTAT (versión libre). En un modelo lineal generalizado (GLM), cada resultado Y de las variables dependientes se genera a partir de una distribución particular en la familia exponencial, una clase </w:t>
      </w:r>
      <w:r w:rsidRPr="007E253F">
        <w:rPr>
          <w:rFonts w:eastAsia="Times New Roman" w:cs="Times New Roman"/>
          <w:szCs w:val="24"/>
          <w:lang w:val="es-ES"/>
        </w:rPr>
        <w:lastRenderedPageBreak/>
        <w:t>numerosa de distribuciones de probabilidad que incluye las distribuciones normales, binomial, Poisson y gamma, entre otras. La media, μ, de la distribución depende de las variables independientes.</w:t>
      </w:r>
    </w:p>
    <w:p w14:paraId="30754C24" w14:textId="029CC453" w:rsidR="0030048E" w:rsidRPr="007E253F" w:rsidRDefault="0030048E" w:rsidP="000639DD">
      <w:pPr>
        <w:spacing w:before="360" w:after="360" w:line="360" w:lineRule="auto"/>
        <w:rPr>
          <w:rFonts w:eastAsia="Times New Roman" w:cs="Times New Roman"/>
          <w:szCs w:val="24"/>
          <w:lang w:val="es-ES"/>
        </w:rPr>
      </w:pPr>
      <w:r w:rsidRPr="007E253F">
        <w:rPr>
          <w:rFonts w:eastAsia="Times New Roman" w:cs="Times New Roman"/>
          <w:szCs w:val="24"/>
          <w:lang w:val="es-ES"/>
        </w:rPr>
        <w:t>Luego de varios diseños y ajustes preliminares utilizando todos los factores disponibles en la base de datos, el modelo aplicado fue: Y = μ + Ch + Ni + Pj, + Kk + Sl + Mm + NixPj + eijklm; donde Y representa el valor de respuesta fenotípica a la fertilización (es decir, rendimiento u otra variable), μ representa a la media general, Ch representa a la h-ésima localidad de evaluación (cantón o provincia, según el análisis realizado), Ni representaba el efecto del nitrógeno de la i-ésima dosis, Pj era el efecto del fósforo de la j-ésima dosis, Kk el efecto del potasio de la k-ésima dosis, Sl el efecto del azufre de la l-ésima dosis, Mm el efecto del magnesio de la m-ésima dosis, NixPj l</w:t>
      </w:r>
    </w:p>
    <w:p w14:paraId="1EF6DFDD" w14:textId="15F42FA1" w:rsidR="0030048E" w:rsidRPr="007E253F" w:rsidRDefault="0030048E" w:rsidP="00306EB1">
      <w:pPr>
        <w:spacing w:after="0" w:line="360" w:lineRule="auto"/>
        <w:rPr>
          <w:rFonts w:eastAsia="Times New Roman" w:cs="Times New Roman"/>
          <w:szCs w:val="24"/>
          <w:lang w:val="es-ES"/>
        </w:rPr>
      </w:pPr>
      <w:r w:rsidRPr="007E253F">
        <w:rPr>
          <w:rFonts w:eastAsia="Times New Roman" w:cs="Times New Roman"/>
          <w:szCs w:val="24"/>
          <w:lang w:val="es-ES"/>
        </w:rPr>
        <w:t>En caso de existir diferencias estadísticas significativas se realizó la separación de medias mediante la prueba de Lsd al 5% de cada una de las variables planteadas.</w:t>
      </w:r>
    </w:p>
    <w:p w14:paraId="7FF6F281" w14:textId="44BC9980" w:rsidR="0030048E" w:rsidRPr="007E253F" w:rsidRDefault="0030048E" w:rsidP="00306EB1">
      <w:pPr>
        <w:spacing w:after="0" w:line="360" w:lineRule="auto"/>
        <w:rPr>
          <w:rFonts w:eastAsia="Times New Roman" w:cs="Times New Roman"/>
          <w:szCs w:val="24"/>
          <w:lang w:val="es-ES"/>
        </w:rPr>
      </w:pPr>
      <w:r w:rsidRPr="007E253F">
        <w:rPr>
          <w:rFonts w:eastAsia="Times New Roman" w:cs="Times New Roman"/>
          <w:szCs w:val="24"/>
          <w:lang w:val="es-ES"/>
        </w:rPr>
        <w:t xml:space="preserve">Para la interpretación de los resultados se utilizará </w:t>
      </w:r>
      <w:r w:rsidR="008D2374" w:rsidRPr="007E253F">
        <w:rPr>
          <w:rFonts w:eastAsia="Times New Roman" w:cs="Times New Roman"/>
          <w:szCs w:val="24"/>
          <w:lang w:val="es-ES"/>
        </w:rPr>
        <w:t>estadística descriptiva apoyada</w:t>
      </w:r>
      <w:r w:rsidRPr="007E253F">
        <w:rPr>
          <w:rFonts w:eastAsia="Times New Roman" w:cs="Times New Roman"/>
          <w:szCs w:val="24"/>
          <w:lang w:val="es-ES"/>
        </w:rPr>
        <w:t xml:space="preserve"> por gráficos lineales y barras.</w:t>
      </w:r>
    </w:p>
    <w:p w14:paraId="1964C7A6" w14:textId="7791790D" w:rsidR="0030048E" w:rsidRPr="007E253F" w:rsidRDefault="00C65C5B" w:rsidP="000639DD">
      <w:pPr>
        <w:pStyle w:val="Ttulo2"/>
        <w:spacing w:before="360" w:after="360"/>
        <w:ind w:left="567" w:hanging="567"/>
        <w:rPr>
          <w:rFonts w:eastAsia="Times New Roman"/>
        </w:rPr>
      </w:pPr>
      <w:bookmarkStart w:id="1186" w:name="_Toc72741149"/>
      <w:bookmarkStart w:id="1187" w:name="_Toc72741947"/>
      <w:bookmarkStart w:id="1188" w:name="_Toc72742745"/>
      <w:bookmarkStart w:id="1189" w:name="_Toc72881489"/>
      <w:bookmarkStart w:id="1190" w:name="_Toc72882571"/>
      <w:bookmarkStart w:id="1191" w:name="_Toc75608916"/>
      <w:bookmarkStart w:id="1192" w:name="_Toc75611842"/>
      <w:bookmarkStart w:id="1193" w:name="_Toc75612688"/>
      <w:bookmarkStart w:id="1194" w:name="_Toc75679843"/>
      <w:bookmarkStart w:id="1195" w:name="_Toc75702451"/>
      <w:bookmarkStart w:id="1196" w:name="_Toc80312295"/>
      <w:r w:rsidRPr="007E253F">
        <w:rPr>
          <w:rFonts w:eastAsia="Times New Roman"/>
        </w:rPr>
        <w:t>Métodos de evaluación y datos toma</w:t>
      </w:r>
      <w:bookmarkEnd w:id="1186"/>
      <w:bookmarkEnd w:id="1187"/>
      <w:bookmarkEnd w:id="1188"/>
      <w:bookmarkEnd w:id="1189"/>
      <w:bookmarkEnd w:id="1190"/>
      <w:bookmarkEnd w:id="1191"/>
      <w:bookmarkEnd w:id="1192"/>
      <w:bookmarkEnd w:id="1193"/>
      <w:bookmarkEnd w:id="1194"/>
      <w:bookmarkEnd w:id="1195"/>
      <w:r w:rsidR="00F67B88">
        <w:rPr>
          <w:rFonts w:eastAsia="Times New Roman"/>
        </w:rPr>
        <w:t>dos</w:t>
      </w:r>
      <w:bookmarkEnd w:id="1196"/>
      <w:r w:rsidR="0030048E" w:rsidRPr="007E253F">
        <w:rPr>
          <w:rFonts w:eastAsia="Times New Roman"/>
        </w:rPr>
        <w:t xml:space="preserve"> </w:t>
      </w:r>
    </w:p>
    <w:p w14:paraId="4A4BFBC7" w14:textId="77777777" w:rsidR="0030048E" w:rsidRPr="007E253F" w:rsidRDefault="0030048E" w:rsidP="00487E40">
      <w:pPr>
        <w:spacing w:after="0" w:line="360" w:lineRule="auto"/>
        <w:rPr>
          <w:rFonts w:eastAsia="Calibri" w:cs="Times New Roman"/>
          <w:szCs w:val="24"/>
          <w:lang w:val="es-ES"/>
        </w:rPr>
      </w:pPr>
      <w:r w:rsidRPr="007E253F">
        <w:rPr>
          <w:rFonts w:eastAsia="Calibri" w:cs="Times New Roman"/>
          <w:szCs w:val="24"/>
          <w:lang w:val="es-ES"/>
        </w:rPr>
        <w:t>A continuación, se detalla el proceso mediante el cual fueron evaluadas las variables en campo, al momento de la experimentación, ya que en el actual estudio se basa en datos previamente generados por el INIAP, y se procede a la parte analítica del estudio.</w:t>
      </w:r>
    </w:p>
    <w:p w14:paraId="028A3399" w14:textId="067E335B" w:rsidR="0030048E" w:rsidRPr="007E253F" w:rsidRDefault="0030048E" w:rsidP="000639DD">
      <w:pPr>
        <w:pStyle w:val="Ttulo3"/>
        <w:spacing w:before="360" w:after="360"/>
        <w:rPr>
          <w:rFonts w:eastAsia="Times New Roman"/>
          <w:b w:val="0"/>
          <w:bCs w:val="0"/>
        </w:rPr>
      </w:pPr>
      <w:bookmarkStart w:id="1197" w:name="_Toc72741150"/>
      <w:bookmarkStart w:id="1198" w:name="_Toc72741948"/>
      <w:bookmarkStart w:id="1199" w:name="_Toc72742746"/>
      <w:bookmarkStart w:id="1200" w:name="_Toc72881490"/>
      <w:bookmarkStart w:id="1201" w:name="_Toc72882572"/>
      <w:bookmarkStart w:id="1202" w:name="_Toc75608917"/>
      <w:bookmarkStart w:id="1203" w:name="_Toc75611843"/>
      <w:bookmarkStart w:id="1204" w:name="_Toc75612689"/>
      <w:bookmarkStart w:id="1205" w:name="_Toc75679844"/>
      <w:bookmarkStart w:id="1206" w:name="_Toc75702452"/>
      <w:bookmarkStart w:id="1207" w:name="_Toc80312296"/>
      <w:r w:rsidRPr="007E253F">
        <w:rPr>
          <w:rFonts w:eastAsia="Times New Roman"/>
        </w:rPr>
        <w:t>Rendimiento de grano (ajustado al 14% de humedad) Kg/ha (RG)</w:t>
      </w:r>
      <w:bookmarkEnd w:id="1197"/>
      <w:bookmarkEnd w:id="1198"/>
      <w:bookmarkEnd w:id="1199"/>
      <w:bookmarkEnd w:id="1200"/>
      <w:bookmarkEnd w:id="1201"/>
      <w:bookmarkEnd w:id="1202"/>
      <w:bookmarkEnd w:id="1203"/>
      <w:bookmarkEnd w:id="1204"/>
      <w:bookmarkEnd w:id="1205"/>
      <w:bookmarkEnd w:id="1206"/>
      <w:bookmarkEnd w:id="1207"/>
    </w:p>
    <w:p w14:paraId="510D3BC8" w14:textId="3AC06984" w:rsidR="0030048E" w:rsidRPr="000639DD" w:rsidRDefault="0030048E" w:rsidP="000639DD">
      <w:pPr>
        <w:spacing w:before="360" w:after="360" w:line="360" w:lineRule="auto"/>
        <w:rPr>
          <w:rFonts w:eastAsia="Calibri" w:cs="Times New Roman"/>
          <w:szCs w:val="24"/>
          <w:lang w:val="es-ES"/>
        </w:rPr>
      </w:pPr>
      <w:r w:rsidRPr="007E253F">
        <w:rPr>
          <w:rFonts w:eastAsia="Calibri" w:cs="Times New Roman"/>
          <w:szCs w:val="24"/>
          <w:lang w:val="es-ES"/>
        </w:rPr>
        <w:t xml:space="preserve">Una vez que las plantas alcanzaron la madurez fisiológica se cosechó toda el área útil de cada parcela, se registraron los pesos de las mazorcas por parcela neta en kg. Se desgranó y se determinó la humedad del grano y los resultados se los presentó en Kg/ha de maíz, con 14 % de humedad. </w:t>
      </w:r>
    </w:p>
    <w:p w14:paraId="03BB4FF3" w14:textId="77777777" w:rsidR="0030048E" w:rsidRPr="007E253F" w:rsidRDefault="0030048E" w:rsidP="0030048E">
      <w:pPr>
        <w:spacing w:after="0" w:line="360" w:lineRule="auto"/>
        <w:jc w:val="center"/>
        <w:rPr>
          <w:rFonts w:eastAsia="Calibri" w:cs="Times New Roman"/>
          <w:szCs w:val="24"/>
          <w:lang w:val="en-US"/>
        </w:rPr>
      </w:pPr>
      <w:r w:rsidRPr="007E253F">
        <w:rPr>
          <w:rFonts w:eastAsia="Calibri" w:cs="Times New Roman"/>
          <w:szCs w:val="24"/>
        </w:rPr>
        <w:lastRenderedPageBreak/>
        <w:t xml:space="preserve">            </w:t>
      </w:r>
      <w:r w:rsidRPr="007E253F">
        <w:rPr>
          <w:rFonts w:eastAsia="Calibri" w:cs="Times New Roman"/>
          <w:szCs w:val="24"/>
        </w:rPr>
        <w:tab/>
      </w:r>
      <w:r w:rsidRPr="007E253F">
        <w:rPr>
          <w:rFonts w:eastAsia="Calibri" w:cs="Times New Roman"/>
          <w:szCs w:val="24"/>
          <w:lang w:val="en-US"/>
        </w:rPr>
        <w:t>100 –Hc x %D x 10000 m</w:t>
      </w:r>
      <w:r w:rsidRPr="007E253F">
        <w:rPr>
          <w:rFonts w:eastAsia="Calibri" w:cs="Times New Roman"/>
          <w:szCs w:val="24"/>
          <w:vertAlign w:val="superscript"/>
          <w:lang w:val="en-US"/>
        </w:rPr>
        <w:t>2</w:t>
      </w:r>
      <w:r w:rsidRPr="007E253F">
        <w:rPr>
          <w:rFonts w:eastAsia="Calibri" w:cs="Times New Roman"/>
          <w:szCs w:val="24"/>
          <w:lang w:val="en-US"/>
        </w:rPr>
        <w:t xml:space="preserve"> / SPN</w:t>
      </w:r>
    </w:p>
    <w:p w14:paraId="43F6E1D6" w14:textId="77777777" w:rsidR="0030048E" w:rsidRPr="007E253F" w:rsidRDefault="0030048E" w:rsidP="0030048E">
      <w:pPr>
        <w:spacing w:after="0" w:line="360" w:lineRule="auto"/>
        <w:jc w:val="center"/>
        <w:rPr>
          <w:rFonts w:eastAsia="Calibri" w:cs="Times New Roman"/>
          <w:szCs w:val="24"/>
          <w:lang w:val="en-US"/>
        </w:rPr>
      </w:pPr>
      <w:r w:rsidRPr="007E253F">
        <w:rPr>
          <w:rFonts w:eastAsia="Calibri" w:cs="Times New Roman"/>
          <w:szCs w:val="24"/>
          <w:lang w:val="en-US"/>
        </w:rPr>
        <w:t>R = PC x --------------------------------------------</w:t>
      </w:r>
    </w:p>
    <w:p w14:paraId="7142B04C" w14:textId="77777777" w:rsidR="0030048E" w:rsidRPr="007E253F" w:rsidRDefault="0030048E" w:rsidP="0030048E">
      <w:pPr>
        <w:spacing w:line="360" w:lineRule="auto"/>
        <w:ind w:left="708" w:firstLine="708"/>
        <w:jc w:val="center"/>
        <w:rPr>
          <w:rFonts w:eastAsia="Calibri" w:cs="Times New Roman"/>
          <w:szCs w:val="24"/>
          <w:lang w:val="es-ES"/>
        </w:rPr>
      </w:pPr>
      <w:r w:rsidRPr="007E253F">
        <w:rPr>
          <w:rFonts w:eastAsia="Calibri" w:cs="Times New Roman"/>
          <w:szCs w:val="24"/>
          <w:lang w:val="es-ES"/>
        </w:rPr>
        <w:t>100 –14 % H</w:t>
      </w:r>
    </w:p>
    <w:p w14:paraId="2672407B" w14:textId="77777777" w:rsidR="0030048E" w:rsidRPr="007E253F" w:rsidRDefault="0030048E" w:rsidP="0030048E">
      <w:pPr>
        <w:spacing w:line="360" w:lineRule="auto"/>
        <w:rPr>
          <w:rFonts w:eastAsia="Calibri" w:cs="Times New Roman"/>
          <w:szCs w:val="24"/>
          <w:lang w:val="es-ES"/>
        </w:rPr>
      </w:pPr>
      <w:r w:rsidRPr="007E253F">
        <w:rPr>
          <w:rFonts w:eastAsia="Calibri" w:cs="Times New Roman"/>
          <w:szCs w:val="24"/>
          <w:lang w:val="es-ES"/>
        </w:rPr>
        <w:t>En Donde</w:t>
      </w:r>
    </w:p>
    <w:p w14:paraId="082085AE" w14:textId="77777777" w:rsidR="0030048E" w:rsidRPr="007E253F" w:rsidRDefault="0030048E" w:rsidP="0030048E">
      <w:pPr>
        <w:spacing w:line="360" w:lineRule="auto"/>
        <w:rPr>
          <w:rFonts w:eastAsia="Calibri" w:cs="Times New Roman"/>
          <w:szCs w:val="24"/>
          <w:lang w:val="es-ES"/>
        </w:rPr>
      </w:pPr>
      <w:r w:rsidRPr="007E253F">
        <w:rPr>
          <w:rFonts w:eastAsia="Calibri" w:cs="Times New Roman"/>
          <w:szCs w:val="24"/>
          <w:lang w:val="es-ES"/>
        </w:rPr>
        <w:t xml:space="preserve">R= rendimiento en kg/ha </w:t>
      </w:r>
    </w:p>
    <w:p w14:paraId="62B51344" w14:textId="77777777" w:rsidR="0030048E" w:rsidRPr="007E253F" w:rsidRDefault="0030048E" w:rsidP="0030048E">
      <w:pPr>
        <w:rPr>
          <w:rFonts w:eastAsia="Calibri" w:cs="Times New Roman"/>
          <w:b/>
          <w:bCs/>
          <w:szCs w:val="24"/>
          <w:lang w:val="es-ES"/>
        </w:rPr>
      </w:pPr>
      <w:r w:rsidRPr="007E253F">
        <w:rPr>
          <w:rFonts w:eastAsia="Calibri" w:cs="Times New Roman"/>
          <w:szCs w:val="24"/>
          <w:lang w:val="es-ES"/>
        </w:rPr>
        <w:t xml:space="preserve">Pc= Peso de campo mazorcas (kg/PN) </w:t>
      </w:r>
    </w:p>
    <w:p w14:paraId="57B0F43D" w14:textId="77777777" w:rsidR="0030048E" w:rsidRPr="007E253F" w:rsidRDefault="0030048E" w:rsidP="0030048E">
      <w:pPr>
        <w:rPr>
          <w:rFonts w:eastAsia="Calibri" w:cs="Times New Roman"/>
          <w:b/>
          <w:bCs/>
          <w:szCs w:val="24"/>
          <w:lang w:val="es-ES"/>
        </w:rPr>
      </w:pPr>
      <w:r w:rsidRPr="007E253F">
        <w:rPr>
          <w:rFonts w:eastAsia="Calibri" w:cs="Times New Roman"/>
          <w:szCs w:val="24"/>
          <w:lang w:val="es-ES"/>
        </w:rPr>
        <w:t xml:space="preserve">Hc= Humedad del grano (%) </w:t>
      </w:r>
    </w:p>
    <w:p w14:paraId="3A96AE83" w14:textId="77777777" w:rsidR="0030048E" w:rsidRPr="007E253F" w:rsidRDefault="0030048E" w:rsidP="0030048E">
      <w:pPr>
        <w:rPr>
          <w:rFonts w:eastAsia="Calibri" w:cs="Times New Roman"/>
          <w:b/>
          <w:bCs/>
          <w:szCs w:val="24"/>
          <w:lang w:val="es-ES"/>
        </w:rPr>
      </w:pPr>
      <w:r w:rsidRPr="007E253F">
        <w:rPr>
          <w:rFonts w:eastAsia="Calibri" w:cs="Times New Roman"/>
          <w:szCs w:val="24"/>
          <w:lang w:val="es-ES"/>
        </w:rPr>
        <w:t xml:space="preserve">14%H= Humedad ajustada al 14% </w:t>
      </w:r>
    </w:p>
    <w:p w14:paraId="41B1B613" w14:textId="77777777" w:rsidR="0030048E" w:rsidRPr="007E253F" w:rsidRDefault="0030048E" w:rsidP="0030048E">
      <w:pPr>
        <w:rPr>
          <w:rFonts w:eastAsia="Calibri" w:cs="Times New Roman"/>
          <w:b/>
          <w:bCs/>
          <w:szCs w:val="24"/>
          <w:lang w:val="es-ES"/>
        </w:rPr>
      </w:pPr>
      <w:r w:rsidRPr="007E253F">
        <w:rPr>
          <w:rFonts w:eastAsia="Calibri" w:cs="Times New Roman"/>
          <w:szCs w:val="24"/>
          <w:lang w:val="es-ES"/>
        </w:rPr>
        <w:t xml:space="preserve">%D= 85% o el % de desgrane de la variedad </w:t>
      </w:r>
    </w:p>
    <w:p w14:paraId="59A2D29D" w14:textId="77777777" w:rsidR="0030048E" w:rsidRPr="007E253F" w:rsidRDefault="0030048E" w:rsidP="0030048E">
      <w:pPr>
        <w:rPr>
          <w:rFonts w:eastAsia="Calibri" w:cs="Times New Roman"/>
          <w:szCs w:val="24"/>
          <w:lang w:val="es-ES"/>
        </w:rPr>
      </w:pPr>
      <w:r w:rsidRPr="007E253F">
        <w:rPr>
          <w:rFonts w:eastAsia="Calibri" w:cs="Times New Roman"/>
          <w:szCs w:val="24"/>
          <w:lang w:val="es-ES"/>
        </w:rPr>
        <w:t>SPN =Superficie de la parcela neta</w:t>
      </w:r>
    </w:p>
    <w:p w14:paraId="23690F52" w14:textId="411F5CB3" w:rsidR="00487E40" w:rsidRPr="007E253F" w:rsidRDefault="00487E40" w:rsidP="000639DD">
      <w:pPr>
        <w:pStyle w:val="Ttulo3"/>
        <w:spacing w:before="360" w:after="360"/>
        <w:rPr>
          <w:rFonts w:eastAsia="Times New Roman"/>
          <w:b w:val="0"/>
          <w:bCs w:val="0"/>
        </w:rPr>
      </w:pPr>
      <w:bookmarkStart w:id="1208" w:name="_Toc72741151"/>
      <w:bookmarkStart w:id="1209" w:name="_Toc72741949"/>
      <w:bookmarkStart w:id="1210" w:name="_Toc72742747"/>
      <w:bookmarkStart w:id="1211" w:name="_Toc72881491"/>
      <w:bookmarkStart w:id="1212" w:name="_Toc72882573"/>
      <w:bookmarkStart w:id="1213" w:name="_Toc75608918"/>
      <w:bookmarkStart w:id="1214" w:name="_Toc75611844"/>
      <w:bookmarkStart w:id="1215" w:name="_Toc75612690"/>
      <w:bookmarkStart w:id="1216" w:name="_Toc75679845"/>
      <w:bookmarkStart w:id="1217" w:name="_Toc75702453"/>
      <w:bookmarkStart w:id="1218" w:name="_Toc80312297"/>
      <w:r w:rsidRPr="007E253F">
        <w:rPr>
          <w:rFonts w:eastAsia="Times New Roman"/>
        </w:rPr>
        <w:t>Absorción total</w:t>
      </w:r>
      <w:bookmarkEnd w:id="1208"/>
      <w:bookmarkEnd w:id="1209"/>
      <w:bookmarkEnd w:id="1210"/>
      <w:bookmarkEnd w:id="1211"/>
      <w:bookmarkEnd w:id="1212"/>
      <w:bookmarkEnd w:id="1213"/>
      <w:bookmarkEnd w:id="1214"/>
      <w:bookmarkEnd w:id="1215"/>
      <w:bookmarkEnd w:id="1216"/>
      <w:bookmarkEnd w:id="1217"/>
      <w:bookmarkEnd w:id="1218"/>
      <w:r w:rsidRPr="007E253F">
        <w:rPr>
          <w:rFonts w:eastAsia="Times New Roman"/>
        </w:rPr>
        <w:t xml:space="preserve"> </w:t>
      </w:r>
    </w:p>
    <w:p w14:paraId="107D9462" w14:textId="77777777" w:rsidR="00487E40" w:rsidRPr="007E253F" w:rsidRDefault="00487E40" w:rsidP="00487E40">
      <w:pPr>
        <w:rPr>
          <w:rFonts w:cs="Times New Roman"/>
          <w:bCs/>
        </w:rPr>
      </w:pPr>
      <w:r w:rsidRPr="007E253F">
        <w:rPr>
          <w:rFonts w:cs="Times New Roman"/>
        </w:rPr>
        <w:t>Absorción total de N kg/ha</w:t>
      </w:r>
      <w:r w:rsidRPr="007E253F">
        <w:rPr>
          <w:rFonts w:cs="Times New Roman"/>
          <w:vertAlign w:val="superscript"/>
        </w:rPr>
        <w:t>-1</w:t>
      </w:r>
      <w:r w:rsidRPr="007E253F">
        <w:rPr>
          <w:rFonts w:cs="Times New Roman"/>
        </w:rPr>
        <w:t xml:space="preserve"> (AN), P kg/ha</w:t>
      </w:r>
      <w:r w:rsidRPr="007E253F">
        <w:rPr>
          <w:rFonts w:cs="Times New Roman"/>
          <w:vertAlign w:val="superscript"/>
        </w:rPr>
        <w:t>-1</w:t>
      </w:r>
      <w:r w:rsidRPr="007E253F">
        <w:rPr>
          <w:rFonts w:cs="Times New Roman"/>
        </w:rPr>
        <w:t xml:space="preserve"> (AP), K kg/ha</w:t>
      </w:r>
      <w:r w:rsidRPr="007E253F">
        <w:rPr>
          <w:rFonts w:cs="Times New Roman"/>
          <w:vertAlign w:val="superscript"/>
        </w:rPr>
        <w:t>-1</w:t>
      </w:r>
      <w:r w:rsidRPr="007E253F">
        <w:rPr>
          <w:rFonts w:cs="Times New Roman"/>
        </w:rPr>
        <w:t xml:space="preserve"> (AK), S kg/ha</w:t>
      </w:r>
      <w:r w:rsidRPr="007E253F">
        <w:rPr>
          <w:rFonts w:cs="Times New Roman"/>
          <w:vertAlign w:val="superscript"/>
        </w:rPr>
        <w:t>-1</w:t>
      </w:r>
      <w:r w:rsidRPr="007E253F">
        <w:rPr>
          <w:rFonts w:cs="Times New Roman"/>
        </w:rPr>
        <w:t xml:space="preserve"> (AS), Mg kg/ha</w:t>
      </w:r>
      <w:r w:rsidRPr="007E253F">
        <w:rPr>
          <w:rFonts w:cs="Times New Roman"/>
          <w:vertAlign w:val="superscript"/>
        </w:rPr>
        <w:t xml:space="preserve">-1 </w:t>
      </w:r>
      <w:r w:rsidRPr="007E253F">
        <w:rPr>
          <w:rFonts w:cs="Times New Roman"/>
        </w:rPr>
        <w:t>(AMg)</w:t>
      </w:r>
    </w:p>
    <w:p w14:paraId="1B834591" w14:textId="49834B4A" w:rsidR="00487E40" w:rsidRPr="007E253F" w:rsidRDefault="00487E40" w:rsidP="000639DD">
      <w:pPr>
        <w:spacing w:after="0" w:line="360" w:lineRule="auto"/>
        <w:rPr>
          <w:rFonts w:eastAsia="Calibri" w:cs="Times New Roman"/>
          <w:szCs w:val="24"/>
          <w:lang w:val="es-ES"/>
        </w:rPr>
      </w:pPr>
      <w:r w:rsidRPr="007E253F">
        <w:rPr>
          <w:rFonts w:eastAsia="Calibri" w:cs="Times New Roman"/>
          <w:szCs w:val="24"/>
          <w:lang w:val="es-ES"/>
        </w:rPr>
        <w:t xml:space="preserve">Con los datos de población de plantas, rendimiento de materia seca por órganos y el contenido de macro y micronutrientes se determinó la cantidad de nutrientes extraídos del suelo. Se reportó la extracción de nutrientes por hectárea para cada uno de los tratamientos. Para ello se </w:t>
      </w:r>
      <w:r w:rsidRPr="007E253F">
        <w:rPr>
          <w:rFonts w:eastAsia="Calibri" w:cs="Times New Roman"/>
          <w:color w:val="000000"/>
          <w:szCs w:val="24"/>
          <w:lang w:val="es-ES"/>
        </w:rPr>
        <w:t xml:space="preserve">utilizó </w:t>
      </w:r>
      <w:r w:rsidRPr="007E253F">
        <w:rPr>
          <w:rFonts w:eastAsia="Calibri" w:cs="Times New Roman"/>
          <w:szCs w:val="24"/>
          <w:lang w:val="es-ES"/>
        </w:rPr>
        <w:t xml:space="preserve">la siguiente fórmula: </w:t>
      </w:r>
    </w:p>
    <w:p w14:paraId="16108EAA" w14:textId="77777777" w:rsidR="00487E40" w:rsidRPr="007E253F" w:rsidRDefault="00487E40" w:rsidP="000639DD">
      <w:pPr>
        <w:spacing w:before="360" w:after="360" w:line="360" w:lineRule="auto"/>
        <w:jc w:val="center"/>
        <w:rPr>
          <w:rFonts w:eastAsia="Calibri" w:cs="Times New Roman"/>
          <w:szCs w:val="24"/>
          <w:lang w:val="es-ES"/>
        </w:rPr>
      </w:pPr>
      <w:r w:rsidRPr="007E253F">
        <w:rPr>
          <w:rFonts w:eastAsia="Calibri" w:cs="Times New Roman"/>
          <w:szCs w:val="24"/>
          <w:lang w:val="es-ES"/>
        </w:rPr>
        <w:t>BMS x %N</w:t>
      </w:r>
    </w:p>
    <w:p w14:paraId="143DD213" w14:textId="77777777" w:rsidR="00487E40" w:rsidRPr="007E253F" w:rsidRDefault="00487E40" w:rsidP="00487E40">
      <w:pPr>
        <w:spacing w:line="360" w:lineRule="auto"/>
        <w:jc w:val="center"/>
        <w:rPr>
          <w:rFonts w:eastAsia="Calibri" w:cs="Times New Roman"/>
          <w:szCs w:val="24"/>
          <w:lang w:val="es-ES"/>
        </w:rPr>
      </w:pPr>
      <w:r w:rsidRPr="007E253F">
        <w:rPr>
          <w:rFonts w:eastAsia="Calibri" w:cs="Times New Roman"/>
          <w:szCs w:val="24"/>
          <w:lang w:val="es-ES"/>
        </w:rPr>
        <w:t>EN =-------------------------</w:t>
      </w:r>
    </w:p>
    <w:p w14:paraId="22B0CCDD" w14:textId="77777777" w:rsidR="00487E40" w:rsidRPr="007E253F" w:rsidRDefault="00487E40" w:rsidP="00487E40">
      <w:pPr>
        <w:spacing w:line="360" w:lineRule="auto"/>
        <w:ind w:left="708" w:firstLine="708"/>
        <w:rPr>
          <w:rFonts w:eastAsia="Calibri" w:cs="Times New Roman"/>
          <w:szCs w:val="24"/>
          <w:lang w:val="es-ES"/>
        </w:rPr>
      </w:pPr>
      <w:r w:rsidRPr="007E253F">
        <w:rPr>
          <w:rFonts w:eastAsia="Calibri" w:cs="Times New Roman"/>
          <w:szCs w:val="24"/>
          <w:lang w:val="es-ES"/>
        </w:rPr>
        <w:t xml:space="preserve">                                        100</w:t>
      </w:r>
    </w:p>
    <w:p w14:paraId="73B00955" w14:textId="77777777" w:rsidR="00487E40" w:rsidRPr="007E253F" w:rsidRDefault="00487E40" w:rsidP="00487E40">
      <w:pPr>
        <w:rPr>
          <w:rFonts w:eastAsia="Calibri" w:cs="Times New Roman"/>
          <w:b/>
          <w:bCs/>
          <w:szCs w:val="24"/>
          <w:lang w:val="es-ES"/>
        </w:rPr>
      </w:pPr>
      <w:r w:rsidRPr="007E253F">
        <w:rPr>
          <w:rFonts w:eastAsia="Calibri" w:cs="Times New Roman"/>
          <w:szCs w:val="24"/>
          <w:lang w:val="es-ES"/>
        </w:rPr>
        <w:t xml:space="preserve">En donde: </w:t>
      </w:r>
    </w:p>
    <w:p w14:paraId="4362F3EB" w14:textId="77777777" w:rsidR="00487E40" w:rsidRPr="007E253F" w:rsidRDefault="00487E40" w:rsidP="00487E40">
      <w:pPr>
        <w:rPr>
          <w:rFonts w:eastAsia="Calibri" w:cs="Times New Roman"/>
          <w:b/>
          <w:bCs/>
          <w:szCs w:val="24"/>
          <w:lang w:val="es-ES"/>
        </w:rPr>
      </w:pPr>
      <w:r w:rsidRPr="007E253F">
        <w:rPr>
          <w:rFonts w:eastAsia="Calibri" w:cs="Times New Roman"/>
          <w:szCs w:val="24"/>
          <w:lang w:val="es-ES"/>
        </w:rPr>
        <w:t xml:space="preserve">EN = Extracción del nutriente en kg/ha </w:t>
      </w:r>
    </w:p>
    <w:p w14:paraId="463469E5" w14:textId="77777777" w:rsidR="00487E40" w:rsidRPr="007E253F" w:rsidRDefault="00487E40" w:rsidP="00487E40">
      <w:pPr>
        <w:rPr>
          <w:rFonts w:eastAsia="Calibri" w:cs="Times New Roman"/>
          <w:b/>
          <w:bCs/>
          <w:szCs w:val="24"/>
          <w:lang w:val="es-ES"/>
        </w:rPr>
      </w:pPr>
      <w:r w:rsidRPr="007E253F">
        <w:rPr>
          <w:rFonts w:eastAsia="Calibri" w:cs="Times New Roman"/>
          <w:szCs w:val="24"/>
          <w:lang w:val="es-ES"/>
        </w:rPr>
        <w:t xml:space="preserve">BMS= Biomasa de materia seca en kg/ha </w:t>
      </w:r>
    </w:p>
    <w:p w14:paraId="63CF42C4" w14:textId="6126A472" w:rsidR="00487E40" w:rsidRDefault="00487E40" w:rsidP="00487E40">
      <w:pPr>
        <w:rPr>
          <w:rFonts w:eastAsia="Calibri" w:cs="Times New Roman"/>
          <w:szCs w:val="24"/>
          <w:lang w:val="es-ES"/>
        </w:rPr>
      </w:pPr>
      <w:r w:rsidRPr="007E253F">
        <w:rPr>
          <w:rFonts w:eastAsia="Calibri" w:cs="Times New Roman"/>
          <w:szCs w:val="24"/>
          <w:lang w:val="es-ES"/>
        </w:rPr>
        <w:t>%N =Concentración de nutriente en porcentaje</w:t>
      </w:r>
    </w:p>
    <w:p w14:paraId="21414B79" w14:textId="49BB4B64" w:rsidR="00487E40" w:rsidRPr="007E253F" w:rsidRDefault="00C65C5B" w:rsidP="000639DD">
      <w:pPr>
        <w:pStyle w:val="Ttulo2"/>
        <w:spacing w:before="360" w:after="360"/>
        <w:ind w:left="425" w:hanging="425"/>
        <w:rPr>
          <w:rFonts w:eastAsia="Times New Roman"/>
        </w:rPr>
      </w:pPr>
      <w:bookmarkStart w:id="1219" w:name="_Toc72741152"/>
      <w:bookmarkStart w:id="1220" w:name="_Toc72741950"/>
      <w:bookmarkStart w:id="1221" w:name="_Toc72742748"/>
      <w:bookmarkStart w:id="1222" w:name="_Toc72881492"/>
      <w:bookmarkStart w:id="1223" w:name="_Toc72882574"/>
      <w:bookmarkStart w:id="1224" w:name="_Toc75608919"/>
      <w:bookmarkStart w:id="1225" w:name="_Toc75611845"/>
      <w:bookmarkStart w:id="1226" w:name="_Toc75612691"/>
      <w:bookmarkStart w:id="1227" w:name="_Toc75679846"/>
      <w:bookmarkStart w:id="1228" w:name="_Toc75702454"/>
      <w:bookmarkStart w:id="1229" w:name="_Toc80312298"/>
      <w:r w:rsidRPr="007E253F">
        <w:rPr>
          <w:rFonts w:eastAsia="Times New Roman"/>
        </w:rPr>
        <w:lastRenderedPageBreak/>
        <w:t>Manejo del experimento</w:t>
      </w:r>
      <w:bookmarkEnd w:id="1219"/>
      <w:bookmarkEnd w:id="1220"/>
      <w:bookmarkEnd w:id="1221"/>
      <w:bookmarkEnd w:id="1222"/>
      <w:bookmarkEnd w:id="1223"/>
      <w:bookmarkEnd w:id="1224"/>
      <w:bookmarkEnd w:id="1225"/>
      <w:bookmarkEnd w:id="1226"/>
      <w:bookmarkEnd w:id="1227"/>
      <w:bookmarkEnd w:id="1228"/>
      <w:bookmarkEnd w:id="1229"/>
    </w:p>
    <w:p w14:paraId="60F91482" w14:textId="554D13F3" w:rsidR="00487E40" w:rsidRPr="007E253F" w:rsidRDefault="00487E40" w:rsidP="00306EB1">
      <w:pPr>
        <w:spacing w:after="0" w:line="360" w:lineRule="auto"/>
        <w:rPr>
          <w:rFonts w:eastAsia="Calibri" w:cs="Times New Roman"/>
          <w:szCs w:val="24"/>
          <w:lang w:val="es-ES"/>
        </w:rPr>
      </w:pPr>
      <w:r w:rsidRPr="007E253F">
        <w:rPr>
          <w:rFonts w:eastAsia="Calibri" w:cs="Times New Roman"/>
          <w:szCs w:val="24"/>
          <w:lang w:val="es-ES"/>
        </w:rPr>
        <w:t xml:space="preserve">El trabajo se </w:t>
      </w:r>
      <w:r w:rsidRPr="00C65C5B">
        <w:rPr>
          <w:rFonts w:eastAsia="Calibri" w:cs="Times New Roman"/>
          <w:szCs w:val="24"/>
          <w:lang w:val="es-ES"/>
        </w:rPr>
        <w:t>desarroll</w:t>
      </w:r>
      <w:r w:rsidR="00164D94" w:rsidRPr="00C65C5B">
        <w:rPr>
          <w:rFonts w:eastAsia="Calibri" w:cs="Times New Roman"/>
          <w:szCs w:val="24"/>
          <w:lang w:val="es-ES"/>
        </w:rPr>
        <w:t>ó</w:t>
      </w:r>
      <w:r w:rsidRPr="00C65C5B">
        <w:rPr>
          <w:rFonts w:eastAsia="Calibri" w:cs="Times New Roman"/>
          <w:szCs w:val="24"/>
          <w:lang w:val="es-ES"/>
        </w:rPr>
        <w:t xml:space="preserve"> a</w:t>
      </w:r>
      <w:r w:rsidRPr="007E253F">
        <w:rPr>
          <w:rFonts w:eastAsia="Calibri" w:cs="Times New Roman"/>
          <w:szCs w:val="24"/>
          <w:lang w:val="es-ES"/>
        </w:rPr>
        <w:t xml:space="preserve"> nivel de gabinete, es decir con el acceso a las bases de datos preexistentes en el programa de maíz del INIAP.</w:t>
      </w:r>
    </w:p>
    <w:p w14:paraId="3592F4EB" w14:textId="49BD4BB1" w:rsidR="00487E40" w:rsidRPr="007E253F" w:rsidRDefault="00487E40" w:rsidP="000639DD">
      <w:pPr>
        <w:pStyle w:val="Ttulo3"/>
        <w:spacing w:before="360" w:after="360"/>
        <w:rPr>
          <w:rFonts w:eastAsia="Times New Roman"/>
          <w:b w:val="0"/>
          <w:bCs w:val="0"/>
        </w:rPr>
      </w:pPr>
      <w:bookmarkStart w:id="1230" w:name="_Toc72741153"/>
      <w:bookmarkStart w:id="1231" w:name="_Toc72741951"/>
      <w:bookmarkStart w:id="1232" w:name="_Toc72742749"/>
      <w:bookmarkStart w:id="1233" w:name="_Toc72881493"/>
      <w:bookmarkStart w:id="1234" w:name="_Toc72882575"/>
      <w:bookmarkStart w:id="1235" w:name="_Toc75608920"/>
      <w:bookmarkStart w:id="1236" w:name="_Toc75611846"/>
      <w:bookmarkStart w:id="1237" w:name="_Toc75612692"/>
      <w:bookmarkStart w:id="1238" w:name="_Toc75679847"/>
      <w:bookmarkStart w:id="1239" w:name="_Toc75702455"/>
      <w:bookmarkStart w:id="1240" w:name="_Toc80312299"/>
      <w:r w:rsidRPr="007E253F">
        <w:rPr>
          <w:rFonts w:eastAsia="Times New Roman"/>
        </w:rPr>
        <w:t>Depuración de la base de datos</w:t>
      </w:r>
      <w:bookmarkEnd w:id="1230"/>
      <w:bookmarkEnd w:id="1231"/>
      <w:bookmarkEnd w:id="1232"/>
      <w:bookmarkEnd w:id="1233"/>
      <w:bookmarkEnd w:id="1234"/>
      <w:bookmarkEnd w:id="1235"/>
      <w:bookmarkEnd w:id="1236"/>
      <w:bookmarkEnd w:id="1237"/>
      <w:bookmarkEnd w:id="1238"/>
      <w:bookmarkEnd w:id="1239"/>
      <w:bookmarkEnd w:id="1240"/>
      <w:r w:rsidRPr="007E253F">
        <w:rPr>
          <w:rFonts w:eastAsia="Times New Roman"/>
        </w:rPr>
        <w:t xml:space="preserve"> </w:t>
      </w:r>
    </w:p>
    <w:p w14:paraId="36E77DB0" w14:textId="42924445" w:rsidR="00306EB1" w:rsidRPr="007E253F" w:rsidRDefault="00487E40" w:rsidP="000639DD">
      <w:pPr>
        <w:spacing w:after="0" w:line="360" w:lineRule="auto"/>
        <w:rPr>
          <w:rFonts w:eastAsia="Calibri" w:cs="Times New Roman"/>
          <w:szCs w:val="24"/>
          <w:lang w:val="es-ES"/>
        </w:rPr>
      </w:pPr>
      <w:r w:rsidRPr="007E253F">
        <w:rPr>
          <w:rFonts w:eastAsia="Calibri" w:cs="Times New Roman"/>
          <w:szCs w:val="24"/>
          <w:lang w:val="es-ES"/>
        </w:rPr>
        <w:t>En un cuadro de doble entrada se organiz</w:t>
      </w:r>
      <w:r w:rsidR="00F63637">
        <w:rPr>
          <w:rFonts w:eastAsia="Calibri" w:cs="Times New Roman"/>
          <w:szCs w:val="24"/>
          <w:lang w:val="es-ES"/>
        </w:rPr>
        <w:t>ó</w:t>
      </w:r>
      <w:r w:rsidRPr="007E253F">
        <w:rPr>
          <w:rFonts w:eastAsia="Calibri" w:cs="Times New Roman"/>
          <w:szCs w:val="24"/>
          <w:lang w:val="es-ES"/>
        </w:rPr>
        <w:t xml:space="preserve"> la variable de absorción total de N, P, K, S y Mg del cultivo en Kg/ha; seguido del rendimiento en </w:t>
      </w:r>
      <w:r w:rsidRPr="007E253F">
        <w:rPr>
          <w:rFonts w:cs="Times New Roman"/>
          <w:szCs w:val="24"/>
        </w:rPr>
        <w:t>t ha</w:t>
      </w:r>
      <w:r w:rsidRPr="007E253F">
        <w:rPr>
          <w:rFonts w:cs="Times New Roman"/>
          <w:szCs w:val="24"/>
          <w:vertAlign w:val="superscript"/>
        </w:rPr>
        <w:t>-1</w:t>
      </w:r>
      <w:r w:rsidRPr="007E253F">
        <w:rPr>
          <w:rFonts w:eastAsia="Calibri" w:cs="Times New Roman"/>
          <w:szCs w:val="24"/>
          <w:lang w:val="es-ES"/>
        </w:rPr>
        <w:t>. Esto se lo realiz</w:t>
      </w:r>
      <w:r w:rsidR="00F63637">
        <w:rPr>
          <w:rFonts w:eastAsia="Calibri" w:cs="Times New Roman"/>
          <w:szCs w:val="24"/>
          <w:lang w:val="es-ES"/>
        </w:rPr>
        <w:t>ó</w:t>
      </w:r>
      <w:r w:rsidRPr="007E253F">
        <w:rPr>
          <w:rFonts w:eastAsia="Calibri" w:cs="Times New Roman"/>
          <w:szCs w:val="24"/>
          <w:lang w:val="es-ES"/>
        </w:rPr>
        <w:t xml:space="preserve"> para crear una base de datos para su respectivo análisis</w:t>
      </w:r>
    </w:p>
    <w:p w14:paraId="69CDA6AC" w14:textId="68889B4B" w:rsidR="00487E40" w:rsidRPr="007E253F" w:rsidRDefault="00487E40" w:rsidP="000639DD">
      <w:pPr>
        <w:pStyle w:val="Ttulo3"/>
        <w:spacing w:before="360" w:after="360"/>
        <w:rPr>
          <w:rFonts w:eastAsia="Times New Roman"/>
          <w:b w:val="0"/>
          <w:bCs w:val="0"/>
        </w:rPr>
      </w:pPr>
      <w:bookmarkStart w:id="1241" w:name="_Toc72741154"/>
      <w:bookmarkStart w:id="1242" w:name="_Toc72741952"/>
      <w:bookmarkStart w:id="1243" w:name="_Toc72742750"/>
      <w:bookmarkStart w:id="1244" w:name="_Toc72881494"/>
      <w:bookmarkStart w:id="1245" w:name="_Toc72882576"/>
      <w:bookmarkStart w:id="1246" w:name="_Toc75608921"/>
      <w:bookmarkStart w:id="1247" w:name="_Toc75611847"/>
      <w:bookmarkStart w:id="1248" w:name="_Toc75612693"/>
      <w:bookmarkStart w:id="1249" w:name="_Toc75679848"/>
      <w:bookmarkStart w:id="1250" w:name="_Toc75702456"/>
      <w:bookmarkStart w:id="1251" w:name="_Toc80312300"/>
      <w:r w:rsidRPr="007E253F">
        <w:rPr>
          <w:rFonts w:eastAsia="Times New Roman"/>
        </w:rPr>
        <w:t>Sistematización de la base de datos</w:t>
      </w:r>
      <w:bookmarkEnd w:id="1241"/>
      <w:bookmarkEnd w:id="1242"/>
      <w:bookmarkEnd w:id="1243"/>
      <w:bookmarkEnd w:id="1244"/>
      <w:bookmarkEnd w:id="1245"/>
      <w:bookmarkEnd w:id="1246"/>
      <w:bookmarkEnd w:id="1247"/>
      <w:bookmarkEnd w:id="1248"/>
      <w:bookmarkEnd w:id="1249"/>
      <w:bookmarkEnd w:id="1250"/>
      <w:bookmarkEnd w:id="1251"/>
      <w:r w:rsidRPr="007E253F">
        <w:rPr>
          <w:rFonts w:eastAsia="Times New Roman"/>
        </w:rPr>
        <w:t xml:space="preserve"> </w:t>
      </w:r>
    </w:p>
    <w:p w14:paraId="117FF73E" w14:textId="2CACF622" w:rsidR="00487E40" w:rsidRPr="007E253F" w:rsidRDefault="00487E40" w:rsidP="00306EB1">
      <w:pPr>
        <w:spacing w:after="0" w:line="360" w:lineRule="auto"/>
        <w:rPr>
          <w:rFonts w:eastAsia="Calibri" w:cs="Times New Roman"/>
          <w:szCs w:val="24"/>
          <w:lang w:val="es-ES"/>
        </w:rPr>
      </w:pPr>
      <w:r w:rsidRPr="007E253F">
        <w:rPr>
          <w:rFonts w:eastAsia="Calibri" w:cs="Times New Roman"/>
          <w:szCs w:val="24"/>
          <w:lang w:val="es-ES"/>
        </w:rPr>
        <w:t xml:space="preserve">La técnica que se utilizó para este procedimiento fue la organización de la información en una hoja de cálculo Excel en una Cuadro de doble entrada según la siguiente jerarquía: año de evaluación, provincia, Cantón, Parroquia, Sitio, Altitud, Variedad, Dosis N, P, K, S, Mg, Rendimiento (14% h) </w:t>
      </w:r>
      <w:r w:rsidRPr="007E253F">
        <w:rPr>
          <w:rFonts w:cs="Times New Roman"/>
          <w:szCs w:val="24"/>
        </w:rPr>
        <w:t>t ha</w:t>
      </w:r>
      <w:r w:rsidRPr="007E253F">
        <w:rPr>
          <w:rFonts w:cs="Times New Roman"/>
          <w:szCs w:val="24"/>
          <w:vertAlign w:val="superscript"/>
        </w:rPr>
        <w:t>-1</w:t>
      </w:r>
      <w:r w:rsidRPr="007E253F">
        <w:rPr>
          <w:rFonts w:eastAsia="Calibri" w:cs="Times New Roman"/>
          <w:szCs w:val="24"/>
          <w:lang w:val="es-ES"/>
        </w:rPr>
        <w:t>, A</w:t>
      </w:r>
      <w:r w:rsidR="005F2CA6">
        <w:rPr>
          <w:rFonts w:eastAsia="Calibri" w:cs="Times New Roman"/>
          <w:szCs w:val="24"/>
          <w:lang w:val="es-ES"/>
        </w:rPr>
        <w:t>b</w:t>
      </w:r>
      <w:r w:rsidRPr="007E253F">
        <w:rPr>
          <w:rFonts w:eastAsia="Calibri" w:cs="Times New Roman"/>
          <w:szCs w:val="24"/>
          <w:lang w:val="es-ES"/>
        </w:rPr>
        <w:t xml:space="preserve">sorción total de Nitrógeno, Fósforo, Potasio, Azufre, Magnesio con su respectiva desviación estándar. </w:t>
      </w:r>
    </w:p>
    <w:p w14:paraId="37E22C08" w14:textId="25520B35" w:rsidR="00487E40" w:rsidRPr="007E253F" w:rsidRDefault="00487E40" w:rsidP="00C26AF2">
      <w:pPr>
        <w:pStyle w:val="Ttulo3"/>
        <w:spacing w:before="360" w:after="360"/>
        <w:rPr>
          <w:rFonts w:eastAsia="Times New Roman"/>
          <w:b w:val="0"/>
          <w:bCs w:val="0"/>
        </w:rPr>
      </w:pPr>
      <w:bookmarkStart w:id="1252" w:name="_Toc72741155"/>
      <w:bookmarkStart w:id="1253" w:name="_Toc72741953"/>
      <w:bookmarkStart w:id="1254" w:name="_Toc72742751"/>
      <w:bookmarkStart w:id="1255" w:name="_Toc72881495"/>
      <w:bookmarkStart w:id="1256" w:name="_Toc72882577"/>
      <w:bookmarkStart w:id="1257" w:name="_Toc75608922"/>
      <w:bookmarkStart w:id="1258" w:name="_Toc75611848"/>
      <w:bookmarkStart w:id="1259" w:name="_Toc75612694"/>
      <w:bookmarkStart w:id="1260" w:name="_Toc75679849"/>
      <w:bookmarkStart w:id="1261" w:name="_Toc75702457"/>
      <w:bookmarkStart w:id="1262" w:name="_Toc80312301"/>
      <w:r w:rsidRPr="007E253F">
        <w:rPr>
          <w:rFonts w:eastAsia="Times New Roman"/>
        </w:rPr>
        <w:t>Generación de base de datos</w:t>
      </w:r>
      <w:bookmarkEnd w:id="1252"/>
      <w:bookmarkEnd w:id="1253"/>
      <w:bookmarkEnd w:id="1254"/>
      <w:bookmarkEnd w:id="1255"/>
      <w:bookmarkEnd w:id="1256"/>
      <w:bookmarkEnd w:id="1257"/>
      <w:bookmarkEnd w:id="1258"/>
      <w:bookmarkEnd w:id="1259"/>
      <w:bookmarkEnd w:id="1260"/>
      <w:bookmarkEnd w:id="1261"/>
      <w:bookmarkEnd w:id="1262"/>
      <w:r w:rsidRPr="007E253F">
        <w:rPr>
          <w:rFonts w:eastAsia="Times New Roman"/>
        </w:rPr>
        <w:t xml:space="preserve"> </w:t>
      </w:r>
    </w:p>
    <w:p w14:paraId="7AC00359" w14:textId="77777777" w:rsidR="00487E40" w:rsidRPr="007E253F" w:rsidRDefault="00487E40" w:rsidP="00306EB1">
      <w:pPr>
        <w:spacing w:after="0" w:line="360" w:lineRule="auto"/>
        <w:rPr>
          <w:rFonts w:eastAsia="Calibri" w:cs="Times New Roman"/>
          <w:szCs w:val="24"/>
          <w:lang w:val="es-ES"/>
        </w:rPr>
      </w:pPr>
      <w:r w:rsidRPr="007E253F">
        <w:rPr>
          <w:rFonts w:eastAsia="Calibri" w:cs="Times New Roman"/>
          <w:szCs w:val="24"/>
          <w:lang w:val="es-ES"/>
        </w:rPr>
        <w:t xml:space="preserve">Una vez sistematizado la información, se evaluaron 6 variables productivas (RG, AN. AP, AK, AS, AMg,) del maíz con 241 casos por las tres provincias y un periodo de 10 años. Luego se procedió a estimar parámetros estadísticos como promedios y coeficiente de variación. </w:t>
      </w:r>
    </w:p>
    <w:p w14:paraId="334D625F" w14:textId="77777777" w:rsidR="00487E40" w:rsidRPr="007E253F" w:rsidRDefault="00487E40" w:rsidP="00487E40">
      <w:pPr>
        <w:spacing w:line="360" w:lineRule="auto"/>
        <w:rPr>
          <w:rFonts w:cs="Times New Roman"/>
          <w:b/>
          <w:bCs/>
          <w:szCs w:val="24"/>
        </w:rPr>
      </w:pPr>
    </w:p>
    <w:p w14:paraId="40ABBB46" w14:textId="77777777" w:rsidR="004B45E8" w:rsidRDefault="00515E28" w:rsidP="004B45E8">
      <w:pPr>
        <w:pStyle w:val="Ttulo1"/>
      </w:pPr>
      <w:r>
        <w:br w:type="page"/>
      </w:r>
      <w:bookmarkStart w:id="1263" w:name="_Toc72741156"/>
      <w:bookmarkStart w:id="1264" w:name="_Toc72741954"/>
      <w:bookmarkStart w:id="1265" w:name="_Toc72742752"/>
      <w:bookmarkStart w:id="1266" w:name="_Toc72881496"/>
      <w:bookmarkStart w:id="1267" w:name="_Toc72882578"/>
      <w:bookmarkStart w:id="1268" w:name="_Toc75608923"/>
      <w:bookmarkStart w:id="1269" w:name="_Toc75611849"/>
      <w:bookmarkStart w:id="1270" w:name="_Toc75612695"/>
      <w:bookmarkStart w:id="1271" w:name="_Toc75679850"/>
      <w:bookmarkStart w:id="1272" w:name="_Toc75702458"/>
      <w:bookmarkStart w:id="1273" w:name="_Toc80312302"/>
      <w:r w:rsidR="00487E40" w:rsidRPr="007E253F">
        <w:lastRenderedPageBreak/>
        <w:t>RESULTADOS</w:t>
      </w:r>
      <w:bookmarkEnd w:id="1263"/>
      <w:bookmarkEnd w:id="1264"/>
      <w:bookmarkEnd w:id="1265"/>
      <w:bookmarkEnd w:id="1266"/>
      <w:bookmarkEnd w:id="1267"/>
      <w:bookmarkEnd w:id="1268"/>
      <w:bookmarkEnd w:id="1269"/>
      <w:bookmarkEnd w:id="1270"/>
      <w:bookmarkEnd w:id="1271"/>
      <w:bookmarkEnd w:id="1272"/>
      <w:r w:rsidR="00F67B88">
        <w:t xml:space="preserve"> Y DISCUSIÓN</w:t>
      </w:r>
      <w:bookmarkStart w:id="1274" w:name="_Toc72741157"/>
      <w:bookmarkStart w:id="1275" w:name="_Toc72741955"/>
      <w:bookmarkStart w:id="1276" w:name="_Toc72742753"/>
      <w:bookmarkStart w:id="1277" w:name="_Toc72881497"/>
      <w:bookmarkStart w:id="1278" w:name="_Toc72882579"/>
      <w:bookmarkStart w:id="1279" w:name="_Toc75608924"/>
      <w:bookmarkStart w:id="1280" w:name="_Toc75611850"/>
      <w:bookmarkStart w:id="1281" w:name="_Toc75612696"/>
      <w:bookmarkStart w:id="1282" w:name="_Toc75679851"/>
      <w:bookmarkStart w:id="1283" w:name="_Toc75702459"/>
      <w:bookmarkEnd w:id="1273"/>
    </w:p>
    <w:p w14:paraId="23C40121" w14:textId="7E344248" w:rsidR="00487E40" w:rsidRPr="007E253F" w:rsidRDefault="00487E40" w:rsidP="004B45E8">
      <w:pPr>
        <w:pStyle w:val="Ttulo2"/>
        <w:spacing w:before="360" w:after="360"/>
        <w:ind w:left="1077"/>
      </w:pPr>
      <w:bookmarkStart w:id="1284" w:name="_Toc80312303"/>
      <w:r w:rsidRPr="007E253F">
        <w:t>Base de datos con resultados de ensayos de fertilización en maíz suave</w:t>
      </w:r>
      <w:bookmarkEnd w:id="1274"/>
      <w:bookmarkEnd w:id="1275"/>
      <w:bookmarkEnd w:id="1276"/>
      <w:bookmarkEnd w:id="1277"/>
      <w:bookmarkEnd w:id="1278"/>
      <w:bookmarkEnd w:id="1279"/>
      <w:bookmarkEnd w:id="1280"/>
      <w:bookmarkEnd w:id="1281"/>
      <w:bookmarkEnd w:id="1282"/>
      <w:bookmarkEnd w:id="1283"/>
      <w:bookmarkEnd w:id="1284"/>
    </w:p>
    <w:p w14:paraId="19061121" w14:textId="48FB376B" w:rsidR="00487E40" w:rsidRDefault="00487E40" w:rsidP="00DB0D02">
      <w:pPr>
        <w:spacing w:line="360" w:lineRule="auto"/>
        <w:rPr>
          <w:rFonts w:cs="Times New Roman"/>
          <w:bCs/>
          <w:szCs w:val="24"/>
        </w:rPr>
      </w:pPr>
      <w:r w:rsidRPr="007E253F">
        <w:rPr>
          <w:rFonts w:cs="Times New Roman"/>
          <w:bCs/>
          <w:szCs w:val="24"/>
        </w:rPr>
        <w:t>Basado en los 26 archivos recibidos de ensayos de maíz del Departamento de Suelos y Aguas de la Estación Experimental Santa Catalina del INIAP, se generó una base datos en Excel que contenía 25 columnas o variables (</w:t>
      </w:r>
      <w:r w:rsidR="006760D1">
        <w:rPr>
          <w:rFonts w:cs="Times New Roman"/>
          <w:bCs/>
          <w:szCs w:val="24"/>
        </w:rPr>
        <w:t>Tabla</w:t>
      </w:r>
      <w:r w:rsidRPr="007E253F">
        <w:rPr>
          <w:rFonts w:cs="Times New Roman"/>
          <w:bCs/>
          <w:szCs w:val="24"/>
        </w:rPr>
        <w:t xml:space="preserve"> 1) y 241 casos o hileras. </w:t>
      </w:r>
    </w:p>
    <w:p w14:paraId="211063C9" w14:textId="5392C15B" w:rsidR="00DB0D02" w:rsidRPr="00DB0D02" w:rsidRDefault="00DB0D02" w:rsidP="004B45E8">
      <w:pPr>
        <w:pStyle w:val="Descripcin"/>
        <w:keepNext/>
        <w:spacing w:before="360"/>
        <w:rPr>
          <w:rFonts w:cs="Times New Roman"/>
          <w:bCs/>
          <w:i w:val="0"/>
          <w:iCs w:val="0"/>
          <w:color w:val="auto"/>
          <w:sz w:val="24"/>
          <w:szCs w:val="24"/>
          <w:lang w:eastAsia="en-US"/>
        </w:rPr>
      </w:pPr>
      <w:bookmarkStart w:id="1285" w:name="_Toc79314004"/>
      <w:r w:rsidRPr="00DB0D02">
        <w:rPr>
          <w:rFonts w:cs="Times New Roman"/>
          <w:b/>
          <w:bCs/>
          <w:i w:val="0"/>
          <w:iCs w:val="0"/>
          <w:color w:val="auto"/>
          <w:sz w:val="24"/>
          <w:szCs w:val="24"/>
          <w:lang w:eastAsia="en-US"/>
        </w:rPr>
        <w:t xml:space="preserve">Cuadro </w:t>
      </w:r>
      <w:r w:rsidRPr="00DB0D02">
        <w:rPr>
          <w:rFonts w:cs="Times New Roman"/>
          <w:b/>
          <w:bCs/>
          <w:i w:val="0"/>
          <w:iCs w:val="0"/>
          <w:color w:val="auto"/>
          <w:sz w:val="24"/>
          <w:szCs w:val="24"/>
          <w:lang w:eastAsia="en-US"/>
        </w:rPr>
        <w:fldChar w:fldCharType="begin"/>
      </w:r>
      <w:r w:rsidRPr="00DB0D02">
        <w:rPr>
          <w:rFonts w:cs="Times New Roman"/>
          <w:b/>
          <w:bCs/>
          <w:i w:val="0"/>
          <w:iCs w:val="0"/>
          <w:color w:val="auto"/>
          <w:sz w:val="24"/>
          <w:szCs w:val="24"/>
          <w:lang w:eastAsia="en-US"/>
        </w:rPr>
        <w:instrText xml:space="preserve"> SEQ Cuadro \* ARABIC </w:instrText>
      </w:r>
      <w:r w:rsidRPr="00DB0D02">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12</w:t>
      </w:r>
      <w:r w:rsidRPr="00DB0D02">
        <w:rPr>
          <w:rFonts w:cs="Times New Roman"/>
          <w:b/>
          <w:bCs/>
          <w:i w:val="0"/>
          <w:iCs w:val="0"/>
          <w:color w:val="auto"/>
          <w:sz w:val="24"/>
          <w:szCs w:val="24"/>
          <w:lang w:eastAsia="en-US"/>
        </w:rPr>
        <w:fldChar w:fldCharType="end"/>
      </w:r>
      <w:r w:rsidRPr="00DB0D02">
        <w:rPr>
          <w:rFonts w:cs="Times New Roman"/>
          <w:b/>
          <w:bCs/>
          <w:i w:val="0"/>
          <w:iCs w:val="0"/>
          <w:color w:val="auto"/>
          <w:sz w:val="24"/>
          <w:szCs w:val="24"/>
          <w:lang w:eastAsia="en-US"/>
        </w:rPr>
        <w:t>.</w:t>
      </w:r>
      <w:r w:rsidRPr="00DB0D02">
        <w:rPr>
          <w:rFonts w:cs="Times New Roman"/>
          <w:bCs/>
          <w:i w:val="0"/>
          <w:iCs w:val="0"/>
          <w:color w:val="auto"/>
          <w:sz w:val="24"/>
          <w:szCs w:val="24"/>
          <w:lang w:eastAsia="en-US"/>
        </w:rPr>
        <w:t xml:space="preserve"> Variables enlistadas en la base de datos de ensayos de fertilización en el cultivo de maíz de altura del INIAP, del 2006 al 2015.</w:t>
      </w:r>
      <w:bookmarkEnd w:id="1285"/>
    </w:p>
    <w:tbl>
      <w:tblPr>
        <w:tblStyle w:val="Tablaconcuadrcula1"/>
        <w:tblW w:w="7796" w:type="dxa"/>
        <w:tblInd w:w="137" w:type="dxa"/>
        <w:tblLook w:val="04A0" w:firstRow="1" w:lastRow="0" w:firstColumn="1" w:lastColumn="0" w:noHBand="0" w:noVBand="1"/>
      </w:tblPr>
      <w:tblGrid>
        <w:gridCol w:w="567"/>
        <w:gridCol w:w="2239"/>
        <w:gridCol w:w="4990"/>
      </w:tblGrid>
      <w:tr w:rsidR="009071C2" w:rsidRPr="00A25BD1" w14:paraId="54C783C2" w14:textId="77777777" w:rsidTr="004B45E8">
        <w:trPr>
          <w:trHeight w:val="408"/>
        </w:trPr>
        <w:tc>
          <w:tcPr>
            <w:tcW w:w="567" w:type="dxa"/>
          </w:tcPr>
          <w:p w14:paraId="18CBCDF9" w14:textId="77777777" w:rsidR="009071C2" w:rsidRPr="00A25BD1" w:rsidRDefault="009071C2" w:rsidP="004B45E8">
            <w:pPr>
              <w:rPr>
                <w:rFonts w:cs="Times New Roman"/>
                <w:b/>
                <w:sz w:val="22"/>
              </w:rPr>
            </w:pPr>
            <w:r w:rsidRPr="00A25BD1">
              <w:rPr>
                <w:rFonts w:cs="Times New Roman"/>
                <w:b/>
                <w:sz w:val="22"/>
              </w:rPr>
              <w:t>N°</w:t>
            </w:r>
          </w:p>
        </w:tc>
        <w:tc>
          <w:tcPr>
            <w:tcW w:w="2239" w:type="dxa"/>
          </w:tcPr>
          <w:p w14:paraId="5DA978A9" w14:textId="77777777" w:rsidR="009071C2" w:rsidRPr="00A25BD1" w:rsidRDefault="009071C2" w:rsidP="004B45E8">
            <w:pPr>
              <w:rPr>
                <w:rFonts w:cs="Times New Roman"/>
                <w:b/>
                <w:sz w:val="22"/>
              </w:rPr>
            </w:pPr>
            <w:r w:rsidRPr="00A25BD1">
              <w:rPr>
                <w:rFonts w:cs="Times New Roman"/>
                <w:b/>
                <w:sz w:val="22"/>
              </w:rPr>
              <w:t>Variable</w:t>
            </w:r>
          </w:p>
        </w:tc>
        <w:tc>
          <w:tcPr>
            <w:tcW w:w="4990" w:type="dxa"/>
          </w:tcPr>
          <w:p w14:paraId="4986D5DE" w14:textId="77777777" w:rsidR="009071C2" w:rsidRPr="00A25BD1" w:rsidRDefault="009071C2" w:rsidP="004B45E8">
            <w:pPr>
              <w:rPr>
                <w:rFonts w:cs="Times New Roman"/>
                <w:b/>
                <w:sz w:val="22"/>
              </w:rPr>
            </w:pPr>
            <w:r w:rsidRPr="00A25BD1">
              <w:rPr>
                <w:rFonts w:cs="Times New Roman"/>
                <w:b/>
                <w:sz w:val="22"/>
              </w:rPr>
              <w:t>Descripción o Rango</w:t>
            </w:r>
          </w:p>
        </w:tc>
      </w:tr>
      <w:tr w:rsidR="009071C2" w:rsidRPr="00A25BD1" w14:paraId="7B6EA2C7" w14:textId="77777777" w:rsidTr="004B45E8">
        <w:trPr>
          <w:trHeight w:val="424"/>
        </w:trPr>
        <w:tc>
          <w:tcPr>
            <w:tcW w:w="567" w:type="dxa"/>
          </w:tcPr>
          <w:p w14:paraId="051688B7" w14:textId="77777777" w:rsidR="009071C2" w:rsidRPr="00A25BD1" w:rsidRDefault="009071C2" w:rsidP="004B45E8">
            <w:pPr>
              <w:rPr>
                <w:rFonts w:cs="Times New Roman"/>
                <w:bCs/>
                <w:sz w:val="22"/>
              </w:rPr>
            </w:pPr>
            <w:r w:rsidRPr="00A25BD1">
              <w:rPr>
                <w:rFonts w:cs="Times New Roman"/>
                <w:bCs/>
                <w:sz w:val="22"/>
              </w:rPr>
              <w:t xml:space="preserve">1 </w:t>
            </w:r>
          </w:p>
        </w:tc>
        <w:tc>
          <w:tcPr>
            <w:tcW w:w="2239" w:type="dxa"/>
          </w:tcPr>
          <w:p w14:paraId="4C8782C9" w14:textId="77777777" w:rsidR="009071C2" w:rsidRPr="00A25BD1" w:rsidRDefault="009071C2" w:rsidP="004B45E8">
            <w:pPr>
              <w:rPr>
                <w:rFonts w:cs="Times New Roman"/>
                <w:bCs/>
                <w:sz w:val="22"/>
              </w:rPr>
            </w:pPr>
            <w:r w:rsidRPr="00A25BD1">
              <w:rPr>
                <w:rFonts w:cs="Times New Roman"/>
                <w:bCs/>
                <w:sz w:val="22"/>
              </w:rPr>
              <w:t xml:space="preserve">Año </w:t>
            </w:r>
          </w:p>
        </w:tc>
        <w:tc>
          <w:tcPr>
            <w:tcW w:w="4990" w:type="dxa"/>
          </w:tcPr>
          <w:p w14:paraId="05B13C9A" w14:textId="77777777" w:rsidR="009071C2" w:rsidRPr="00A25BD1" w:rsidRDefault="009071C2" w:rsidP="004B45E8">
            <w:pPr>
              <w:rPr>
                <w:rFonts w:cs="Times New Roman"/>
                <w:bCs/>
                <w:sz w:val="22"/>
              </w:rPr>
            </w:pPr>
            <w:r w:rsidRPr="00A25BD1">
              <w:rPr>
                <w:rFonts w:cs="Times New Roman"/>
                <w:bCs/>
                <w:sz w:val="22"/>
              </w:rPr>
              <w:t>2006 al 2015</w:t>
            </w:r>
          </w:p>
        </w:tc>
      </w:tr>
      <w:tr w:rsidR="009071C2" w:rsidRPr="00A25BD1" w14:paraId="7395A402" w14:textId="77777777" w:rsidTr="004B45E8">
        <w:trPr>
          <w:trHeight w:val="519"/>
        </w:trPr>
        <w:tc>
          <w:tcPr>
            <w:tcW w:w="567" w:type="dxa"/>
          </w:tcPr>
          <w:p w14:paraId="5E67AD65" w14:textId="77777777" w:rsidR="009071C2" w:rsidRPr="00A25BD1" w:rsidRDefault="009071C2" w:rsidP="004B45E8">
            <w:pPr>
              <w:rPr>
                <w:rFonts w:cs="Times New Roman"/>
                <w:bCs/>
                <w:sz w:val="22"/>
              </w:rPr>
            </w:pPr>
            <w:r w:rsidRPr="00A25BD1">
              <w:rPr>
                <w:rFonts w:cs="Times New Roman"/>
                <w:bCs/>
                <w:sz w:val="22"/>
              </w:rPr>
              <w:t>2</w:t>
            </w:r>
          </w:p>
        </w:tc>
        <w:tc>
          <w:tcPr>
            <w:tcW w:w="2239" w:type="dxa"/>
          </w:tcPr>
          <w:p w14:paraId="4A73D455" w14:textId="77777777" w:rsidR="009071C2" w:rsidRPr="00A25BD1" w:rsidRDefault="009071C2" w:rsidP="004B45E8">
            <w:pPr>
              <w:rPr>
                <w:rFonts w:cs="Times New Roman"/>
                <w:bCs/>
                <w:sz w:val="22"/>
              </w:rPr>
            </w:pPr>
            <w:r w:rsidRPr="00A25BD1">
              <w:rPr>
                <w:rFonts w:cs="Times New Roman"/>
                <w:bCs/>
                <w:sz w:val="22"/>
              </w:rPr>
              <w:t>Provincia</w:t>
            </w:r>
          </w:p>
        </w:tc>
        <w:tc>
          <w:tcPr>
            <w:tcW w:w="4990" w:type="dxa"/>
          </w:tcPr>
          <w:p w14:paraId="637DFE67" w14:textId="0359316A" w:rsidR="009071C2" w:rsidRPr="00A25BD1" w:rsidRDefault="009071C2" w:rsidP="004B45E8">
            <w:pPr>
              <w:rPr>
                <w:rFonts w:cs="Times New Roman"/>
                <w:bCs/>
                <w:sz w:val="22"/>
              </w:rPr>
            </w:pPr>
            <w:r w:rsidRPr="00A25BD1">
              <w:rPr>
                <w:rFonts w:cs="Times New Roman"/>
                <w:bCs/>
                <w:sz w:val="22"/>
              </w:rPr>
              <w:t>Bolívar, Chimborazo e Imbabura.</w:t>
            </w:r>
          </w:p>
        </w:tc>
      </w:tr>
      <w:tr w:rsidR="009071C2" w:rsidRPr="00A25BD1" w14:paraId="0FBF3BC7" w14:textId="77777777" w:rsidTr="004B45E8">
        <w:trPr>
          <w:trHeight w:val="829"/>
        </w:trPr>
        <w:tc>
          <w:tcPr>
            <w:tcW w:w="567" w:type="dxa"/>
          </w:tcPr>
          <w:p w14:paraId="4EC1E4D3" w14:textId="77777777" w:rsidR="009071C2" w:rsidRPr="00A25BD1" w:rsidRDefault="009071C2" w:rsidP="004B45E8">
            <w:pPr>
              <w:rPr>
                <w:rFonts w:cs="Times New Roman"/>
                <w:bCs/>
                <w:sz w:val="22"/>
              </w:rPr>
            </w:pPr>
            <w:r w:rsidRPr="00A25BD1">
              <w:rPr>
                <w:rFonts w:cs="Times New Roman"/>
                <w:bCs/>
                <w:sz w:val="22"/>
              </w:rPr>
              <w:t>3</w:t>
            </w:r>
          </w:p>
        </w:tc>
        <w:tc>
          <w:tcPr>
            <w:tcW w:w="2239" w:type="dxa"/>
          </w:tcPr>
          <w:p w14:paraId="7F74557B" w14:textId="77777777" w:rsidR="009071C2" w:rsidRPr="00A25BD1" w:rsidRDefault="009071C2" w:rsidP="004B45E8">
            <w:pPr>
              <w:rPr>
                <w:rFonts w:cs="Times New Roman"/>
                <w:bCs/>
                <w:sz w:val="22"/>
              </w:rPr>
            </w:pPr>
            <w:r w:rsidRPr="00A25BD1">
              <w:rPr>
                <w:rFonts w:cs="Times New Roman"/>
                <w:bCs/>
                <w:sz w:val="22"/>
              </w:rPr>
              <w:t xml:space="preserve">Cantón </w:t>
            </w:r>
          </w:p>
        </w:tc>
        <w:tc>
          <w:tcPr>
            <w:tcW w:w="4990" w:type="dxa"/>
          </w:tcPr>
          <w:p w14:paraId="2D003FED" w14:textId="77777777" w:rsidR="009071C2" w:rsidRPr="00A25BD1" w:rsidRDefault="009071C2" w:rsidP="004B45E8">
            <w:pPr>
              <w:rPr>
                <w:rFonts w:cs="Times New Roman"/>
                <w:bCs/>
                <w:sz w:val="22"/>
              </w:rPr>
            </w:pPr>
            <w:r w:rsidRPr="00A25BD1">
              <w:rPr>
                <w:rFonts w:cs="Times New Roman"/>
                <w:bCs/>
                <w:sz w:val="22"/>
              </w:rPr>
              <w:t xml:space="preserve">Guaranda, San Miguel, Chimbo, Chillanes. </w:t>
            </w:r>
          </w:p>
          <w:p w14:paraId="7DA144D4" w14:textId="77777777" w:rsidR="009071C2" w:rsidRPr="00A25BD1" w:rsidRDefault="009071C2" w:rsidP="004B45E8">
            <w:pPr>
              <w:rPr>
                <w:rFonts w:cs="Times New Roman"/>
                <w:bCs/>
                <w:sz w:val="22"/>
              </w:rPr>
            </w:pPr>
            <w:r w:rsidRPr="00A25BD1">
              <w:rPr>
                <w:rFonts w:cs="Times New Roman"/>
                <w:bCs/>
                <w:sz w:val="22"/>
              </w:rPr>
              <w:t>Riobamba, Guano.</w:t>
            </w:r>
          </w:p>
          <w:p w14:paraId="2EDA8223" w14:textId="77777777" w:rsidR="009071C2" w:rsidRPr="00A25BD1" w:rsidRDefault="009071C2" w:rsidP="004B45E8">
            <w:pPr>
              <w:rPr>
                <w:rFonts w:cs="Times New Roman"/>
                <w:b/>
                <w:sz w:val="22"/>
              </w:rPr>
            </w:pPr>
            <w:r w:rsidRPr="00A25BD1">
              <w:rPr>
                <w:rFonts w:cs="Times New Roman"/>
                <w:bCs/>
                <w:sz w:val="22"/>
              </w:rPr>
              <w:t>Otavalo, Cotacachi.</w:t>
            </w:r>
          </w:p>
        </w:tc>
      </w:tr>
      <w:tr w:rsidR="009071C2" w:rsidRPr="00A25BD1" w14:paraId="0BB74950" w14:textId="77777777" w:rsidTr="004B45E8">
        <w:trPr>
          <w:trHeight w:val="1447"/>
        </w:trPr>
        <w:tc>
          <w:tcPr>
            <w:tcW w:w="567" w:type="dxa"/>
          </w:tcPr>
          <w:p w14:paraId="36650A93" w14:textId="77777777" w:rsidR="009071C2" w:rsidRPr="00A25BD1" w:rsidRDefault="009071C2" w:rsidP="004B45E8">
            <w:pPr>
              <w:rPr>
                <w:rFonts w:cs="Times New Roman"/>
                <w:bCs/>
                <w:sz w:val="22"/>
              </w:rPr>
            </w:pPr>
            <w:r w:rsidRPr="00A25BD1">
              <w:rPr>
                <w:rFonts w:cs="Times New Roman"/>
                <w:bCs/>
                <w:sz w:val="22"/>
              </w:rPr>
              <w:t>4</w:t>
            </w:r>
          </w:p>
        </w:tc>
        <w:tc>
          <w:tcPr>
            <w:tcW w:w="2239" w:type="dxa"/>
          </w:tcPr>
          <w:p w14:paraId="5D53759A" w14:textId="77777777" w:rsidR="009071C2" w:rsidRPr="00A25BD1" w:rsidRDefault="009071C2" w:rsidP="004B45E8">
            <w:pPr>
              <w:rPr>
                <w:rFonts w:cs="Times New Roman"/>
                <w:bCs/>
                <w:sz w:val="22"/>
              </w:rPr>
            </w:pPr>
            <w:r w:rsidRPr="00A25BD1">
              <w:rPr>
                <w:rFonts w:cs="Times New Roman"/>
                <w:bCs/>
                <w:sz w:val="22"/>
              </w:rPr>
              <w:t xml:space="preserve">Parroquia </w:t>
            </w:r>
          </w:p>
        </w:tc>
        <w:tc>
          <w:tcPr>
            <w:tcW w:w="4990" w:type="dxa"/>
          </w:tcPr>
          <w:p w14:paraId="233036E9" w14:textId="3A4661F9" w:rsidR="009071C2" w:rsidRPr="004B45E8" w:rsidRDefault="009071C2" w:rsidP="004B45E8">
            <w:pPr>
              <w:rPr>
                <w:rFonts w:cs="Times New Roman"/>
                <w:bCs/>
                <w:sz w:val="22"/>
              </w:rPr>
            </w:pPr>
            <w:r w:rsidRPr="00A25BD1">
              <w:rPr>
                <w:rFonts w:cs="Times New Roman"/>
                <w:bCs/>
                <w:sz w:val="22"/>
              </w:rPr>
              <w:t xml:space="preserve">Veintimilla, San Pablo, Chimbo, Chillanes, Santiago, La Matriz, San Juanpamba, San Pedro de G, San Simón, La Magdalena, Central de Chimbo. Quimiag, Licto, Chazo.Miguel Egas, Paztavi, Ilumán, Imantag, El Sagrario.  </w:t>
            </w:r>
          </w:p>
        </w:tc>
      </w:tr>
      <w:tr w:rsidR="009071C2" w:rsidRPr="00A25BD1" w14:paraId="48856150" w14:textId="77777777" w:rsidTr="004B45E8">
        <w:trPr>
          <w:trHeight w:val="1965"/>
        </w:trPr>
        <w:tc>
          <w:tcPr>
            <w:tcW w:w="567" w:type="dxa"/>
          </w:tcPr>
          <w:p w14:paraId="11842C2D" w14:textId="77777777" w:rsidR="009071C2" w:rsidRPr="00A25BD1" w:rsidRDefault="009071C2" w:rsidP="004B45E8">
            <w:pPr>
              <w:rPr>
                <w:rFonts w:cs="Times New Roman"/>
                <w:bCs/>
                <w:sz w:val="22"/>
              </w:rPr>
            </w:pPr>
            <w:r w:rsidRPr="00A25BD1">
              <w:rPr>
                <w:rFonts w:cs="Times New Roman"/>
                <w:bCs/>
                <w:sz w:val="22"/>
              </w:rPr>
              <w:t>5</w:t>
            </w:r>
          </w:p>
        </w:tc>
        <w:tc>
          <w:tcPr>
            <w:tcW w:w="2239" w:type="dxa"/>
          </w:tcPr>
          <w:p w14:paraId="169F70F9" w14:textId="77777777" w:rsidR="009071C2" w:rsidRPr="00A25BD1" w:rsidRDefault="009071C2" w:rsidP="004B45E8">
            <w:pPr>
              <w:rPr>
                <w:rFonts w:cs="Times New Roman"/>
                <w:bCs/>
                <w:sz w:val="22"/>
              </w:rPr>
            </w:pPr>
            <w:r w:rsidRPr="00A25BD1">
              <w:rPr>
                <w:rFonts w:cs="Times New Roman"/>
                <w:bCs/>
                <w:sz w:val="22"/>
              </w:rPr>
              <w:t xml:space="preserve">Sitos </w:t>
            </w:r>
          </w:p>
        </w:tc>
        <w:tc>
          <w:tcPr>
            <w:tcW w:w="4990" w:type="dxa"/>
          </w:tcPr>
          <w:p w14:paraId="7410EDF2" w14:textId="3ED16052" w:rsidR="009071C2" w:rsidRPr="00A25BD1" w:rsidRDefault="009071C2" w:rsidP="004B45E8">
            <w:pPr>
              <w:rPr>
                <w:rFonts w:cs="Times New Roman"/>
                <w:bCs/>
                <w:sz w:val="22"/>
              </w:rPr>
            </w:pPr>
            <w:r w:rsidRPr="00A25BD1">
              <w:rPr>
                <w:rFonts w:cs="Times New Roman"/>
                <w:bCs/>
                <w:sz w:val="22"/>
              </w:rPr>
              <w:t xml:space="preserve">Laguacoto, ITSA, Tamban, Sigsipamba, Pacay, Loma de Santiago, 3 de marzo, Rancho Marshal, San Juanpamba, Camino a 1 Km, Detrás de la Plaza, San Vicente, El Huerto, La Merced, Colegio Puruha Pompeya, ITSA Puruha, Tunshi, Chazo, Cortijo Bajo, Granja Colegio.Quinchuqui, Quichinche San José, Sta., Mónica, Peribuela, San Nicolas.  </w:t>
            </w:r>
          </w:p>
        </w:tc>
      </w:tr>
      <w:tr w:rsidR="009071C2" w:rsidRPr="00A25BD1" w14:paraId="76E7D321" w14:textId="77777777" w:rsidTr="004B45E8">
        <w:trPr>
          <w:trHeight w:val="424"/>
        </w:trPr>
        <w:tc>
          <w:tcPr>
            <w:tcW w:w="567" w:type="dxa"/>
          </w:tcPr>
          <w:p w14:paraId="3FF31267" w14:textId="77777777" w:rsidR="009071C2" w:rsidRPr="00A25BD1" w:rsidRDefault="009071C2" w:rsidP="004B45E8">
            <w:pPr>
              <w:rPr>
                <w:rFonts w:cs="Times New Roman"/>
                <w:bCs/>
                <w:sz w:val="22"/>
              </w:rPr>
            </w:pPr>
            <w:r w:rsidRPr="00A25BD1">
              <w:rPr>
                <w:rFonts w:cs="Times New Roman"/>
                <w:bCs/>
                <w:sz w:val="22"/>
              </w:rPr>
              <w:t>6</w:t>
            </w:r>
          </w:p>
        </w:tc>
        <w:tc>
          <w:tcPr>
            <w:tcW w:w="2239" w:type="dxa"/>
          </w:tcPr>
          <w:p w14:paraId="6B15D92D" w14:textId="77777777" w:rsidR="009071C2" w:rsidRPr="00A25BD1" w:rsidRDefault="009071C2" w:rsidP="004B45E8">
            <w:pPr>
              <w:rPr>
                <w:rFonts w:cs="Times New Roman"/>
                <w:bCs/>
                <w:sz w:val="22"/>
              </w:rPr>
            </w:pPr>
            <w:r w:rsidRPr="00A25BD1">
              <w:rPr>
                <w:rFonts w:cs="Times New Roman"/>
                <w:bCs/>
                <w:sz w:val="22"/>
              </w:rPr>
              <w:t>Altitud</w:t>
            </w:r>
          </w:p>
        </w:tc>
        <w:tc>
          <w:tcPr>
            <w:tcW w:w="4990" w:type="dxa"/>
          </w:tcPr>
          <w:p w14:paraId="4039726F" w14:textId="1389B98A" w:rsidR="009071C2" w:rsidRPr="00A25BD1" w:rsidRDefault="009071C2" w:rsidP="004B45E8">
            <w:pPr>
              <w:rPr>
                <w:rFonts w:cs="Times New Roman"/>
                <w:bCs/>
                <w:sz w:val="22"/>
              </w:rPr>
            </w:pPr>
            <w:r w:rsidRPr="00A25BD1">
              <w:rPr>
                <w:rFonts w:cs="Times New Roman"/>
                <w:color w:val="000000"/>
                <w:sz w:val="22"/>
              </w:rPr>
              <w:t xml:space="preserve">2290 a </w:t>
            </w:r>
            <w:r w:rsidRPr="00E70495">
              <w:rPr>
                <w:rFonts w:cs="Times New Roman"/>
                <w:color w:val="000000"/>
                <w:sz w:val="22"/>
              </w:rPr>
              <w:t>2868 msnm</w:t>
            </w:r>
          </w:p>
        </w:tc>
      </w:tr>
      <w:tr w:rsidR="009071C2" w:rsidRPr="00742F16" w14:paraId="37EC6D43" w14:textId="77777777" w:rsidTr="004B45E8">
        <w:trPr>
          <w:trHeight w:val="342"/>
        </w:trPr>
        <w:tc>
          <w:tcPr>
            <w:tcW w:w="567" w:type="dxa"/>
          </w:tcPr>
          <w:p w14:paraId="369B8BC8" w14:textId="77777777" w:rsidR="009071C2" w:rsidRPr="00A25BD1" w:rsidRDefault="009071C2" w:rsidP="004B45E8">
            <w:pPr>
              <w:rPr>
                <w:rFonts w:cs="Times New Roman"/>
                <w:bCs/>
                <w:sz w:val="22"/>
              </w:rPr>
            </w:pPr>
            <w:r w:rsidRPr="00A25BD1">
              <w:rPr>
                <w:rFonts w:cs="Times New Roman"/>
                <w:bCs/>
                <w:sz w:val="22"/>
              </w:rPr>
              <w:t>7</w:t>
            </w:r>
          </w:p>
        </w:tc>
        <w:tc>
          <w:tcPr>
            <w:tcW w:w="2239" w:type="dxa"/>
          </w:tcPr>
          <w:p w14:paraId="084E35A0" w14:textId="77777777" w:rsidR="009071C2" w:rsidRPr="00A25BD1" w:rsidRDefault="009071C2" w:rsidP="004B45E8">
            <w:pPr>
              <w:rPr>
                <w:rFonts w:cs="Times New Roman"/>
                <w:bCs/>
                <w:sz w:val="22"/>
              </w:rPr>
            </w:pPr>
            <w:r w:rsidRPr="00A25BD1">
              <w:rPr>
                <w:rFonts w:cs="Times New Roman"/>
                <w:bCs/>
                <w:sz w:val="22"/>
              </w:rPr>
              <w:t xml:space="preserve">Variedad </w:t>
            </w:r>
          </w:p>
        </w:tc>
        <w:tc>
          <w:tcPr>
            <w:tcW w:w="4990" w:type="dxa"/>
          </w:tcPr>
          <w:p w14:paraId="3B6BF6EB" w14:textId="77777777" w:rsidR="009071C2" w:rsidRPr="00A25BD1" w:rsidRDefault="009071C2" w:rsidP="004B45E8">
            <w:pPr>
              <w:rPr>
                <w:rFonts w:cs="Times New Roman"/>
                <w:bCs/>
                <w:sz w:val="22"/>
                <w:lang w:val="en-US"/>
              </w:rPr>
            </w:pPr>
            <w:r w:rsidRPr="00A25BD1">
              <w:rPr>
                <w:rFonts w:cs="Times New Roman"/>
                <w:bCs/>
                <w:sz w:val="22"/>
                <w:lang w:val="en-US"/>
              </w:rPr>
              <w:t xml:space="preserve">INIAP 102, INIAP 111, Chazo, INIAP 122, Huandango.  </w:t>
            </w:r>
          </w:p>
        </w:tc>
      </w:tr>
      <w:tr w:rsidR="009071C2" w:rsidRPr="00A25BD1" w14:paraId="4E83F430" w14:textId="77777777" w:rsidTr="004B45E8">
        <w:trPr>
          <w:trHeight w:val="408"/>
        </w:trPr>
        <w:tc>
          <w:tcPr>
            <w:tcW w:w="567" w:type="dxa"/>
          </w:tcPr>
          <w:p w14:paraId="04287FA8" w14:textId="77777777" w:rsidR="009071C2" w:rsidRPr="00A25BD1" w:rsidRDefault="009071C2" w:rsidP="004B45E8">
            <w:pPr>
              <w:rPr>
                <w:rFonts w:cs="Times New Roman"/>
                <w:bCs/>
                <w:sz w:val="22"/>
              </w:rPr>
            </w:pPr>
            <w:r w:rsidRPr="00A25BD1">
              <w:rPr>
                <w:rFonts w:cs="Times New Roman"/>
                <w:bCs/>
                <w:sz w:val="22"/>
              </w:rPr>
              <w:t>8</w:t>
            </w:r>
          </w:p>
        </w:tc>
        <w:tc>
          <w:tcPr>
            <w:tcW w:w="2239" w:type="dxa"/>
          </w:tcPr>
          <w:p w14:paraId="20B5FB1E" w14:textId="77777777" w:rsidR="009071C2" w:rsidRPr="00A25BD1" w:rsidRDefault="009071C2" w:rsidP="004B45E8">
            <w:pPr>
              <w:rPr>
                <w:rFonts w:cs="Times New Roman"/>
                <w:bCs/>
                <w:sz w:val="22"/>
              </w:rPr>
            </w:pPr>
            <w:r w:rsidRPr="00A25BD1">
              <w:rPr>
                <w:rFonts w:cs="Times New Roman"/>
                <w:bCs/>
                <w:sz w:val="22"/>
              </w:rPr>
              <w:t>Dosis N</w:t>
            </w:r>
          </w:p>
        </w:tc>
        <w:tc>
          <w:tcPr>
            <w:tcW w:w="4990" w:type="dxa"/>
          </w:tcPr>
          <w:p w14:paraId="006F7263" w14:textId="77777777" w:rsidR="009071C2" w:rsidRPr="00A25BD1" w:rsidRDefault="009071C2" w:rsidP="004B45E8">
            <w:pPr>
              <w:rPr>
                <w:rFonts w:cs="Times New Roman"/>
                <w:bCs/>
                <w:sz w:val="22"/>
              </w:rPr>
            </w:pPr>
            <w:r w:rsidRPr="00A25BD1">
              <w:rPr>
                <w:rFonts w:cs="Times New Roman"/>
                <w:bCs/>
                <w:sz w:val="22"/>
              </w:rPr>
              <w:t>0 – 200 kg ha</w:t>
            </w:r>
            <w:r w:rsidRPr="00A25BD1">
              <w:rPr>
                <w:rFonts w:cs="Times New Roman"/>
                <w:bCs/>
                <w:sz w:val="22"/>
                <w:vertAlign w:val="superscript"/>
              </w:rPr>
              <w:t>-1</w:t>
            </w:r>
          </w:p>
        </w:tc>
      </w:tr>
      <w:tr w:rsidR="009071C2" w:rsidRPr="00A25BD1" w14:paraId="39FE37EA" w14:textId="77777777" w:rsidTr="004B45E8">
        <w:trPr>
          <w:trHeight w:val="408"/>
        </w:trPr>
        <w:tc>
          <w:tcPr>
            <w:tcW w:w="567" w:type="dxa"/>
          </w:tcPr>
          <w:p w14:paraId="373BC66E" w14:textId="77777777" w:rsidR="009071C2" w:rsidRPr="00A25BD1" w:rsidRDefault="009071C2" w:rsidP="004B45E8">
            <w:pPr>
              <w:rPr>
                <w:rFonts w:cs="Times New Roman"/>
                <w:bCs/>
                <w:sz w:val="22"/>
              </w:rPr>
            </w:pPr>
            <w:r w:rsidRPr="00A25BD1">
              <w:rPr>
                <w:rFonts w:cs="Times New Roman"/>
                <w:bCs/>
                <w:sz w:val="22"/>
              </w:rPr>
              <w:t>9</w:t>
            </w:r>
          </w:p>
        </w:tc>
        <w:tc>
          <w:tcPr>
            <w:tcW w:w="2239" w:type="dxa"/>
          </w:tcPr>
          <w:p w14:paraId="0B384BF8" w14:textId="77777777" w:rsidR="009071C2" w:rsidRPr="00A25BD1" w:rsidRDefault="009071C2" w:rsidP="004B45E8">
            <w:pPr>
              <w:rPr>
                <w:rFonts w:cs="Times New Roman"/>
                <w:bCs/>
                <w:sz w:val="22"/>
              </w:rPr>
            </w:pPr>
            <w:r w:rsidRPr="00A25BD1">
              <w:rPr>
                <w:rFonts w:cs="Times New Roman"/>
                <w:bCs/>
                <w:sz w:val="22"/>
              </w:rPr>
              <w:t>Dosis P</w:t>
            </w:r>
          </w:p>
        </w:tc>
        <w:tc>
          <w:tcPr>
            <w:tcW w:w="4990" w:type="dxa"/>
          </w:tcPr>
          <w:p w14:paraId="09C7330D" w14:textId="77777777" w:rsidR="009071C2" w:rsidRPr="00A25BD1" w:rsidRDefault="009071C2" w:rsidP="004B45E8">
            <w:pPr>
              <w:rPr>
                <w:rFonts w:cs="Times New Roman"/>
                <w:bCs/>
                <w:sz w:val="22"/>
              </w:rPr>
            </w:pPr>
            <w:r w:rsidRPr="00A25BD1">
              <w:rPr>
                <w:rFonts w:cs="Times New Roman"/>
                <w:bCs/>
                <w:sz w:val="22"/>
              </w:rPr>
              <w:t>0 – 70 kg ha</w:t>
            </w:r>
            <w:r w:rsidRPr="00A25BD1">
              <w:rPr>
                <w:rFonts w:cs="Times New Roman"/>
                <w:bCs/>
                <w:sz w:val="22"/>
                <w:vertAlign w:val="superscript"/>
              </w:rPr>
              <w:t>-1</w:t>
            </w:r>
          </w:p>
        </w:tc>
      </w:tr>
      <w:tr w:rsidR="009071C2" w:rsidRPr="00A25BD1" w14:paraId="78BF0819" w14:textId="77777777" w:rsidTr="004B45E8">
        <w:trPr>
          <w:trHeight w:val="145"/>
        </w:trPr>
        <w:tc>
          <w:tcPr>
            <w:tcW w:w="567" w:type="dxa"/>
          </w:tcPr>
          <w:p w14:paraId="68B3DCB4" w14:textId="77777777" w:rsidR="009071C2" w:rsidRPr="00A25BD1" w:rsidRDefault="009071C2" w:rsidP="004B45E8">
            <w:pPr>
              <w:rPr>
                <w:rFonts w:cs="Times New Roman"/>
                <w:bCs/>
                <w:sz w:val="22"/>
              </w:rPr>
            </w:pPr>
            <w:r w:rsidRPr="00A25BD1">
              <w:rPr>
                <w:rFonts w:cs="Times New Roman"/>
                <w:bCs/>
                <w:sz w:val="22"/>
              </w:rPr>
              <w:t>10</w:t>
            </w:r>
          </w:p>
        </w:tc>
        <w:tc>
          <w:tcPr>
            <w:tcW w:w="2239" w:type="dxa"/>
          </w:tcPr>
          <w:p w14:paraId="5726D748" w14:textId="77777777" w:rsidR="009071C2" w:rsidRPr="00A25BD1" w:rsidRDefault="009071C2" w:rsidP="004B45E8">
            <w:pPr>
              <w:rPr>
                <w:rFonts w:cs="Times New Roman"/>
                <w:bCs/>
                <w:sz w:val="22"/>
              </w:rPr>
            </w:pPr>
            <w:r w:rsidRPr="00A25BD1">
              <w:rPr>
                <w:rFonts w:cs="Times New Roman"/>
                <w:bCs/>
                <w:sz w:val="22"/>
              </w:rPr>
              <w:t>Dosis K</w:t>
            </w:r>
          </w:p>
        </w:tc>
        <w:tc>
          <w:tcPr>
            <w:tcW w:w="4990" w:type="dxa"/>
          </w:tcPr>
          <w:p w14:paraId="081DC298" w14:textId="77777777" w:rsidR="009071C2" w:rsidRPr="00A25BD1" w:rsidRDefault="009071C2" w:rsidP="004B45E8">
            <w:pPr>
              <w:rPr>
                <w:rFonts w:cs="Times New Roman"/>
                <w:bCs/>
                <w:sz w:val="22"/>
              </w:rPr>
            </w:pPr>
            <w:r w:rsidRPr="00A25BD1">
              <w:rPr>
                <w:rFonts w:cs="Times New Roman"/>
                <w:bCs/>
                <w:sz w:val="22"/>
              </w:rPr>
              <w:t>0 – 60 kg ha</w:t>
            </w:r>
            <w:r w:rsidRPr="00A25BD1">
              <w:rPr>
                <w:rFonts w:cs="Times New Roman"/>
                <w:bCs/>
                <w:sz w:val="22"/>
                <w:vertAlign w:val="superscript"/>
              </w:rPr>
              <w:t>-1</w:t>
            </w:r>
          </w:p>
        </w:tc>
      </w:tr>
      <w:tr w:rsidR="009071C2" w:rsidRPr="00A25BD1" w14:paraId="4AEE007A" w14:textId="77777777" w:rsidTr="004B45E8">
        <w:trPr>
          <w:trHeight w:val="145"/>
        </w:trPr>
        <w:tc>
          <w:tcPr>
            <w:tcW w:w="567" w:type="dxa"/>
          </w:tcPr>
          <w:p w14:paraId="53A6A0D7" w14:textId="77777777" w:rsidR="009071C2" w:rsidRPr="00A25BD1" w:rsidRDefault="009071C2" w:rsidP="004B45E8">
            <w:pPr>
              <w:rPr>
                <w:rFonts w:cs="Times New Roman"/>
                <w:bCs/>
                <w:sz w:val="22"/>
              </w:rPr>
            </w:pPr>
            <w:r w:rsidRPr="00A25BD1">
              <w:rPr>
                <w:rFonts w:cs="Times New Roman"/>
                <w:bCs/>
                <w:sz w:val="22"/>
              </w:rPr>
              <w:t>11</w:t>
            </w:r>
          </w:p>
        </w:tc>
        <w:tc>
          <w:tcPr>
            <w:tcW w:w="2239" w:type="dxa"/>
          </w:tcPr>
          <w:p w14:paraId="3A753864" w14:textId="77777777" w:rsidR="009071C2" w:rsidRPr="00A25BD1" w:rsidRDefault="009071C2" w:rsidP="004B45E8">
            <w:pPr>
              <w:rPr>
                <w:rFonts w:cs="Times New Roman"/>
                <w:bCs/>
                <w:sz w:val="22"/>
              </w:rPr>
            </w:pPr>
            <w:r w:rsidRPr="00A25BD1">
              <w:rPr>
                <w:rFonts w:cs="Times New Roman"/>
                <w:bCs/>
                <w:sz w:val="22"/>
              </w:rPr>
              <w:t>Dosis S</w:t>
            </w:r>
          </w:p>
        </w:tc>
        <w:tc>
          <w:tcPr>
            <w:tcW w:w="4990" w:type="dxa"/>
          </w:tcPr>
          <w:p w14:paraId="3E011777" w14:textId="77777777" w:rsidR="009071C2" w:rsidRPr="00A25BD1" w:rsidRDefault="009071C2" w:rsidP="004B45E8">
            <w:pPr>
              <w:rPr>
                <w:rFonts w:cs="Times New Roman"/>
                <w:bCs/>
                <w:sz w:val="22"/>
              </w:rPr>
            </w:pPr>
            <w:r w:rsidRPr="00A25BD1">
              <w:rPr>
                <w:rFonts w:cs="Times New Roman"/>
                <w:bCs/>
                <w:sz w:val="22"/>
              </w:rPr>
              <w:t>0 – 40 kg ha</w:t>
            </w:r>
            <w:r w:rsidRPr="00A25BD1">
              <w:rPr>
                <w:rFonts w:cs="Times New Roman"/>
                <w:bCs/>
                <w:sz w:val="22"/>
                <w:vertAlign w:val="superscript"/>
              </w:rPr>
              <w:t>-1</w:t>
            </w:r>
          </w:p>
        </w:tc>
      </w:tr>
      <w:tr w:rsidR="009071C2" w:rsidRPr="00A25BD1" w14:paraId="3D8C162A" w14:textId="77777777" w:rsidTr="004B45E8">
        <w:trPr>
          <w:trHeight w:val="378"/>
        </w:trPr>
        <w:tc>
          <w:tcPr>
            <w:tcW w:w="567" w:type="dxa"/>
          </w:tcPr>
          <w:p w14:paraId="279536C4" w14:textId="77777777" w:rsidR="009071C2" w:rsidRPr="00A25BD1" w:rsidRDefault="009071C2" w:rsidP="004B45E8">
            <w:pPr>
              <w:rPr>
                <w:rFonts w:cs="Times New Roman"/>
                <w:bCs/>
                <w:sz w:val="22"/>
              </w:rPr>
            </w:pPr>
            <w:r w:rsidRPr="00A25BD1">
              <w:rPr>
                <w:rFonts w:cs="Times New Roman"/>
                <w:bCs/>
                <w:sz w:val="22"/>
              </w:rPr>
              <w:t>12</w:t>
            </w:r>
          </w:p>
        </w:tc>
        <w:tc>
          <w:tcPr>
            <w:tcW w:w="2239" w:type="dxa"/>
          </w:tcPr>
          <w:p w14:paraId="2262CD01" w14:textId="77777777" w:rsidR="009071C2" w:rsidRPr="00A25BD1" w:rsidRDefault="009071C2" w:rsidP="004B45E8">
            <w:pPr>
              <w:rPr>
                <w:rFonts w:cs="Times New Roman"/>
                <w:bCs/>
                <w:sz w:val="22"/>
              </w:rPr>
            </w:pPr>
            <w:r w:rsidRPr="00A25BD1">
              <w:rPr>
                <w:rFonts w:cs="Times New Roman"/>
                <w:bCs/>
                <w:sz w:val="22"/>
              </w:rPr>
              <w:t>Dosis Mg</w:t>
            </w:r>
          </w:p>
        </w:tc>
        <w:tc>
          <w:tcPr>
            <w:tcW w:w="4990" w:type="dxa"/>
          </w:tcPr>
          <w:p w14:paraId="435F63FF" w14:textId="77777777" w:rsidR="009071C2" w:rsidRPr="00A25BD1" w:rsidRDefault="009071C2" w:rsidP="004B45E8">
            <w:pPr>
              <w:rPr>
                <w:rFonts w:cs="Times New Roman"/>
                <w:bCs/>
                <w:sz w:val="22"/>
              </w:rPr>
            </w:pPr>
            <w:r w:rsidRPr="00A25BD1">
              <w:rPr>
                <w:rFonts w:cs="Times New Roman"/>
                <w:bCs/>
                <w:sz w:val="22"/>
              </w:rPr>
              <w:t>0 – 30 kg ha</w:t>
            </w:r>
            <w:r w:rsidRPr="00A25BD1">
              <w:rPr>
                <w:rFonts w:cs="Times New Roman"/>
                <w:bCs/>
                <w:sz w:val="22"/>
                <w:vertAlign w:val="superscript"/>
              </w:rPr>
              <w:t>-1</w:t>
            </w:r>
          </w:p>
        </w:tc>
      </w:tr>
      <w:tr w:rsidR="009071C2" w:rsidRPr="00A25BD1" w14:paraId="660D639F" w14:textId="77777777" w:rsidTr="004B45E8">
        <w:trPr>
          <w:trHeight w:val="378"/>
        </w:trPr>
        <w:tc>
          <w:tcPr>
            <w:tcW w:w="567" w:type="dxa"/>
          </w:tcPr>
          <w:p w14:paraId="423B0BA5" w14:textId="77777777" w:rsidR="009071C2" w:rsidRPr="00A25BD1" w:rsidRDefault="009071C2" w:rsidP="004B45E8">
            <w:pPr>
              <w:rPr>
                <w:rFonts w:cs="Times New Roman"/>
                <w:bCs/>
                <w:sz w:val="22"/>
              </w:rPr>
            </w:pPr>
            <w:r w:rsidRPr="00A25BD1">
              <w:rPr>
                <w:rFonts w:cs="Times New Roman"/>
                <w:bCs/>
                <w:sz w:val="22"/>
              </w:rPr>
              <w:t>13</w:t>
            </w:r>
          </w:p>
        </w:tc>
        <w:tc>
          <w:tcPr>
            <w:tcW w:w="2239" w:type="dxa"/>
          </w:tcPr>
          <w:p w14:paraId="6E3A903B" w14:textId="73034E25" w:rsidR="009071C2" w:rsidRPr="00A25BD1" w:rsidRDefault="009071C2" w:rsidP="00B7395A">
            <w:pPr>
              <w:rPr>
                <w:rFonts w:cs="Times New Roman"/>
                <w:bCs/>
                <w:sz w:val="22"/>
              </w:rPr>
            </w:pPr>
            <w:r w:rsidRPr="00A25BD1">
              <w:rPr>
                <w:rFonts w:cs="Times New Roman"/>
                <w:bCs/>
                <w:sz w:val="22"/>
              </w:rPr>
              <w:t>N</w:t>
            </w:r>
            <w:r w:rsidR="00B7395A">
              <w:rPr>
                <w:rFonts w:cs="Times New Roman"/>
                <w:bCs/>
                <w:sz w:val="22"/>
              </w:rPr>
              <w:t>ú</w:t>
            </w:r>
            <w:r w:rsidRPr="00A25BD1">
              <w:rPr>
                <w:rFonts w:cs="Times New Roman"/>
                <w:bCs/>
                <w:sz w:val="22"/>
              </w:rPr>
              <w:t xml:space="preserve">mero de repeticiones </w:t>
            </w:r>
          </w:p>
        </w:tc>
        <w:tc>
          <w:tcPr>
            <w:tcW w:w="4990" w:type="dxa"/>
          </w:tcPr>
          <w:p w14:paraId="57BC18B9" w14:textId="77777777" w:rsidR="009071C2" w:rsidRPr="00A25BD1" w:rsidRDefault="009071C2" w:rsidP="004B45E8">
            <w:pPr>
              <w:rPr>
                <w:rFonts w:cs="Times New Roman"/>
                <w:bCs/>
                <w:sz w:val="22"/>
              </w:rPr>
            </w:pPr>
            <w:r w:rsidRPr="00A25BD1">
              <w:rPr>
                <w:rFonts w:cs="Times New Roman"/>
                <w:bCs/>
                <w:sz w:val="22"/>
              </w:rPr>
              <w:t>1 – 4</w:t>
            </w:r>
          </w:p>
        </w:tc>
      </w:tr>
      <w:tr w:rsidR="009071C2" w:rsidRPr="00A25BD1" w14:paraId="4FF45886" w14:textId="77777777" w:rsidTr="004B45E8">
        <w:trPr>
          <w:trHeight w:val="561"/>
        </w:trPr>
        <w:tc>
          <w:tcPr>
            <w:tcW w:w="567" w:type="dxa"/>
          </w:tcPr>
          <w:p w14:paraId="2AB3B29D" w14:textId="77777777" w:rsidR="009071C2" w:rsidRPr="00A25BD1" w:rsidRDefault="009071C2" w:rsidP="004B45E8">
            <w:pPr>
              <w:rPr>
                <w:rFonts w:cs="Times New Roman"/>
                <w:bCs/>
                <w:sz w:val="22"/>
              </w:rPr>
            </w:pPr>
            <w:r w:rsidRPr="00A25BD1">
              <w:rPr>
                <w:rFonts w:cs="Times New Roman"/>
                <w:bCs/>
                <w:sz w:val="22"/>
              </w:rPr>
              <w:lastRenderedPageBreak/>
              <w:t>14</w:t>
            </w:r>
          </w:p>
        </w:tc>
        <w:tc>
          <w:tcPr>
            <w:tcW w:w="2239" w:type="dxa"/>
          </w:tcPr>
          <w:p w14:paraId="4AD8016F" w14:textId="77777777" w:rsidR="009071C2" w:rsidRPr="00A25BD1" w:rsidRDefault="009071C2" w:rsidP="004B45E8">
            <w:pPr>
              <w:rPr>
                <w:rFonts w:cs="Times New Roman"/>
                <w:bCs/>
                <w:sz w:val="22"/>
              </w:rPr>
            </w:pPr>
            <w:r w:rsidRPr="00A25BD1">
              <w:rPr>
                <w:rFonts w:cs="Times New Roman"/>
                <w:bCs/>
                <w:sz w:val="22"/>
              </w:rPr>
              <w:t>Rendimiento de grano t ha</w:t>
            </w:r>
            <w:r w:rsidRPr="00A25BD1">
              <w:rPr>
                <w:rFonts w:cs="Times New Roman"/>
                <w:bCs/>
                <w:sz w:val="22"/>
                <w:vertAlign w:val="superscript"/>
              </w:rPr>
              <w:t>-1</w:t>
            </w:r>
            <w:r w:rsidRPr="00A25BD1">
              <w:rPr>
                <w:rFonts w:cs="Times New Roman"/>
                <w:bCs/>
                <w:sz w:val="22"/>
              </w:rPr>
              <w:t xml:space="preserve"> (14% humedad)</w:t>
            </w:r>
          </w:p>
        </w:tc>
        <w:tc>
          <w:tcPr>
            <w:tcW w:w="4990" w:type="dxa"/>
          </w:tcPr>
          <w:p w14:paraId="5BBBD557" w14:textId="77777777" w:rsidR="009071C2" w:rsidRPr="00A25BD1" w:rsidRDefault="009071C2" w:rsidP="004B45E8">
            <w:pPr>
              <w:rPr>
                <w:rFonts w:cs="Times New Roman"/>
                <w:bCs/>
                <w:sz w:val="22"/>
              </w:rPr>
            </w:pPr>
            <w:r w:rsidRPr="00A25BD1">
              <w:rPr>
                <w:rFonts w:cs="Times New Roman"/>
                <w:bCs/>
                <w:sz w:val="22"/>
              </w:rPr>
              <w:t>0,52 - 8,92 t ha</w:t>
            </w:r>
            <w:r w:rsidRPr="00A25BD1">
              <w:rPr>
                <w:rFonts w:cs="Times New Roman"/>
                <w:bCs/>
                <w:sz w:val="22"/>
                <w:vertAlign w:val="superscript"/>
              </w:rPr>
              <w:t>-1</w:t>
            </w:r>
          </w:p>
        </w:tc>
      </w:tr>
      <w:tr w:rsidR="009071C2" w:rsidRPr="00A25BD1" w14:paraId="15EE6488" w14:textId="77777777" w:rsidTr="004B45E8">
        <w:trPr>
          <w:trHeight w:val="528"/>
        </w:trPr>
        <w:tc>
          <w:tcPr>
            <w:tcW w:w="567" w:type="dxa"/>
          </w:tcPr>
          <w:p w14:paraId="6BF4F86D" w14:textId="77777777" w:rsidR="009071C2" w:rsidRPr="00A25BD1" w:rsidRDefault="009071C2" w:rsidP="004B45E8">
            <w:pPr>
              <w:rPr>
                <w:rFonts w:cs="Times New Roman"/>
                <w:bCs/>
                <w:sz w:val="22"/>
              </w:rPr>
            </w:pPr>
            <w:r w:rsidRPr="00A25BD1">
              <w:rPr>
                <w:rFonts w:cs="Times New Roman"/>
                <w:bCs/>
                <w:sz w:val="22"/>
              </w:rPr>
              <w:t>15</w:t>
            </w:r>
          </w:p>
        </w:tc>
        <w:tc>
          <w:tcPr>
            <w:tcW w:w="2239" w:type="dxa"/>
          </w:tcPr>
          <w:p w14:paraId="2FEB4F15" w14:textId="77777777" w:rsidR="009071C2" w:rsidRPr="00A25BD1" w:rsidRDefault="009071C2" w:rsidP="004B45E8">
            <w:pPr>
              <w:rPr>
                <w:rFonts w:cs="Times New Roman"/>
                <w:bCs/>
                <w:sz w:val="22"/>
              </w:rPr>
            </w:pPr>
            <w:r w:rsidRPr="00A25BD1">
              <w:rPr>
                <w:rFonts w:cs="Times New Roman"/>
                <w:bCs/>
                <w:sz w:val="22"/>
              </w:rPr>
              <w:t>Desviación estándar de rendimiento</w:t>
            </w:r>
          </w:p>
        </w:tc>
        <w:tc>
          <w:tcPr>
            <w:tcW w:w="4990" w:type="dxa"/>
          </w:tcPr>
          <w:p w14:paraId="7145983E" w14:textId="77777777" w:rsidR="009071C2" w:rsidRPr="00A25BD1" w:rsidRDefault="009071C2" w:rsidP="004B45E8">
            <w:pPr>
              <w:rPr>
                <w:rFonts w:cs="Times New Roman"/>
                <w:bCs/>
                <w:sz w:val="22"/>
              </w:rPr>
            </w:pPr>
            <w:r w:rsidRPr="00A25BD1">
              <w:rPr>
                <w:rFonts w:cs="Times New Roman"/>
                <w:bCs/>
                <w:sz w:val="22"/>
              </w:rPr>
              <w:t>0 - 3,16 t/ ha</w:t>
            </w:r>
            <w:r w:rsidRPr="00A25BD1">
              <w:rPr>
                <w:rFonts w:cs="Times New Roman"/>
                <w:bCs/>
                <w:sz w:val="22"/>
                <w:vertAlign w:val="superscript"/>
              </w:rPr>
              <w:t>-1</w:t>
            </w:r>
          </w:p>
        </w:tc>
      </w:tr>
      <w:tr w:rsidR="009071C2" w:rsidRPr="00A25BD1" w14:paraId="33B89496" w14:textId="77777777" w:rsidTr="004B45E8">
        <w:trPr>
          <w:trHeight w:val="792"/>
        </w:trPr>
        <w:tc>
          <w:tcPr>
            <w:tcW w:w="567" w:type="dxa"/>
          </w:tcPr>
          <w:p w14:paraId="75937F5C" w14:textId="77777777" w:rsidR="009071C2" w:rsidRPr="00A25BD1" w:rsidRDefault="009071C2" w:rsidP="004B45E8">
            <w:pPr>
              <w:rPr>
                <w:rFonts w:cs="Times New Roman"/>
                <w:bCs/>
                <w:sz w:val="22"/>
              </w:rPr>
            </w:pPr>
            <w:r w:rsidRPr="00A25BD1">
              <w:rPr>
                <w:rFonts w:cs="Times New Roman"/>
                <w:bCs/>
                <w:sz w:val="22"/>
              </w:rPr>
              <w:t>16</w:t>
            </w:r>
          </w:p>
        </w:tc>
        <w:tc>
          <w:tcPr>
            <w:tcW w:w="2239" w:type="dxa"/>
          </w:tcPr>
          <w:p w14:paraId="3689D0FA" w14:textId="77777777" w:rsidR="009071C2" w:rsidRPr="00A25BD1" w:rsidRDefault="009071C2" w:rsidP="004B45E8">
            <w:pPr>
              <w:rPr>
                <w:rFonts w:cs="Times New Roman"/>
                <w:bCs/>
                <w:sz w:val="22"/>
              </w:rPr>
            </w:pPr>
            <w:r w:rsidRPr="00A25BD1">
              <w:rPr>
                <w:rFonts w:cs="Times New Roman"/>
                <w:bCs/>
                <w:sz w:val="22"/>
              </w:rPr>
              <w:t>Absorción total de nitrógeno. (AbsNtotal kg/ha</w:t>
            </w:r>
            <w:r w:rsidRPr="00A25BD1">
              <w:rPr>
                <w:rFonts w:cs="Times New Roman"/>
                <w:bCs/>
                <w:sz w:val="22"/>
                <w:vertAlign w:val="superscript"/>
              </w:rPr>
              <w:t>-1</w:t>
            </w:r>
            <w:r w:rsidRPr="00A25BD1">
              <w:rPr>
                <w:rFonts w:cs="Times New Roman"/>
                <w:bCs/>
                <w:sz w:val="22"/>
              </w:rPr>
              <w:t>).</w:t>
            </w:r>
          </w:p>
        </w:tc>
        <w:tc>
          <w:tcPr>
            <w:tcW w:w="4990" w:type="dxa"/>
          </w:tcPr>
          <w:p w14:paraId="6022D7AB" w14:textId="77777777" w:rsidR="009071C2" w:rsidRPr="00A25BD1" w:rsidRDefault="009071C2" w:rsidP="004B45E8">
            <w:pPr>
              <w:rPr>
                <w:rFonts w:cs="Times New Roman"/>
                <w:bCs/>
                <w:sz w:val="22"/>
              </w:rPr>
            </w:pPr>
            <w:r w:rsidRPr="00A25BD1">
              <w:rPr>
                <w:rFonts w:cs="Times New Roman"/>
                <w:bCs/>
                <w:sz w:val="22"/>
              </w:rPr>
              <w:t>22,08 – 357,43 kg/ ha</w:t>
            </w:r>
            <w:r w:rsidRPr="00A25BD1">
              <w:rPr>
                <w:rFonts w:cs="Times New Roman"/>
                <w:bCs/>
                <w:sz w:val="22"/>
                <w:vertAlign w:val="superscript"/>
              </w:rPr>
              <w:t>-1</w:t>
            </w:r>
          </w:p>
        </w:tc>
      </w:tr>
      <w:tr w:rsidR="009071C2" w:rsidRPr="00A25BD1" w14:paraId="2690B0B1" w14:textId="77777777" w:rsidTr="004B45E8">
        <w:trPr>
          <w:trHeight w:val="760"/>
        </w:trPr>
        <w:tc>
          <w:tcPr>
            <w:tcW w:w="567" w:type="dxa"/>
          </w:tcPr>
          <w:p w14:paraId="4B2913AF" w14:textId="77777777" w:rsidR="009071C2" w:rsidRPr="00A25BD1" w:rsidRDefault="009071C2" w:rsidP="004B45E8">
            <w:pPr>
              <w:rPr>
                <w:rFonts w:cs="Times New Roman"/>
                <w:bCs/>
                <w:sz w:val="22"/>
              </w:rPr>
            </w:pPr>
            <w:r w:rsidRPr="00A25BD1">
              <w:rPr>
                <w:rFonts w:cs="Times New Roman"/>
                <w:bCs/>
                <w:sz w:val="22"/>
              </w:rPr>
              <w:t>17</w:t>
            </w:r>
          </w:p>
        </w:tc>
        <w:tc>
          <w:tcPr>
            <w:tcW w:w="2239" w:type="dxa"/>
          </w:tcPr>
          <w:p w14:paraId="01E50E93" w14:textId="77777777" w:rsidR="009071C2" w:rsidRPr="00A25BD1" w:rsidRDefault="009071C2" w:rsidP="004B45E8">
            <w:pPr>
              <w:rPr>
                <w:rFonts w:cs="Times New Roman"/>
                <w:bCs/>
                <w:sz w:val="22"/>
              </w:rPr>
            </w:pPr>
            <w:r w:rsidRPr="00A25BD1">
              <w:rPr>
                <w:rFonts w:cs="Times New Roman"/>
                <w:bCs/>
                <w:sz w:val="22"/>
              </w:rPr>
              <w:t>Desviación estándar absorción total de nitrógeno.</w:t>
            </w:r>
          </w:p>
        </w:tc>
        <w:tc>
          <w:tcPr>
            <w:tcW w:w="4990" w:type="dxa"/>
          </w:tcPr>
          <w:p w14:paraId="4B6CC364" w14:textId="77777777" w:rsidR="009071C2" w:rsidRPr="00A25BD1" w:rsidRDefault="009071C2" w:rsidP="004B45E8">
            <w:pPr>
              <w:rPr>
                <w:rFonts w:cs="Times New Roman"/>
                <w:bCs/>
                <w:sz w:val="22"/>
              </w:rPr>
            </w:pPr>
            <w:r w:rsidRPr="00A25BD1">
              <w:rPr>
                <w:rFonts w:cs="Times New Roman"/>
                <w:bCs/>
                <w:sz w:val="22"/>
              </w:rPr>
              <w:t>0 - 128,69 kg/ ha</w:t>
            </w:r>
            <w:r w:rsidRPr="00A25BD1">
              <w:rPr>
                <w:rFonts w:cs="Times New Roman"/>
                <w:bCs/>
                <w:sz w:val="22"/>
                <w:vertAlign w:val="superscript"/>
              </w:rPr>
              <w:t>-1</w:t>
            </w:r>
          </w:p>
        </w:tc>
      </w:tr>
      <w:tr w:rsidR="009071C2" w:rsidRPr="00A25BD1" w14:paraId="4109B465" w14:textId="77777777" w:rsidTr="004B45E8">
        <w:trPr>
          <w:trHeight w:val="589"/>
        </w:trPr>
        <w:tc>
          <w:tcPr>
            <w:tcW w:w="567" w:type="dxa"/>
          </w:tcPr>
          <w:p w14:paraId="17D74D38" w14:textId="77777777" w:rsidR="009071C2" w:rsidRPr="00A25BD1" w:rsidRDefault="009071C2" w:rsidP="004B45E8">
            <w:pPr>
              <w:rPr>
                <w:rFonts w:cs="Times New Roman"/>
                <w:bCs/>
                <w:sz w:val="22"/>
              </w:rPr>
            </w:pPr>
            <w:r w:rsidRPr="00A25BD1">
              <w:rPr>
                <w:rFonts w:cs="Times New Roman"/>
                <w:bCs/>
                <w:sz w:val="22"/>
              </w:rPr>
              <w:t>18</w:t>
            </w:r>
          </w:p>
        </w:tc>
        <w:tc>
          <w:tcPr>
            <w:tcW w:w="2239" w:type="dxa"/>
          </w:tcPr>
          <w:p w14:paraId="39BA2BCB" w14:textId="77777777" w:rsidR="009071C2" w:rsidRPr="00A25BD1" w:rsidRDefault="009071C2" w:rsidP="004B45E8">
            <w:pPr>
              <w:rPr>
                <w:rFonts w:cs="Times New Roman"/>
                <w:bCs/>
                <w:sz w:val="22"/>
              </w:rPr>
            </w:pPr>
            <w:r w:rsidRPr="00A25BD1">
              <w:rPr>
                <w:rFonts w:cs="Times New Roman"/>
                <w:bCs/>
                <w:sz w:val="22"/>
              </w:rPr>
              <w:t>Absorción total de fósforo (AbsPtotal kg/ ha</w:t>
            </w:r>
            <w:r w:rsidRPr="00A25BD1">
              <w:rPr>
                <w:rFonts w:cs="Times New Roman"/>
                <w:bCs/>
                <w:sz w:val="22"/>
                <w:vertAlign w:val="superscript"/>
              </w:rPr>
              <w:t>-1</w:t>
            </w:r>
            <w:r w:rsidRPr="00A25BD1">
              <w:rPr>
                <w:rFonts w:cs="Times New Roman"/>
                <w:bCs/>
                <w:sz w:val="22"/>
              </w:rPr>
              <w:t>)</w:t>
            </w:r>
          </w:p>
        </w:tc>
        <w:tc>
          <w:tcPr>
            <w:tcW w:w="4990" w:type="dxa"/>
          </w:tcPr>
          <w:p w14:paraId="362EEB68" w14:textId="77777777" w:rsidR="009071C2" w:rsidRPr="00A25BD1" w:rsidRDefault="009071C2" w:rsidP="004B45E8">
            <w:pPr>
              <w:rPr>
                <w:rFonts w:cs="Times New Roman"/>
                <w:bCs/>
                <w:sz w:val="22"/>
              </w:rPr>
            </w:pPr>
            <w:r w:rsidRPr="00A25BD1">
              <w:rPr>
                <w:rFonts w:cs="Times New Roman"/>
                <w:bCs/>
                <w:sz w:val="22"/>
              </w:rPr>
              <w:t>4,95 -70,74 kg/ ha</w:t>
            </w:r>
            <w:r w:rsidRPr="00A25BD1">
              <w:rPr>
                <w:rFonts w:cs="Times New Roman"/>
                <w:bCs/>
                <w:sz w:val="22"/>
                <w:vertAlign w:val="superscript"/>
              </w:rPr>
              <w:t>-1</w:t>
            </w:r>
          </w:p>
        </w:tc>
      </w:tr>
      <w:tr w:rsidR="009071C2" w:rsidRPr="00A25BD1" w14:paraId="26F1845C" w14:textId="77777777" w:rsidTr="004B45E8">
        <w:trPr>
          <w:trHeight w:val="555"/>
        </w:trPr>
        <w:tc>
          <w:tcPr>
            <w:tcW w:w="567" w:type="dxa"/>
          </w:tcPr>
          <w:p w14:paraId="2C5A68B3" w14:textId="77777777" w:rsidR="009071C2" w:rsidRPr="00A25BD1" w:rsidRDefault="009071C2" w:rsidP="004B45E8">
            <w:pPr>
              <w:rPr>
                <w:rFonts w:cs="Times New Roman"/>
                <w:bCs/>
                <w:sz w:val="22"/>
              </w:rPr>
            </w:pPr>
            <w:r w:rsidRPr="00A25BD1">
              <w:rPr>
                <w:rFonts w:cs="Times New Roman"/>
                <w:bCs/>
                <w:sz w:val="22"/>
              </w:rPr>
              <w:t>19</w:t>
            </w:r>
          </w:p>
        </w:tc>
        <w:tc>
          <w:tcPr>
            <w:tcW w:w="2239" w:type="dxa"/>
          </w:tcPr>
          <w:p w14:paraId="236F64FC" w14:textId="77777777" w:rsidR="009071C2" w:rsidRPr="00A25BD1" w:rsidRDefault="009071C2" w:rsidP="004B45E8">
            <w:pPr>
              <w:rPr>
                <w:rFonts w:cs="Times New Roman"/>
                <w:bCs/>
                <w:sz w:val="22"/>
              </w:rPr>
            </w:pPr>
            <w:r w:rsidRPr="00A25BD1">
              <w:rPr>
                <w:rFonts w:cs="Times New Roman"/>
                <w:bCs/>
                <w:sz w:val="22"/>
              </w:rPr>
              <w:t>Desviación estándar absorción total de fósforo.</w:t>
            </w:r>
          </w:p>
        </w:tc>
        <w:tc>
          <w:tcPr>
            <w:tcW w:w="4990" w:type="dxa"/>
          </w:tcPr>
          <w:p w14:paraId="0381D5BE" w14:textId="77777777" w:rsidR="009071C2" w:rsidRPr="00A25BD1" w:rsidRDefault="009071C2" w:rsidP="004B45E8">
            <w:pPr>
              <w:rPr>
                <w:rFonts w:cs="Times New Roman"/>
                <w:bCs/>
                <w:sz w:val="22"/>
              </w:rPr>
            </w:pPr>
            <w:r w:rsidRPr="00A25BD1">
              <w:rPr>
                <w:rFonts w:cs="Times New Roman"/>
                <w:bCs/>
                <w:sz w:val="22"/>
              </w:rPr>
              <w:t>0 – 24,19 kg/ ha</w:t>
            </w:r>
            <w:r w:rsidRPr="00A25BD1">
              <w:rPr>
                <w:rFonts w:cs="Times New Roman"/>
                <w:bCs/>
                <w:sz w:val="22"/>
                <w:vertAlign w:val="superscript"/>
              </w:rPr>
              <w:t>-1</w:t>
            </w:r>
          </w:p>
        </w:tc>
      </w:tr>
      <w:tr w:rsidR="009071C2" w:rsidRPr="00A25BD1" w14:paraId="62D0B12E" w14:textId="77777777" w:rsidTr="004B45E8">
        <w:trPr>
          <w:trHeight w:val="535"/>
        </w:trPr>
        <w:tc>
          <w:tcPr>
            <w:tcW w:w="567" w:type="dxa"/>
          </w:tcPr>
          <w:p w14:paraId="1A6F88F4" w14:textId="77777777" w:rsidR="009071C2" w:rsidRPr="00A25BD1" w:rsidRDefault="009071C2" w:rsidP="004B45E8">
            <w:pPr>
              <w:rPr>
                <w:rFonts w:cs="Times New Roman"/>
                <w:bCs/>
                <w:sz w:val="22"/>
              </w:rPr>
            </w:pPr>
            <w:r w:rsidRPr="00A25BD1">
              <w:rPr>
                <w:rFonts w:cs="Times New Roman"/>
                <w:bCs/>
                <w:sz w:val="22"/>
              </w:rPr>
              <w:t>20</w:t>
            </w:r>
          </w:p>
        </w:tc>
        <w:tc>
          <w:tcPr>
            <w:tcW w:w="2239" w:type="dxa"/>
          </w:tcPr>
          <w:p w14:paraId="43E5AFB7" w14:textId="77777777" w:rsidR="009071C2" w:rsidRPr="00A25BD1" w:rsidRDefault="009071C2" w:rsidP="004B45E8">
            <w:pPr>
              <w:rPr>
                <w:rFonts w:cs="Times New Roman"/>
                <w:bCs/>
                <w:sz w:val="22"/>
              </w:rPr>
            </w:pPr>
            <w:r w:rsidRPr="00A25BD1">
              <w:rPr>
                <w:rFonts w:cs="Times New Roman"/>
                <w:bCs/>
                <w:sz w:val="22"/>
              </w:rPr>
              <w:t>Absorción total de potasio (AbsKtotal kg/ ha</w:t>
            </w:r>
            <w:r w:rsidRPr="00A25BD1">
              <w:rPr>
                <w:rFonts w:cs="Times New Roman"/>
                <w:bCs/>
                <w:sz w:val="22"/>
                <w:vertAlign w:val="superscript"/>
              </w:rPr>
              <w:t>-1</w:t>
            </w:r>
            <w:r w:rsidRPr="00A25BD1">
              <w:rPr>
                <w:rFonts w:cs="Times New Roman"/>
                <w:bCs/>
                <w:sz w:val="22"/>
              </w:rPr>
              <w:t>)</w:t>
            </w:r>
          </w:p>
        </w:tc>
        <w:tc>
          <w:tcPr>
            <w:tcW w:w="4990" w:type="dxa"/>
          </w:tcPr>
          <w:p w14:paraId="5D92C65C" w14:textId="77777777" w:rsidR="009071C2" w:rsidRPr="00A25BD1" w:rsidRDefault="009071C2" w:rsidP="004B45E8">
            <w:pPr>
              <w:rPr>
                <w:rFonts w:cs="Times New Roman"/>
                <w:bCs/>
                <w:sz w:val="22"/>
              </w:rPr>
            </w:pPr>
            <w:r w:rsidRPr="00A25BD1">
              <w:rPr>
                <w:rFonts w:cs="Times New Roman"/>
                <w:bCs/>
                <w:sz w:val="22"/>
              </w:rPr>
              <w:t>29,81 -338,22 kg/ ha</w:t>
            </w:r>
            <w:r w:rsidRPr="00A25BD1">
              <w:rPr>
                <w:rFonts w:cs="Times New Roman"/>
                <w:bCs/>
                <w:sz w:val="22"/>
                <w:vertAlign w:val="superscript"/>
              </w:rPr>
              <w:t>-1</w:t>
            </w:r>
          </w:p>
        </w:tc>
      </w:tr>
      <w:tr w:rsidR="009071C2" w:rsidRPr="00A25BD1" w14:paraId="2A1B6411" w14:textId="77777777" w:rsidTr="004B45E8">
        <w:trPr>
          <w:trHeight w:val="501"/>
        </w:trPr>
        <w:tc>
          <w:tcPr>
            <w:tcW w:w="567" w:type="dxa"/>
          </w:tcPr>
          <w:p w14:paraId="7B2A11EA" w14:textId="77777777" w:rsidR="009071C2" w:rsidRPr="00A25BD1" w:rsidRDefault="009071C2" w:rsidP="004B45E8">
            <w:pPr>
              <w:rPr>
                <w:rFonts w:cs="Times New Roman"/>
                <w:bCs/>
                <w:sz w:val="22"/>
              </w:rPr>
            </w:pPr>
            <w:r w:rsidRPr="00A25BD1">
              <w:rPr>
                <w:rFonts w:cs="Times New Roman"/>
                <w:bCs/>
                <w:sz w:val="22"/>
              </w:rPr>
              <w:t>21</w:t>
            </w:r>
          </w:p>
        </w:tc>
        <w:tc>
          <w:tcPr>
            <w:tcW w:w="2239" w:type="dxa"/>
          </w:tcPr>
          <w:p w14:paraId="17FE46E8" w14:textId="77777777" w:rsidR="009071C2" w:rsidRPr="00A25BD1" w:rsidRDefault="009071C2" w:rsidP="004B45E8">
            <w:pPr>
              <w:rPr>
                <w:rFonts w:cs="Times New Roman"/>
                <w:bCs/>
                <w:sz w:val="22"/>
              </w:rPr>
            </w:pPr>
            <w:r w:rsidRPr="00A25BD1">
              <w:rPr>
                <w:rFonts w:cs="Times New Roman"/>
                <w:bCs/>
                <w:sz w:val="22"/>
              </w:rPr>
              <w:t>Desviación estándar</w:t>
            </w:r>
          </w:p>
          <w:p w14:paraId="10F2E05E" w14:textId="77777777" w:rsidR="009071C2" w:rsidRPr="00A25BD1" w:rsidRDefault="009071C2" w:rsidP="004B45E8">
            <w:pPr>
              <w:rPr>
                <w:rFonts w:cs="Times New Roman"/>
                <w:bCs/>
                <w:sz w:val="22"/>
              </w:rPr>
            </w:pPr>
            <w:r w:rsidRPr="00A25BD1">
              <w:rPr>
                <w:rFonts w:cs="Times New Roman"/>
                <w:bCs/>
                <w:sz w:val="22"/>
              </w:rPr>
              <w:t>absorción total de potasio</w:t>
            </w:r>
          </w:p>
        </w:tc>
        <w:tc>
          <w:tcPr>
            <w:tcW w:w="4990" w:type="dxa"/>
          </w:tcPr>
          <w:p w14:paraId="50961E76" w14:textId="77777777" w:rsidR="009071C2" w:rsidRPr="00A25BD1" w:rsidRDefault="009071C2" w:rsidP="004B45E8">
            <w:pPr>
              <w:rPr>
                <w:rFonts w:cs="Times New Roman"/>
                <w:bCs/>
                <w:sz w:val="22"/>
              </w:rPr>
            </w:pPr>
            <w:r w:rsidRPr="00A25BD1">
              <w:rPr>
                <w:rFonts w:cs="Times New Roman"/>
                <w:bCs/>
                <w:sz w:val="22"/>
              </w:rPr>
              <w:t>0 – 95,61 kg/ ha</w:t>
            </w:r>
            <w:r w:rsidRPr="00A25BD1">
              <w:rPr>
                <w:rFonts w:cs="Times New Roman"/>
                <w:bCs/>
                <w:sz w:val="22"/>
                <w:vertAlign w:val="superscript"/>
              </w:rPr>
              <w:t>-1</w:t>
            </w:r>
          </w:p>
        </w:tc>
      </w:tr>
      <w:tr w:rsidR="009071C2" w:rsidRPr="00A25BD1" w14:paraId="062FECF2" w14:textId="77777777" w:rsidTr="004B45E8">
        <w:trPr>
          <w:trHeight w:val="623"/>
        </w:trPr>
        <w:tc>
          <w:tcPr>
            <w:tcW w:w="567" w:type="dxa"/>
          </w:tcPr>
          <w:p w14:paraId="77DAB9C9" w14:textId="77777777" w:rsidR="009071C2" w:rsidRPr="00A25BD1" w:rsidRDefault="009071C2" w:rsidP="004B45E8">
            <w:pPr>
              <w:rPr>
                <w:rFonts w:cs="Times New Roman"/>
                <w:bCs/>
                <w:sz w:val="22"/>
              </w:rPr>
            </w:pPr>
            <w:r w:rsidRPr="00A25BD1">
              <w:rPr>
                <w:rFonts w:cs="Times New Roman"/>
                <w:bCs/>
                <w:sz w:val="22"/>
              </w:rPr>
              <w:t>22</w:t>
            </w:r>
          </w:p>
        </w:tc>
        <w:tc>
          <w:tcPr>
            <w:tcW w:w="2239" w:type="dxa"/>
          </w:tcPr>
          <w:p w14:paraId="1D165D84" w14:textId="77777777" w:rsidR="009071C2" w:rsidRPr="00A25BD1" w:rsidRDefault="009071C2" w:rsidP="004B45E8">
            <w:pPr>
              <w:rPr>
                <w:rFonts w:cs="Times New Roman"/>
                <w:bCs/>
                <w:sz w:val="22"/>
              </w:rPr>
            </w:pPr>
            <w:r w:rsidRPr="00A25BD1">
              <w:rPr>
                <w:rFonts w:cs="Times New Roman"/>
                <w:bCs/>
                <w:sz w:val="22"/>
              </w:rPr>
              <w:t>Absorción total de azufre (AbsStotal kg/ha</w:t>
            </w:r>
            <w:r w:rsidRPr="00A25BD1">
              <w:rPr>
                <w:rFonts w:cs="Times New Roman"/>
                <w:bCs/>
                <w:sz w:val="22"/>
                <w:vertAlign w:val="superscript"/>
              </w:rPr>
              <w:t>-1</w:t>
            </w:r>
            <w:r w:rsidRPr="00A25BD1">
              <w:rPr>
                <w:rFonts w:cs="Times New Roman"/>
                <w:bCs/>
                <w:sz w:val="22"/>
              </w:rPr>
              <w:t>)</w:t>
            </w:r>
          </w:p>
        </w:tc>
        <w:tc>
          <w:tcPr>
            <w:tcW w:w="4990" w:type="dxa"/>
          </w:tcPr>
          <w:p w14:paraId="7E0E506A" w14:textId="77777777" w:rsidR="009071C2" w:rsidRPr="00A25BD1" w:rsidRDefault="009071C2" w:rsidP="004B45E8">
            <w:pPr>
              <w:rPr>
                <w:rFonts w:cs="Times New Roman"/>
                <w:bCs/>
                <w:sz w:val="22"/>
              </w:rPr>
            </w:pPr>
            <w:r w:rsidRPr="00A25BD1">
              <w:rPr>
                <w:rFonts w:cs="Times New Roman"/>
                <w:bCs/>
                <w:sz w:val="22"/>
              </w:rPr>
              <w:t>0 – 69,61 kg/ ha</w:t>
            </w:r>
            <w:r w:rsidRPr="00A25BD1">
              <w:rPr>
                <w:rFonts w:cs="Times New Roman"/>
                <w:bCs/>
                <w:sz w:val="22"/>
                <w:vertAlign w:val="superscript"/>
              </w:rPr>
              <w:t>-1</w:t>
            </w:r>
          </w:p>
        </w:tc>
      </w:tr>
      <w:tr w:rsidR="009071C2" w:rsidRPr="00A25BD1" w14:paraId="1EBDB239" w14:textId="77777777" w:rsidTr="004B45E8">
        <w:trPr>
          <w:trHeight w:val="547"/>
        </w:trPr>
        <w:tc>
          <w:tcPr>
            <w:tcW w:w="567" w:type="dxa"/>
          </w:tcPr>
          <w:p w14:paraId="77A1ABE5" w14:textId="77777777" w:rsidR="009071C2" w:rsidRPr="00A25BD1" w:rsidRDefault="009071C2" w:rsidP="004B45E8">
            <w:pPr>
              <w:rPr>
                <w:rFonts w:cs="Times New Roman"/>
                <w:bCs/>
                <w:sz w:val="22"/>
              </w:rPr>
            </w:pPr>
            <w:r w:rsidRPr="00A25BD1">
              <w:rPr>
                <w:rFonts w:cs="Times New Roman"/>
                <w:bCs/>
                <w:sz w:val="22"/>
              </w:rPr>
              <w:t>23</w:t>
            </w:r>
          </w:p>
        </w:tc>
        <w:tc>
          <w:tcPr>
            <w:tcW w:w="2239" w:type="dxa"/>
          </w:tcPr>
          <w:p w14:paraId="104C61F0" w14:textId="77777777" w:rsidR="009071C2" w:rsidRPr="00A25BD1" w:rsidRDefault="009071C2" w:rsidP="004B45E8">
            <w:pPr>
              <w:rPr>
                <w:rFonts w:cs="Times New Roman"/>
                <w:bCs/>
                <w:sz w:val="22"/>
              </w:rPr>
            </w:pPr>
            <w:r w:rsidRPr="00A25BD1">
              <w:rPr>
                <w:rFonts w:cs="Times New Roman"/>
                <w:bCs/>
                <w:sz w:val="22"/>
              </w:rPr>
              <w:t>Desviación estándar</w:t>
            </w:r>
          </w:p>
          <w:p w14:paraId="5D55DD79" w14:textId="77777777" w:rsidR="009071C2" w:rsidRPr="00A25BD1" w:rsidRDefault="009071C2" w:rsidP="004B45E8">
            <w:pPr>
              <w:rPr>
                <w:rFonts w:cs="Times New Roman"/>
                <w:bCs/>
                <w:sz w:val="22"/>
              </w:rPr>
            </w:pPr>
            <w:r w:rsidRPr="00A25BD1">
              <w:rPr>
                <w:rFonts w:cs="Times New Roman"/>
                <w:bCs/>
                <w:sz w:val="22"/>
              </w:rPr>
              <w:t>absorción total de azufre</w:t>
            </w:r>
          </w:p>
        </w:tc>
        <w:tc>
          <w:tcPr>
            <w:tcW w:w="4990" w:type="dxa"/>
          </w:tcPr>
          <w:p w14:paraId="421E4805" w14:textId="77777777" w:rsidR="009071C2" w:rsidRPr="00A25BD1" w:rsidRDefault="009071C2" w:rsidP="004B45E8">
            <w:pPr>
              <w:rPr>
                <w:rFonts w:cs="Times New Roman"/>
                <w:bCs/>
                <w:sz w:val="22"/>
              </w:rPr>
            </w:pPr>
            <w:r w:rsidRPr="00A25BD1">
              <w:rPr>
                <w:rFonts w:cs="Times New Roman"/>
                <w:bCs/>
                <w:sz w:val="22"/>
              </w:rPr>
              <w:t>0 - 9,07 kg/ ha</w:t>
            </w:r>
            <w:r w:rsidRPr="00A25BD1">
              <w:rPr>
                <w:rFonts w:cs="Times New Roman"/>
                <w:bCs/>
                <w:sz w:val="22"/>
                <w:vertAlign w:val="superscript"/>
              </w:rPr>
              <w:t>-1</w:t>
            </w:r>
          </w:p>
        </w:tc>
      </w:tr>
      <w:tr w:rsidR="009071C2" w:rsidRPr="00A25BD1" w14:paraId="05BF92B7" w14:textId="77777777" w:rsidTr="004B45E8">
        <w:trPr>
          <w:trHeight w:val="810"/>
        </w:trPr>
        <w:tc>
          <w:tcPr>
            <w:tcW w:w="567" w:type="dxa"/>
          </w:tcPr>
          <w:p w14:paraId="6E6AF657" w14:textId="77777777" w:rsidR="009071C2" w:rsidRPr="00A25BD1" w:rsidRDefault="009071C2" w:rsidP="004B45E8">
            <w:pPr>
              <w:rPr>
                <w:rFonts w:cs="Times New Roman"/>
                <w:bCs/>
                <w:sz w:val="22"/>
              </w:rPr>
            </w:pPr>
            <w:r w:rsidRPr="00A25BD1">
              <w:rPr>
                <w:rFonts w:cs="Times New Roman"/>
                <w:bCs/>
                <w:sz w:val="22"/>
              </w:rPr>
              <w:t>24</w:t>
            </w:r>
          </w:p>
        </w:tc>
        <w:tc>
          <w:tcPr>
            <w:tcW w:w="2239" w:type="dxa"/>
          </w:tcPr>
          <w:p w14:paraId="18796C4E" w14:textId="77777777" w:rsidR="009071C2" w:rsidRPr="00A25BD1" w:rsidRDefault="009071C2" w:rsidP="004B45E8">
            <w:pPr>
              <w:rPr>
                <w:rFonts w:cs="Times New Roman"/>
                <w:bCs/>
                <w:sz w:val="22"/>
              </w:rPr>
            </w:pPr>
            <w:r w:rsidRPr="00A25BD1">
              <w:rPr>
                <w:rFonts w:cs="Times New Roman"/>
                <w:bCs/>
                <w:sz w:val="22"/>
              </w:rPr>
              <w:t>Absorción total de magnesio (AbsMgtotal kg/ ha</w:t>
            </w:r>
            <w:r w:rsidRPr="00A25BD1">
              <w:rPr>
                <w:rFonts w:cs="Times New Roman"/>
                <w:bCs/>
                <w:sz w:val="22"/>
                <w:vertAlign w:val="superscript"/>
              </w:rPr>
              <w:t>-1</w:t>
            </w:r>
            <w:r w:rsidRPr="00A25BD1">
              <w:rPr>
                <w:rFonts w:cs="Times New Roman"/>
                <w:bCs/>
                <w:sz w:val="22"/>
              </w:rPr>
              <w:t>)</w:t>
            </w:r>
          </w:p>
        </w:tc>
        <w:tc>
          <w:tcPr>
            <w:tcW w:w="4990" w:type="dxa"/>
          </w:tcPr>
          <w:p w14:paraId="053CBA31" w14:textId="77777777" w:rsidR="009071C2" w:rsidRPr="00A25BD1" w:rsidRDefault="009071C2" w:rsidP="004B45E8">
            <w:pPr>
              <w:rPr>
                <w:rFonts w:cs="Times New Roman"/>
                <w:bCs/>
                <w:sz w:val="22"/>
              </w:rPr>
            </w:pPr>
            <w:r w:rsidRPr="00A25BD1">
              <w:rPr>
                <w:rFonts w:cs="Times New Roman"/>
                <w:bCs/>
                <w:sz w:val="22"/>
              </w:rPr>
              <w:t>4,56 -54,76 kg/ ha</w:t>
            </w:r>
            <w:r w:rsidRPr="00A25BD1">
              <w:rPr>
                <w:rFonts w:cs="Times New Roman"/>
                <w:bCs/>
                <w:sz w:val="22"/>
                <w:vertAlign w:val="superscript"/>
              </w:rPr>
              <w:t>-1</w:t>
            </w:r>
          </w:p>
        </w:tc>
      </w:tr>
      <w:tr w:rsidR="009071C2" w:rsidRPr="00A25BD1" w14:paraId="742FD9ED" w14:textId="77777777" w:rsidTr="004B45E8">
        <w:trPr>
          <w:trHeight w:val="781"/>
        </w:trPr>
        <w:tc>
          <w:tcPr>
            <w:tcW w:w="567" w:type="dxa"/>
          </w:tcPr>
          <w:p w14:paraId="216C30B4" w14:textId="77777777" w:rsidR="009071C2" w:rsidRPr="00A25BD1" w:rsidRDefault="009071C2" w:rsidP="004B45E8">
            <w:pPr>
              <w:rPr>
                <w:rFonts w:cs="Times New Roman"/>
                <w:bCs/>
                <w:sz w:val="22"/>
              </w:rPr>
            </w:pPr>
            <w:r w:rsidRPr="00A25BD1">
              <w:rPr>
                <w:rFonts w:cs="Times New Roman"/>
                <w:bCs/>
                <w:sz w:val="22"/>
              </w:rPr>
              <w:t>25</w:t>
            </w:r>
          </w:p>
        </w:tc>
        <w:tc>
          <w:tcPr>
            <w:tcW w:w="2239" w:type="dxa"/>
          </w:tcPr>
          <w:p w14:paraId="4E952209" w14:textId="77777777" w:rsidR="009071C2" w:rsidRPr="00A25BD1" w:rsidRDefault="009071C2" w:rsidP="004B45E8">
            <w:pPr>
              <w:rPr>
                <w:rFonts w:cs="Times New Roman"/>
                <w:bCs/>
                <w:sz w:val="22"/>
              </w:rPr>
            </w:pPr>
            <w:r w:rsidRPr="00A25BD1">
              <w:rPr>
                <w:rFonts w:cs="Times New Roman"/>
                <w:bCs/>
                <w:sz w:val="22"/>
              </w:rPr>
              <w:t>Desviación estándar</w:t>
            </w:r>
          </w:p>
          <w:p w14:paraId="4A479966" w14:textId="77777777" w:rsidR="009071C2" w:rsidRPr="00A25BD1" w:rsidRDefault="009071C2" w:rsidP="004B45E8">
            <w:pPr>
              <w:rPr>
                <w:rFonts w:cs="Times New Roman"/>
                <w:bCs/>
                <w:sz w:val="22"/>
              </w:rPr>
            </w:pPr>
            <w:r w:rsidRPr="00A25BD1">
              <w:rPr>
                <w:rFonts w:cs="Times New Roman"/>
                <w:bCs/>
                <w:sz w:val="22"/>
              </w:rPr>
              <w:t>absorción total de magnesio</w:t>
            </w:r>
          </w:p>
        </w:tc>
        <w:tc>
          <w:tcPr>
            <w:tcW w:w="4990" w:type="dxa"/>
          </w:tcPr>
          <w:p w14:paraId="37D4A7A3" w14:textId="77777777" w:rsidR="009071C2" w:rsidRPr="00A25BD1" w:rsidRDefault="009071C2" w:rsidP="004B45E8">
            <w:pPr>
              <w:rPr>
                <w:rFonts w:cs="Times New Roman"/>
                <w:bCs/>
                <w:sz w:val="22"/>
              </w:rPr>
            </w:pPr>
            <w:r w:rsidRPr="00A25BD1">
              <w:rPr>
                <w:rFonts w:cs="Times New Roman"/>
                <w:bCs/>
                <w:sz w:val="22"/>
              </w:rPr>
              <w:t>0 - 12,04 kg/ ha</w:t>
            </w:r>
            <w:r w:rsidRPr="00A25BD1">
              <w:rPr>
                <w:rFonts w:cs="Times New Roman"/>
                <w:bCs/>
                <w:sz w:val="22"/>
                <w:vertAlign w:val="superscript"/>
              </w:rPr>
              <w:t>-1</w:t>
            </w:r>
          </w:p>
        </w:tc>
      </w:tr>
    </w:tbl>
    <w:p w14:paraId="6AC83E66" w14:textId="4F34A5A0" w:rsidR="009071C2" w:rsidRPr="009D6115" w:rsidRDefault="00DB0D02" w:rsidP="009071C2">
      <w:pPr>
        <w:spacing w:line="360" w:lineRule="auto"/>
        <w:rPr>
          <w:rFonts w:cs="Times New Roman"/>
          <w:bCs/>
          <w:sz w:val="20"/>
          <w:szCs w:val="20"/>
        </w:rPr>
      </w:pPr>
      <w:r w:rsidRPr="009D6115">
        <w:rPr>
          <w:rFonts w:cs="Times New Roman"/>
          <w:bCs/>
          <w:sz w:val="20"/>
          <w:szCs w:val="20"/>
        </w:rPr>
        <w:t xml:space="preserve">   </w:t>
      </w:r>
      <w:r w:rsidR="00F63637" w:rsidRPr="009D6115">
        <w:rPr>
          <w:rFonts w:cs="Times New Roman"/>
          <w:b/>
          <w:bCs/>
          <w:sz w:val="20"/>
          <w:szCs w:val="20"/>
        </w:rPr>
        <w:t>Fuente</w:t>
      </w:r>
      <w:r w:rsidR="009071C2" w:rsidRPr="009D6115">
        <w:rPr>
          <w:rFonts w:cs="Times New Roman"/>
          <w:b/>
          <w:bCs/>
          <w:sz w:val="20"/>
          <w:szCs w:val="20"/>
        </w:rPr>
        <w:t>:</w:t>
      </w:r>
      <w:r w:rsidR="009071C2" w:rsidRPr="009D6115">
        <w:rPr>
          <w:rFonts w:cs="Times New Roman"/>
          <w:bCs/>
          <w:sz w:val="20"/>
          <w:szCs w:val="20"/>
        </w:rPr>
        <w:t xml:space="preserve"> INIAP</w:t>
      </w:r>
      <w:r w:rsidR="00F63637" w:rsidRPr="009D6115">
        <w:rPr>
          <w:rFonts w:cs="Times New Roman"/>
          <w:bCs/>
          <w:sz w:val="20"/>
          <w:szCs w:val="20"/>
        </w:rPr>
        <w:t>, Departamento Nacional de Suelos y Aguas.</w:t>
      </w:r>
    </w:p>
    <w:p w14:paraId="1F0EBF13" w14:textId="5D15B376" w:rsidR="009071C2" w:rsidRPr="007E253F" w:rsidRDefault="006760D1" w:rsidP="004B45E8">
      <w:pPr>
        <w:spacing w:before="360" w:after="360" w:line="360" w:lineRule="auto"/>
        <w:rPr>
          <w:rFonts w:cs="Times New Roman"/>
          <w:bCs/>
          <w:szCs w:val="24"/>
        </w:rPr>
      </w:pPr>
      <w:r>
        <w:rPr>
          <w:rFonts w:cs="Times New Roman"/>
          <w:bCs/>
          <w:szCs w:val="24"/>
        </w:rPr>
        <w:t>La tabla</w:t>
      </w:r>
      <w:r w:rsidR="009071C2" w:rsidRPr="007E253F">
        <w:rPr>
          <w:rFonts w:cs="Times New Roman"/>
          <w:bCs/>
          <w:szCs w:val="24"/>
        </w:rPr>
        <w:t xml:space="preserve"> precedente en</w:t>
      </w:r>
      <w:r w:rsidR="004B45E8">
        <w:rPr>
          <w:rFonts w:cs="Times New Roman"/>
          <w:bCs/>
          <w:szCs w:val="24"/>
        </w:rPr>
        <w:t xml:space="preserve"> </w:t>
      </w:r>
      <w:r w:rsidR="009071C2" w:rsidRPr="007E253F">
        <w:rPr>
          <w:rFonts w:cs="Times New Roman"/>
          <w:bCs/>
          <w:szCs w:val="24"/>
        </w:rPr>
        <w:t xml:space="preserve">lista las variables que son parte del estudio, así como sus valores más generales tomados de la base de datos del INIAP, en referencia a las particularidades del cultivo del maíz de altura las variedades que se consideraron en cuenta, los factores del entorno y los niveles de absorción de macronutrientes, datos que son indispensables para a la planificación del trabajo investigativo. </w:t>
      </w:r>
    </w:p>
    <w:p w14:paraId="0850892F" w14:textId="4267F904" w:rsidR="009071C2" w:rsidRDefault="009071C2" w:rsidP="004B45E8">
      <w:pPr>
        <w:pStyle w:val="Ttulo2"/>
        <w:spacing w:before="360" w:after="360"/>
        <w:ind w:left="1077"/>
      </w:pPr>
      <w:bookmarkStart w:id="1286" w:name="_Toc72741159"/>
      <w:bookmarkStart w:id="1287" w:name="_Toc72741957"/>
      <w:bookmarkStart w:id="1288" w:name="_Toc72742755"/>
      <w:bookmarkStart w:id="1289" w:name="_Toc72881499"/>
      <w:bookmarkStart w:id="1290" w:name="_Toc72882581"/>
      <w:bookmarkStart w:id="1291" w:name="_Toc75608926"/>
      <w:bookmarkStart w:id="1292" w:name="_Toc75611852"/>
      <w:bookmarkStart w:id="1293" w:name="_Toc75612698"/>
      <w:bookmarkStart w:id="1294" w:name="_Toc75679853"/>
      <w:bookmarkStart w:id="1295" w:name="_Toc75702461"/>
      <w:bookmarkStart w:id="1296" w:name="_Toc80312304"/>
      <w:r w:rsidRPr="007E253F">
        <w:lastRenderedPageBreak/>
        <w:t>Análisis exploratorio de la base de datos</w:t>
      </w:r>
      <w:bookmarkEnd w:id="1286"/>
      <w:bookmarkEnd w:id="1287"/>
      <w:bookmarkEnd w:id="1288"/>
      <w:bookmarkEnd w:id="1289"/>
      <w:bookmarkEnd w:id="1290"/>
      <w:bookmarkEnd w:id="1291"/>
      <w:bookmarkEnd w:id="1292"/>
      <w:bookmarkEnd w:id="1293"/>
      <w:bookmarkEnd w:id="1294"/>
      <w:bookmarkEnd w:id="1295"/>
      <w:bookmarkEnd w:id="1296"/>
    </w:p>
    <w:p w14:paraId="704DEA69" w14:textId="23F3CD13" w:rsidR="00DB0D02" w:rsidRPr="00DB0D02" w:rsidRDefault="00DB0D02" w:rsidP="00DB0D02">
      <w:pPr>
        <w:pStyle w:val="Descripcin"/>
        <w:keepNext/>
        <w:ind w:left="708" w:firstLine="708"/>
        <w:jc w:val="left"/>
        <w:rPr>
          <w:rFonts w:cs="Times New Roman"/>
          <w:bCs/>
          <w:i w:val="0"/>
          <w:iCs w:val="0"/>
          <w:color w:val="auto"/>
          <w:sz w:val="24"/>
          <w:szCs w:val="24"/>
          <w:lang w:eastAsia="en-US"/>
        </w:rPr>
      </w:pPr>
      <w:bookmarkStart w:id="1297" w:name="_Toc79314407"/>
      <w:r w:rsidRPr="00DB0D02">
        <w:rPr>
          <w:rFonts w:cs="Times New Roman"/>
          <w:b/>
          <w:bCs/>
          <w:i w:val="0"/>
          <w:iCs w:val="0"/>
          <w:color w:val="auto"/>
          <w:sz w:val="24"/>
          <w:szCs w:val="24"/>
          <w:lang w:eastAsia="en-US"/>
        </w:rPr>
        <w:t xml:space="preserve">Figura </w:t>
      </w:r>
      <w:r w:rsidRPr="00DB0D02">
        <w:rPr>
          <w:rFonts w:cs="Times New Roman"/>
          <w:b/>
          <w:bCs/>
          <w:i w:val="0"/>
          <w:iCs w:val="0"/>
          <w:color w:val="auto"/>
          <w:sz w:val="24"/>
          <w:szCs w:val="24"/>
          <w:lang w:eastAsia="en-US"/>
        </w:rPr>
        <w:fldChar w:fldCharType="begin"/>
      </w:r>
      <w:r w:rsidRPr="00DB0D02">
        <w:rPr>
          <w:rFonts w:cs="Times New Roman"/>
          <w:b/>
          <w:bCs/>
          <w:i w:val="0"/>
          <w:iCs w:val="0"/>
          <w:color w:val="auto"/>
          <w:sz w:val="24"/>
          <w:szCs w:val="24"/>
          <w:lang w:eastAsia="en-US"/>
        </w:rPr>
        <w:instrText xml:space="preserve"> SEQ Figura \* ARABIC </w:instrText>
      </w:r>
      <w:r w:rsidRPr="00DB0D02">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w:t>
      </w:r>
      <w:r w:rsidRPr="00DB0D02">
        <w:rPr>
          <w:rFonts w:cs="Times New Roman"/>
          <w:b/>
          <w:bCs/>
          <w:i w:val="0"/>
          <w:iCs w:val="0"/>
          <w:color w:val="auto"/>
          <w:sz w:val="24"/>
          <w:szCs w:val="24"/>
          <w:lang w:eastAsia="en-US"/>
        </w:rPr>
        <w:fldChar w:fldCharType="end"/>
      </w:r>
      <w:r w:rsidRPr="00DB0D02">
        <w:rPr>
          <w:rFonts w:cs="Times New Roman"/>
          <w:bCs/>
          <w:i w:val="0"/>
          <w:iCs w:val="0"/>
          <w:color w:val="auto"/>
          <w:sz w:val="24"/>
          <w:szCs w:val="24"/>
          <w:lang w:eastAsia="en-US"/>
        </w:rPr>
        <w:t>. Distribución del ensayo en provincias</w:t>
      </w:r>
      <w:bookmarkEnd w:id="1297"/>
    </w:p>
    <w:p w14:paraId="297688D2" w14:textId="77777777" w:rsidR="00185D16" w:rsidRPr="00185D16" w:rsidRDefault="00185D16" w:rsidP="00185D16">
      <w:pPr>
        <w:jc w:val="center"/>
        <w:rPr>
          <w:lang w:val="es-ES"/>
        </w:rPr>
      </w:pPr>
      <w:r>
        <w:rPr>
          <w:noProof/>
          <w:lang w:eastAsia="es-EC"/>
        </w:rPr>
        <w:drawing>
          <wp:inline distT="0" distB="0" distL="0" distR="0" wp14:anchorId="13947AE9" wp14:editId="23B5F316">
            <wp:extent cx="4099560" cy="2203450"/>
            <wp:effectExtent l="0" t="0" r="15240" b="6350"/>
            <wp:docPr id="47" name="Gráfico 47">
              <a:extLst xmlns:a="http://schemas.openxmlformats.org/drawingml/2006/main">
                <a:ext uri="{FF2B5EF4-FFF2-40B4-BE49-F238E27FC236}">
                  <a16:creationId xmlns:a16="http://schemas.microsoft.com/office/drawing/2014/main" id="{AFAA5CCA-DEF4-4E4A-AEF6-851B6F0D2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AB95FC" w14:textId="77777777" w:rsidR="0030048E" w:rsidRPr="007E253F" w:rsidRDefault="009071C2" w:rsidP="004B45E8">
      <w:pPr>
        <w:spacing w:before="360" w:after="360"/>
        <w:rPr>
          <w:rFonts w:eastAsia="Calibri" w:cs="Times New Roman"/>
          <w:b/>
          <w:bCs/>
          <w:szCs w:val="24"/>
          <w:lang w:val="es-ES"/>
        </w:rPr>
      </w:pPr>
      <w:r w:rsidRPr="007E253F">
        <w:rPr>
          <w:rFonts w:cs="Times New Roman"/>
          <w:bCs/>
          <w:szCs w:val="24"/>
        </w:rPr>
        <w:t>El análisis de frecuencia indicó que se realizaron 82 evaluaciones de fertilización en maíz en Chimborazo, 90 en Bolívar y 69 en Imbabura entre los años 2006 al 2015</w:t>
      </w:r>
    </w:p>
    <w:p w14:paraId="08F6F3B8" w14:textId="733F8D13" w:rsidR="00ED2CDA" w:rsidRPr="007E253F" w:rsidRDefault="00ED2CDA" w:rsidP="00ED2CDA">
      <w:pPr>
        <w:spacing w:line="360" w:lineRule="auto"/>
        <w:rPr>
          <w:rFonts w:cs="Times New Roman"/>
          <w:bCs/>
          <w:szCs w:val="24"/>
          <w:lang w:val="es-ES"/>
        </w:rPr>
      </w:pPr>
      <w:r w:rsidRPr="007E253F">
        <w:rPr>
          <w:rFonts w:cs="Times New Roman"/>
          <w:bCs/>
          <w:szCs w:val="24"/>
        </w:rPr>
        <w:t xml:space="preserve">Un análisis exploratorio de frecuencias y promedios de </w:t>
      </w:r>
      <w:r w:rsidRPr="007E253F">
        <w:rPr>
          <w:rFonts w:cs="Times New Roman"/>
          <w:szCs w:val="24"/>
        </w:rPr>
        <w:t xml:space="preserve">los ensayos de fertilización realizados en las provincias </w:t>
      </w:r>
      <w:r w:rsidRPr="007E253F">
        <w:rPr>
          <w:rFonts w:cs="Times New Roman"/>
          <w:bCs/>
          <w:szCs w:val="24"/>
        </w:rPr>
        <w:t xml:space="preserve">Bolívar, Chimborazo e Imbabura, </w:t>
      </w:r>
      <w:r w:rsidR="00F63637">
        <w:rPr>
          <w:rFonts w:cs="Times New Roman"/>
          <w:bCs/>
          <w:szCs w:val="24"/>
        </w:rPr>
        <w:t>indicó</w:t>
      </w:r>
      <w:r w:rsidRPr="007E253F">
        <w:rPr>
          <w:rFonts w:cs="Times New Roman"/>
          <w:bCs/>
          <w:szCs w:val="24"/>
        </w:rPr>
        <w:t xml:space="preserve"> que se implementaron ensayos en los cantones de Guaranda, San Miguel, Chimbo, Chillanes, Riobamba, Guano, Otavalo y Cotacachi; a una altitud comprendida entre 2290 a 2868 m.s.n.m.; con las variedades de maíz INIAP 102, INIAP 111, Chazo, INIAP 122 y</w:t>
      </w:r>
      <w:r w:rsidR="0007408D">
        <w:rPr>
          <w:rFonts w:cs="Times New Roman"/>
          <w:bCs/>
          <w:szCs w:val="24"/>
        </w:rPr>
        <w:t xml:space="preserve"> </w:t>
      </w:r>
      <w:r w:rsidRPr="007E253F">
        <w:rPr>
          <w:rFonts w:cs="Times New Roman"/>
          <w:bCs/>
          <w:szCs w:val="24"/>
        </w:rPr>
        <w:t>Huandango</w:t>
      </w:r>
      <w:r w:rsidRPr="007E253F">
        <w:rPr>
          <w:rFonts w:cs="Times New Roman"/>
          <w:bCs/>
          <w:szCs w:val="24"/>
          <w:lang w:val="es-ES"/>
        </w:rPr>
        <w:t>.</w:t>
      </w:r>
    </w:p>
    <w:p w14:paraId="7D7266D4" w14:textId="03558197" w:rsidR="00ED2CDA" w:rsidRPr="007E253F" w:rsidRDefault="00ED2CDA" w:rsidP="004B45E8">
      <w:pPr>
        <w:spacing w:before="360" w:after="360" w:line="360" w:lineRule="auto"/>
        <w:rPr>
          <w:rFonts w:cs="Times New Roman"/>
          <w:bCs/>
          <w:szCs w:val="24"/>
          <w:vertAlign w:val="superscript"/>
        </w:rPr>
      </w:pPr>
      <w:r w:rsidRPr="00D263F0">
        <w:rPr>
          <w:rFonts w:cs="Times New Roman"/>
          <w:bCs/>
          <w:szCs w:val="24"/>
        </w:rPr>
        <w:t>El rendimiento de maíz en grano seco t ha</w:t>
      </w:r>
      <w:r w:rsidRPr="00D263F0">
        <w:rPr>
          <w:rFonts w:cs="Times New Roman"/>
          <w:bCs/>
          <w:szCs w:val="24"/>
          <w:vertAlign w:val="superscript"/>
        </w:rPr>
        <w:t>-1</w:t>
      </w:r>
      <w:r w:rsidRPr="00D263F0">
        <w:rPr>
          <w:rFonts w:cs="Times New Roman"/>
          <w:bCs/>
          <w:szCs w:val="24"/>
        </w:rPr>
        <w:t xml:space="preserve"> (14% humedad) obtenido en las localidades en estudio tuvo </w:t>
      </w:r>
      <w:r w:rsidR="00164D94">
        <w:rPr>
          <w:rFonts w:cs="Times New Roman"/>
          <w:bCs/>
          <w:szCs w:val="24"/>
        </w:rPr>
        <w:t xml:space="preserve">un rango de 0,52 a </w:t>
      </w:r>
      <w:r w:rsidR="00284BE8" w:rsidRPr="00A25BD1">
        <w:rPr>
          <w:rFonts w:cs="Times New Roman"/>
          <w:bCs/>
          <w:sz w:val="22"/>
        </w:rPr>
        <w:t xml:space="preserve">8,92 </w:t>
      </w:r>
      <w:bookmarkStart w:id="1298" w:name="_Hlk69377821"/>
      <w:r w:rsidRPr="00D263F0">
        <w:rPr>
          <w:rFonts w:cs="Times New Roman"/>
          <w:bCs/>
          <w:szCs w:val="24"/>
        </w:rPr>
        <w:t>t ha</w:t>
      </w:r>
      <w:r w:rsidRPr="00D263F0">
        <w:rPr>
          <w:rFonts w:cs="Times New Roman"/>
          <w:bCs/>
          <w:szCs w:val="24"/>
          <w:vertAlign w:val="superscript"/>
        </w:rPr>
        <w:t>-1</w:t>
      </w:r>
      <w:r w:rsidRPr="00D263F0">
        <w:rPr>
          <w:rFonts w:cs="Times New Roman"/>
          <w:bCs/>
          <w:szCs w:val="24"/>
        </w:rPr>
        <w:t xml:space="preserve"> con una desviación estándar de 3,16 t/ ha</w:t>
      </w:r>
      <w:r w:rsidRPr="00D263F0">
        <w:rPr>
          <w:rFonts w:cs="Times New Roman"/>
          <w:bCs/>
          <w:szCs w:val="24"/>
          <w:vertAlign w:val="superscript"/>
        </w:rPr>
        <w:t>-1.</w:t>
      </w:r>
    </w:p>
    <w:bookmarkEnd w:id="1298"/>
    <w:p w14:paraId="09D41D7E" w14:textId="4CB29B33" w:rsidR="007E253F" w:rsidRPr="00DB0D02" w:rsidRDefault="00ED2CDA" w:rsidP="00DB0D02">
      <w:pPr>
        <w:spacing w:line="360" w:lineRule="auto"/>
        <w:rPr>
          <w:rFonts w:cs="Times New Roman"/>
          <w:bCs/>
          <w:szCs w:val="24"/>
        </w:rPr>
      </w:pPr>
      <w:r w:rsidRPr="007E253F">
        <w:rPr>
          <w:rFonts w:cs="Times New Roman"/>
          <w:bCs/>
          <w:szCs w:val="24"/>
        </w:rPr>
        <w:t>Con la base de datos elaborada se realizó un análisis de correlación de Pearson entre las variables dosis, absorción y rendimiento, por provincia y combinado, encontrándose una correlación significativa (p&lt;0,05) para las interacciones de las siguientes variables (</w:t>
      </w:r>
      <w:r w:rsidR="006760D1">
        <w:rPr>
          <w:rFonts w:cs="Times New Roman"/>
          <w:bCs/>
          <w:szCs w:val="24"/>
        </w:rPr>
        <w:t xml:space="preserve">Tablas </w:t>
      </w:r>
      <w:r w:rsidR="00DB0D02">
        <w:rPr>
          <w:rFonts w:cs="Times New Roman"/>
          <w:bCs/>
          <w:szCs w:val="24"/>
        </w:rPr>
        <w:t>13</w:t>
      </w:r>
      <w:r w:rsidR="009D6115">
        <w:rPr>
          <w:rFonts w:cs="Times New Roman"/>
          <w:bCs/>
          <w:szCs w:val="24"/>
        </w:rPr>
        <w:t>)</w:t>
      </w:r>
      <w:r w:rsidR="00DB0D02">
        <w:rPr>
          <w:rFonts w:cs="Times New Roman"/>
          <w:bCs/>
          <w:szCs w:val="24"/>
        </w:rPr>
        <w:t xml:space="preserve"> </w:t>
      </w:r>
    </w:p>
    <w:p w14:paraId="55D4FA48" w14:textId="4640033D" w:rsidR="00DB0D02" w:rsidRPr="00DB0D02" w:rsidRDefault="00DB0D02" w:rsidP="00DB0D02">
      <w:pPr>
        <w:pStyle w:val="Descripcin"/>
        <w:keepNext/>
        <w:rPr>
          <w:rFonts w:cs="Times New Roman"/>
          <w:bCs/>
          <w:i w:val="0"/>
          <w:iCs w:val="0"/>
          <w:color w:val="auto"/>
          <w:sz w:val="24"/>
          <w:szCs w:val="24"/>
          <w:lang w:eastAsia="en-US"/>
        </w:rPr>
      </w:pPr>
      <w:bookmarkStart w:id="1299" w:name="_Toc79314005"/>
      <w:r w:rsidRPr="00DB0D02">
        <w:rPr>
          <w:rFonts w:cs="Times New Roman"/>
          <w:b/>
          <w:bCs/>
          <w:i w:val="0"/>
          <w:iCs w:val="0"/>
          <w:color w:val="auto"/>
          <w:sz w:val="24"/>
          <w:szCs w:val="24"/>
          <w:lang w:eastAsia="en-US"/>
        </w:rPr>
        <w:lastRenderedPageBreak/>
        <w:t xml:space="preserve">Cuadro </w:t>
      </w:r>
      <w:r w:rsidRPr="00DB0D02">
        <w:rPr>
          <w:rFonts w:cs="Times New Roman"/>
          <w:b/>
          <w:bCs/>
          <w:i w:val="0"/>
          <w:iCs w:val="0"/>
          <w:color w:val="auto"/>
          <w:sz w:val="24"/>
          <w:szCs w:val="24"/>
          <w:lang w:eastAsia="en-US"/>
        </w:rPr>
        <w:fldChar w:fldCharType="begin"/>
      </w:r>
      <w:r w:rsidRPr="00DB0D02">
        <w:rPr>
          <w:rFonts w:cs="Times New Roman"/>
          <w:b/>
          <w:bCs/>
          <w:i w:val="0"/>
          <w:iCs w:val="0"/>
          <w:color w:val="auto"/>
          <w:sz w:val="24"/>
          <w:szCs w:val="24"/>
          <w:lang w:eastAsia="en-US"/>
        </w:rPr>
        <w:instrText xml:space="preserve"> SEQ Cuadro \* ARABIC </w:instrText>
      </w:r>
      <w:r w:rsidRPr="00DB0D02">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13</w:t>
      </w:r>
      <w:r w:rsidRPr="00DB0D02">
        <w:rPr>
          <w:rFonts w:cs="Times New Roman"/>
          <w:b/>
          <w:bCs/>
          <w:i w:val="0"/>
          <w:iCs w:val="0"/>
          <w:color w:val="auto"/>
          <w:sz w:val="24"/>
          <w:szCs w:val="24"/>
          <w:lang w:eastAsia="en-US"/>
        </w:rPr>
        <w:fldChar w:fldCharType="end"/>
      </w:r>
      <w:r w:rsidRPr="00DB0D02">
        <w:rPr>
          <w:rFonts w:cs="Times New Roman"/>
          <w:b/>
          <w:bCs/>
          <w:i w:val="0"/>
          <w:iCs w:val="0"/>
          <w:color w:val="auto"/>
          <w:sz w:val="24"/>
          <w:szCs w:val="24"/>
          <w:lang w:eastAsia="en-US"/>
        </w:rPr>
        <w:t>.</w:t>
      </w:r>
      <w:r w:rsidRPr="00DB0D02">
        <w:rPr>
          <w:rFonts w:cs="Times New Roman"/>
          <w:bCs/>
          <w:i w:val="0"/>
          <w:iCs w:val="0"/>
          <w:color w:val="auto"/>
          <w:sz w:val="24"/>
          <w:szCs w:val="24"/>
          <w:lang w:eastAsia="en-US"/>
        </w:rPr>
        <w:t xml:space="preserve"> Correlación de Pearson para variables evaluadas que reportaron significación estadística (p&lt;0,05) en los ensayos de maíz suave de la Provincia de Bolívar, 2006-2011..</w:t>
      </w:r>
      <w:bookmarkEnd w:id="1299"/>
    </w:p>
    <w:tbl>
      <w:tblPr>
        <w:tblStyle w:val="Tablaconcuadrcula"/>
        <w:tblW w:w="5008" w:type="pct"/>
        <w:tblLook w:val="04A0" w:firstRow="1" w:lastRow="0" w:firstColumn="1" w:lastColumn="0" w:noHBand="0" w:noVBand="1"/>
      </w:tblPr>
      <w:tblGrid>
        <w:gridCol w:w="2126"/>
        <w:gridCol w:w="2226"/>
        <w:gridCol w:w="642"/>
        <w:gridCol w:w="1537"/>
        <w:gridCol w:w="1409"/>
      </w:tblGrid>
      <w:tr w:rsidR="007E253F" w:rsidRPr="00F36E89" w14:paraId="428F279B" w14:textId="77777777" w:rsidTr="00912B23">
        <w:trPr>
          <w:trHeight w:val="356"/>
        </w:trPr>
        <w:tc>
          <w:tcPr>
            <w:tcW w:w="1339" w:type="pct"/>
          </w:tcPr>
          <w:p w14:paraId="297C212C" w14:textId="77777777" w:rsidR="007E253F" w:rsidRPr="00F36E89" w:rsidRDefault="007E253F" w:rsidP="006C3F27">
            <w:pPr>
              <w:autoSpaceDE w:val="0"/>
              <w:autoSpaceDN w:val="0"/>
              <w:adjustRightInd w:val="0"/>
              <w:jc w:val="center"/>
              <w:rPr>
                <w:rFonts w:cs="Times New Roman"/>
                <w:b/>
                <w:bCs/>
                <w:sz w:val="22"/>
                <w:u w:val="single"/>
              </w:rPr>
            </w:pPr>
            <w:r w:rsidRPr="00F36E89">
              <w:rPr>
                <w:rFonts w:cs="Times New Roman"/>
                <w:b/>
                <w:bCs/>
                <w:sz w:val="22"/>
                <w:u w:val="single"/>
              </w:rPr>
              <w:t>Variable (1)</w:t>
            </w:r>
          </w:p>
        </w:tc>
        <w:tc>
          <w:tcPr>
            <w:tcW w:w="1402" w:type="pct"/>
          </w:tcPr>
          <w:p w14:paraId="1A1169E1" w14:textId="77777777" w:rsidR="007E253F" w:rsidRPr="00F36E89" w:rsidRDefault="007E253F" w:rsidP="006C3F27">
            <w:pPr>
              <w:autoSpaceDE w:val="0"/>
              <w:autoSpaceDN w:val="0"/>
              <w:adjustRightInd w:val="0"/>
              <w:jc w:val="center"/>
              <w:rPr>
                <w:rFonts w:cs="Times New Roman"/>
                <w:b/>
                <w:bCs/>
                <w:sz w:val="22"/>
                <w:u w:val="single"/>
              </w:rPr>
            </w:pPr>
            <w:r w:rsidRPr="00F36E89">
              <w:rPr>
                <w:rFonts w:cs="Times New Roman"/>
                <w:b/>
                <w:bCs/>
                <w:sz w:val="22"/>
                <w:u w:val="single"/>
              </w:rPr>
              <w:t>Variable (2)</w:t>
            </w:r>
          </w:p>
        </w:tc>
        <w:tc>
          <w:tcPr>
            <w:tcW w:w="404" w:type="pct"/>
          </w:tcPr>
          <w:p w14:paraId="2917AEDD" w14:textId="77777777" w:rsidR="007E253F" w:rsidRPr="00F36E89" w:rsidRDefault="007E253F" w:rsidP="006C3F27">
            <w:pPr>
              <w:autoSpaceDE w:val="0"/>
              <w:autoSpaceDN w:val="0"/>
              <w:adjustRightInd w:val="0"/>
              <w:jc w:val="center"/>
              <w:rPr>
                <w:rFonts w:cs="Times New Roman"/>
                <w:b/>
                <w:bCs/>
                <w:sz w:val="22"/>
                <w:u w:val="single"/>
              </w:rPr>
            </w:pPr>
            <w:r w:rsidRPr="00F36E89">
              <w:rPr>
                <w:rFonts w:cs="Times New Roman"/>
                <w:b/>
                <w:bCs/>
                <w:sz w:val="22"/>
                <w:u w:val="single"/>
              </w:rPr>
              <w:t>N</w:t>
            </w:r>
          </w:p>
        </w:tc>
        <w:tc>
          <w:tcPr>
            <w:tcW w:w="968" w:type="pct"/>
          </w:tcPr>
          <w:p w14:paraId="0C9C0AC3" w14:textId="77777777" w:rsidR="007E253F" w:rsidRPr="00F36E89" w:rsidRDefault="007E253F" w:rsidP="006C3F27">
            <w:pPr>
              <w:autoSpaceDE w:val="0"/>
              <w:autoSpaceDN w:val="0"/>
              <w:adjustRightInd w:val="0"/>
              <w:jc w:val="center"/>
              <w:rPr>
                <w:rFonts w:cs="Times New Roman"/>
                <w:b/>
                <w:bCs/>
                <w:sz w:val="22"/>
                <w:u w:val="single"/>
              </w:rPr>
            </w:pPr>
            <w:r w:rsidRPr="00F36E89">
              <w:rPr>
                <w:rFonts w:cs="Times New Roman"/>
                <w:b/>
                <w:bCs/>
                <w:sz w:val="22"/>
                <w:u w:val="single"/>
              </w:rPr>
              <w:t>Pearson</w:t>
            </w:r>
          </w:p>
        </w:tc>
        <w:tc>
          <w:tcPr>
            <w:tcW w:w="887" w:type="pct"/>
          </w:tcPr>
          <w:p w14:paraId="59559056" w14:textId="77777777" w:rsidR="007E253F" w:rsidRPr="00F36E89" w:rsidRDefault="007E253F" w:rsidP="006C3F27">
            <w:pPr>
              <w:autoSpaceDE w:val="0"/>
              <w:autoSpaceDN w:val="0"/>
              <w:adjustRightInd w:val="0"/>
              <w:jc w:val="center"/>
              <w:rPr>
                <w:rFonts w:cs="Times New Roman"/>
                <w:b/>
                <w:bCs/>
                <w:sz w:val="22"/>
                <w:u w:val="single"/>
              </w:rPr>
            </w:pPr>
            <w:r w:rsidRPr="00F36E89">
              <w:rPr>
                <w:rFonts w:cs="Times New Roman"/>
                <w:b/>
                <w:bCs/>
                <w:sz w:val="22"/>
                <w:u w:val="single"/>
              </w:rPr>
              <w:t>p-valor</w:t>
            </w:r>
          </w:p>
        </w:tc>
      </w:tr>
      <w:tr w:rsidR="007E253F" w:rsidRPr="00F36E89" w14:paraId="210715FA" w14:textId="77777777" w:rsidTr="00912B23">
        <w:trPr>
          <w:trHeight w:val="356"/>
        </w:trPr>
        <w:tc>
          <w:tcPr>
            <w:tcW w:w="1339" w:type="pct"/>
          </w:tcPr>
          <w:p w14:paraId="08EF428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Altitud</w:t>
            </w:r>
          </w:p>
        </w:tc>
        <w:tc>
          <w:tcPr>
            <w:tcW w:w="1402" w:type="pct"/>
          </w:tcPr>
          <w:p w14:paraId="5DD7C0A8"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AbsKtotal kg/</w:t>
            </w:r>
            <w:r w:rsidRPr="00F36E89">
              <w:rPr>
                <w:rFonts w:cs="Times New Roman"/>
                <w:bCs/>
                <w:sz w:val="22"/>
              </w:rPr>
              <w:t>ha</w:t>
            </w:r>
            <w:r w:rsidRPr="00F36E89">
              <w:rPr>
                <w:rFonts w:cs="Times New Roman"/>
                <w:bCs/>
                <w:sz w:val="22"/>
                <w:vertAlign w:val="superscript"/>
              </w:rPr>
              <w:t>-1</w:t>
            </w:r>
          </w:p>
        </w:tc>
        <w:tc>
          <w:tcPr>
            <w:tcW w:w="404" w:type="pct"/>
          </w:tcPr>
          <w:p w14:paraId="3906CCC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54EB407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-0,25</w:t>
            </w:r>
          </w:p>
        </w:tc>
        <w:tc>
          <w:tcPr>
            <w:tcW w:w="887" w:type="pct"/>
          </w:tcPr>
          <w:p w14:paraId="6015025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0,0191</w:t>
            </w:r>
          </w:p>
        </w:tc>
      </w:tr>
      <w:tr w:rsidR="007E253F" w:rsidRPr="00F36E89" w14:paraId="772AF144" w14:textId="77777777" w:rsidTr="00912B23">
        <w:trPr>
          <w:trHeight w:val="356"/>
        </w:trPr>
        <w:tc>
          <w:tcPr>
            <w:tcW w:w="1339" w:type="pct"/>
          </w:tcPr>
          <w:p w14:paraId="27E2D9E9"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N</w:t>
            </w:r>
          </w:p>
        </w:tc>
        <w:tc>
          <w:tcPr>
            <w:tcW w:w="1402" w:type="pct"/>
          </w:tcPr>
          <w:p w14:paraId="44CE7B1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AbsNtotal kg/</w:t>
            </w:r>
            <w:r w:rsidRPr="00F36E89">
              <w:rPr>
                <w:rFonts w:cs="Times New Roman"/>
                <w:bCs/>
                <w:sz w:val="22"/>
              </w:rPr>
              <w:t>ha</w:t>
            </w:r>
            <w:r w:rsidRPr="00F36E89">
              <w:rPr>
                <w:rFonts w:cs="Times New Roman"/>
                <w:bCs/>
                <w:sz w:val="22"/>
                <w:vertAlign w:val="superscript"/>
              </w:rPr>
              <w:t>-1</w:t>
            </w:r>
          </w:p>
        </w:tc>
        <w:tc>
          <w:tcPr>
            <w:tcW w:w="404" w:type="pct"/>
          </w:tcPr>
          <w:p w14:paraId="4053F03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6F33AB9F"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0,59</w:t>
            </w:r>
          </w:p>
        </w:tc>
        <w:tc>
          <w:tcPr>
            <w:tcW w:w="887" w:type="pct"/>
          </w:tcPr>
          <w:p w14:paraId="2C4BE8B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2B39CD08" w14:textId="77777777" w:rsidTr="00912B23">
        <w:trPr>
          <w:trHeight w:val="356"/>
        </w:trPr>
        <w:tc>
          <w:tcPr>
            <w:tcW w:w="1339" w:type="pct"/>
          </w:tcPr>
          <w:p w14:paraId="4576C08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N</w:t>
            </w:r>
          </w:p>
        </w:tc>
        <w:tc>
          <w:tcPr>
            <w:tcW w:w="1402" w:type="pct"/>
          </w:tcPr>
          <w:p w14:paraId="77C4DA9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AbsPtotal kg/</w:t>
            </w:r>
            <w:r w:rsidRPr="00F36E89">
              <w:rPr>
                <w:rFonts w:cs="Times New Roman"/>
                <w:bCs/>
                <w:sz w:val="22"/>
              </w:rPr>
              <w:t>ha</w:t>
            </w:r>
            <w:r w:rsidRPr="00F36E89">
              <w:rPr>
                <w:rFonts w:cs="Times New Roman"/>
                <w:bCs/>
                <w:sz w:val="22"/>
                <w:vertAlign w:val="superscript"/>
              </w:rPr>
              <w:t>-1</w:t>
            </w:r>
          </w:p>
        </w:tc>
        <w:tc>
          <w:tcPr>
            <w:tcW w:w="404" w:type="pct"/>
          </w:tcPr>
          <w:p w14:paraId="560229F2"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2C0FFC29"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0,29</w:t>
            </w:r>
          </w:p>
        </w:tc>
        <w:tc>
          <w:tcPr>
            <w:tcW w:w="887" w:type="pct"/>
          </w:tcPr>
          <w:p w14:paraId="7C49832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0,0063</w:t>
            </w:r>
          </w:p>
        </w:tc>
      </w:tr>
      <w:tr w:rsidR="007E253F" w:rsidRPr="00F36E89" w14:paraId="62FF9C80" w14:textId="77777777" w:rsidTr="00912B23">
        <w:trPr>
          <w:trHeight w:val="356"/>
        </w:trPr>
        <w:tc>
          <w:tcPr>
            <w:tcW w:w="1339" w:type="pct"/>
          </w:tcPr>
          <w:p w14:paraId="637B7F99"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N</w:t>
            </w:r>
          </w:p>
        </w:tc>
        <w:tc>
          <w:tcPr>
            <w:tcW w:w="1402" w:type="pct"/>
          </w:tcPr>
          <w:p w14:paraId="13DB0CA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AbsKtotal kg/</w:t>
            </w:r>
            <w:r w:rsidRPr="00F36E89">
              <w:rPr>
                <w:rFonts w:cs="Times New Roman"/>
                <w:bCs/>
                <w:sz w:val="22"/>
              </w:rPr>
              <w:t>ha</w:t>
            </w:r>
            <w:r w:rsidRPr="00F36E89">
              <w:rPr>
                <w:rFonts w:cs="Times New Roman"/>
                <w:bCs/>
                <w:sz w:val="22"/>
                <w:vertAlign w:val="superscript"/>
              </w:rPr>
              <w:t>-1</w:t>
            </w:r>
          </w:p>
        </w:tc>
        <w:tc>
          <w:tcPr>
            <w:tcW w:w="404" w:type="pct"/>
          </w:tcPr>
          <w:p w14:paraId="5581A7C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6A0F5FB4"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0,37</w:t>
            </w:r>
          </w:p>
        </w:tc>
        <w:tc>
          <w:tcPr>
            <w:tcW w:w="887" w:type="pct"/>
          </w:tcPr>
          <w:p w14:paraId="6AD75C5F"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0,0004</w:t>
            </w:r>
          </w:p>
        </w:tc>
      </w:tr>
      <w:tr w:rsidR="007E253F" w:rsidRPr="00F36E89" w14:paraId="5D640825" w14:textId="77777777" w:rsidTr="00912B23">
        <w:trPr>
          <w:trHeight w:val="356"/>
        </w:trPr>
        <w:tc>
          <w:tcPr>
            <w:tcW w:w="1339" w:type="pct"/>
          </w:tcPr>
          <w:p w14:paraId="0323BB3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N</w:t>
            </w:r>
          </w:p>
        </w:tc>
        <w:tc>
          <w:tcPr>
            <w:tcW w:w="1402" w:type="pct"/>
          </w:tcPr>
          <w:p w14:paraId="0CD2B362"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AbsStotal kg/</w:t>
            </w:r>
            <w:r w:rsidRPr="00F36E89">
              <w:rPr>
                <w:rFonts w:cs="Times New Roman"/>
                <w:bCs/>
                <w:sz w:val="22"/>
              </w:rPr>
              <w:t>ha</w:t>
            </w:r>
            <w:r w:rsidRPr="00F36E89">
              <w:rPr>
                <w:rFonts w:cs="Times New Roman"/>
                <w:bCs/>
                <w:sz w:val="22"/>
                <w:vertAlign w:val="superscript"/>
              </w:rPr>
              <w:t>-1</w:t>
            </w:r>
          </w:p>
        </w:tc>
        <w:tc>
          <w:tcPr>
            <w:tcW w:w="404" w:type="pct"/>
          </w:tcPr>
          <w:p w14:paraId="0A386E2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31E5A2F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0,32</w:t>
            </w:r>
          </w:p>
        </w:tc>
        <w:tc>
          <w:tcPr>
            <w:tcW w:w="887" w:type="pct"/>
          </w:tcPr>
          <w:p w14:paraId="51A90CF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0,0018</w:t>
            </w:r>
          </w:p>
        </w:tc>
      </w:tr>
      <w:tr w:rsidR="007E253F" w:rsidRPr="00F36E89" w14:paraId="309DB158" w14:textId="77777777" w:rsidTr="00912B23">
        <w:trPr>
          <w:trHeight w:val="356"/>
        </w:trPr>
        <w:tc>
          <w:tcPr>
            <w:tcW w:w="1339" w:type="pct"/>
          </w:tcPr>
          <w:p w14:paraId="61996328"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N</w:t>
            </w:r>
          </w:p>
        </w:tc>
        <w:tc>
          <w:tcPr>
            <w:tcW w:w="1402" w:type="pct"/>
          </w:tcPr>
          <w:p w14:paraId="547DEF1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AbsMgtotal kg/</w:t>
            </w:r>
            <w:r w:rsidRPr="00F36E89">
              <w:rPr>
                <w:rFonts w:cs="Times New Roman"/>
                <w:bCs/>
                <w:sz w:val="22"/>
              </w:rPr>
              <w:t>ha</w:t>
            </w:r>
            <w:r w:rsidRPr="00F36E89">
              <w:rPr>
                <w:rFonts w:cs="Times New Roman"/>
                <w:bCs/>
                <w:sz w:val="22"/>
                <w:vertAlign w:val="superscript"/>
              </w:rPr>
              <w:t>-1</w:t>
            </w:r>
          </w:p>
        </w:tc>
        <w:tc>
          <w:tcPr>
            <w:tcW w:w="404" w:type="pct"/>
          </w:tcPr>
          <w:p w14:paraId="7E492A7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57EF793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0,34</w:t>
            </w:r>
          </w:p>
        </w:tc>
        <w:tc>
          <w:tcPr>
            <w:tcW w:w="887" w:type="pct"/>
          </w:tcPr>
          <w:p w14:paraId="190A063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0,0011</w:t>
            </w:r>
          </w:p>
        </w:tc>
      </w:tr>
      <w:tr w:rsidR="007E253F" w:rsidRPr="00F36E89" w14:paraId="2D9B014B" w14:textId="77777777" w:rsidTr="00912B23">
        <w:trPr>
          <w:trHeight w:val="356"/>
        </w:trPr>
        <w:tc>
          <w:tcPr>
            <w:tcW w:w="1339" w:type="pct"/>
          </w:tcPr>
          <w:p w14:paraId="2CA9416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N</w:t>
            </w:r>
          </w:p>
        </w:tc>
        <w:tc>
          <w:tcPr>
            <w:tcW w:w="1402" w:type="pct"/>
          </w:tcPr>
          <w:p w14:paraId="743DF9D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Rend t ha</w:t>
            </w:r>
            <w:r w:rsidRPr="00F36E89">
              <w:rPr>
                <w:rFonts w:cs="Times New Roman"/>
                <w:bCs/>
                <w:sz w:val="22"/>
                <w:vertAlign w:val="superscript"/>
              </w:rPr>
              <w:t>-1</w:t>
            </w:r>
            <w:r w:rsidRPr="00F36E89">
              <w:rPr>
                <w:rFonts w:cs="Times New Roman"/>
                <w:sz w:val="22"/>
              </w:rPr>
              <w:t xml:space="preserve"> (14%h)</w:t>
            </w:r>
          </w:p>
        </w:tc>
        <w:tc>
          <w:tcPr>
            <w:tcW w:w="404" w:type="pct"/>
          </w:tcPr>
          <w:p w14:paraId="08A73BA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12A90BB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0,62</w:t>
            </w:r>
          </w:p>
        </w:tc>
        <w:tc>
          <w:tcPr>
            <w:tcW w:w="887" w:type="pct"/>
          </w:tcPr>
          <w:p w14:paraId="7A33BB0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55680620" w14:textId="77777777" w:rsidTr="00912B23">
        <w:trPr>
          <w:trHeight w:val="375"/>
        </w:trPr>
        <w:tc>
          <w:tcPr>
            <w:tcW w:w="1339" w:type="pct"/>
          </w:tcPr>
          <w:p w14:paraId="2E8D569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K</w:t>
            </w:r>
          </w:p>
        </w:tc>
        <w:tc>
          <w:tcPr>
            <w:tcW w:w="1402" w:type="pct"/>
          </w:tcPr>
          <w:p w14:paraId="7F3EB49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S</w:t>
            </w:r>
          </w:p>
        </w:tc>
        <w:tc>
          <w:tcPr>
            <w:tcW w:w="404" w:type="pct"/>
          </w:tcPr>
          <w:p w14:paraId="23A3F73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6450403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0,36</w:t>
            </w:r>
          </w:p>
        </w:tc>
        <w:tc>
          <w:tcPr>
            <w:tcW w:w="887" w:type="pct"/>
          </w:tcPr>
          <w:p w14:paraId="75BC5724"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0,0004</w:t>
            </w:r>
          </w:p>
        </w:tc>
      </w:tr>
      <w:tr w:rsidR="007E253F" w:rsidRPr="00F36E89" w14:paraId="51565E3B" w14:textId="77777777" w:rsidTr="00912B23">
        <w:trPr>
          <w:trHeight w:val="356"/>
        </w:trPr>
        <w:tc>
          <w:tcPr>
            <w:tcW w:w="1339" w:type="pct"/>
          </w:tcPr>
          <w:p w14:paraId="12BFD1D2"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K</w:t>
            </w:r>
          </w:p>
        </w:tc>
        <w:tc>
          <w:tcPr>
            <w:tcW w:w="1402" w:type="pct"/>
          </w:tcPr>
          <w:p w14:paraId="63E110BF"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Mg</w:t>
            </w:r>
          </w:p>
        </w:tc>
        <w:tc>
          <w:tcPr>
            <w:tcW w:w="404" w:type="pct"/>
          </w:tcPr>
          <w:p w14:paraId="4C4C56B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27A7707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0,36</w:t>
            </w:r>
          </w:p>
        </w:tc>
        <w:tc>
          <w:tcPr>
            <w:tcW w:w="887" w:type="pct"/>
          </w:tcPr>
          <w:p w14:paraId="5D9251B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0,0004</w:t>
            </w:r>
          </w:p>
        </w:tc>
      </w:tr>
      <w:tr w:rsidR="007E253F" w:rsidRPr="00F36E89" w14:paraId="614155DD" w14:textId="77777777" w:rsidTr="00912B23">
        <w:trPr>
          <w:trHeight w:val="356"/>
        </w:trPr>
        <w:tc>
          <w:tcPr>
            <w:tcW w:w="1339" w:type="pct"/>
          </w:tcPr>
          <w:p w14:paraId="7969DB7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K</w:t>
            </w:r>
          </w:p>
        </w:tc>
        <w:tc>
          <w:tcPr>
            <w:tcW w:w="1402" w:type="pct"/>
          </w:tcPr>
          <w:p w14:paraId="6D1562D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AbsPtotal kg/</w:t>
            </w:r>
            <w:r w:rsidRPr="00F36E89">
              <w:rPr>
                <w:rFonts w:cs="Times New Roman"/>
                <w:bCs/>
                <w:sz w:val="22"/>
              </w:rPr>
              <w:t>ha</w:t>
            </w:r>
            <w:r w:rsidRPr="00F36E89">
              <w:rPr>
                <w:rFonts w:cs="Times New Roman"/>
                <w:bCs/>
                <w:sz w:val="22"/>
                <w:vertAlign w:val="superscript"/>
              </w:rPr>
              <w:t>-1</w:t>
            </w:r>
          </w:p>
        </w:tc>
        <w:tc>
          <w:tcPr>
            <w:tcW w:w="404" w:type="pct"/>
          </w:tcPr>
          <w:p w14:paraId="687E6AD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54D66B2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-0,29</w:t>
            </w:r>
          </w:p>
        </w:tc>
        <w:tc>
          <w:tcPr>
            <w:tcW w:w="887" w:type="pct"/>
          </w:tcPr>
          <w:p w14:paraId="40D9092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0,0063</w:t>
            </w:r>
          </w:p>
        </w:tc>
      </w:tr>
      <w:tr w:rsidR="007E253F" w:rsidRPr="00F36E89" w14:paraId="0C87EADC" w14:textId="77777777" w:rsidTr="00912B23">
        <w:trPr>
          <w:trHeight w:val="356"/>
        </w:trPr>
        <w:tc>
          <w:tcPr>
            <w:tcW w:w="1339" w:type="pct"/>
          </w:tcPr>
          <w:p w14:paraId="2287F5A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K</w:t>
            </w:r>
          </w:p>
        </w:tc>
        <w:tc>
          <w:tcPr>
            <w:tcW w:w="1402" w:type="pct"/>
          </w:tcPr>
          <w:p w14:paraId="54E8A10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AbsStotal kg/</w:t>
            </w:r>
            <w:r w:rsidRPr="00F36E89">
              <w:rPr>
                <w:rFonts w:cs="Times New Roman"/>
                <w:bCs/>
                <w:sz w:val="22"/>
              </w:rPr>
              <w:t>ha</w:t>
            </w:r>
            <w:r w:rsidRPr="00F36E89">
              <w:rPr>
                <w:rFonts w:cs="Times New Roman"/>
                <w:bCs/>
                <w:sz w:val="22"/>
                <w:vertAlign w:val="superscript"/>
              </w:rPr>
              <w:t>-1</w:t>
            </w:r>
          </w:p>
        </w:tc>
        <w:tc>
          <w:tcPr>
            <w:tcW w:w="404" w:type="pct"/>
          </w:tcPr>
          <w:p w14:paraId="7B763F5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0268D67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-0,54</w:t>
            </w:r>
          </w:p>
        </w:tc>
        <w:tc>
          <w:tcPr>
            <w:tcW w:w="887" w:type="pct"/>
          </w:tcPr>
          <w:p w14:paraId="0AF8F97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47B885B8" w14:textId="77777777" w:rsidTr="00912B23">
        <w:trPr>
          <w:trHeight w:val="356"/>
        </w:trPr>
        <w:tc>
          <w:tcPr>
            <w:tcW w:w="1339" w:type="pct"/>
          </w:tcPr>
          <w:p w14:paraId="5549B81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K</w:t>
            </w:r>
          </w:p>
        </w:tc>
        <w:tc>
          <w:tcPr>
            <w:tcW w:w="1402" w:type="pct"/>
          </w:tcPr>
          <w:p w14:paraId="0828A54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AbsMgtotal kg/</w:t>
            </w:r>
            <w:r w:rsidRPr="00F36E89">
              <w:rPr>
                <w:rFonts w:cs="Times New Roman"/>
                <w:bCs/>
                <w:sz w:val="22"/>
              </w:rPr>
              <w:t>ha</w:t>
            </w:r>
            <w:r w:rsidRPr="00F36E89">
              <w:rPr>
                <w:rFonts w:cs="Times New Roman"/>
                <w:bCs/>
                <w:sz w:val="22"/>
                <w:vertAlign w:val="superscript"/>
              </w:rPr>
              <w:t>-1</w:t>
            </w:r>
          </w:p>
        </w:tc>
        <w:tc>
          <w:tcPr>
            <w:tcW w:w="404" w:type="pct"/>
          </w:tcPr>
          <w:p w14:paraId="1A58591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4A5EED8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-0,29</w:t>
            </w:r>
          </w:p>
        </w:tc>
        <w:tc>
          <w:tcPr>
            <w:tcW w:w="887" w:type="pct"/>
          </w:tcPr>
          <w:p w14:paraId="36CBE90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0,0050</w:t>
            </w:r>
          </w:p>
        </w:tc>
      </w:tr>
      <w:tr w:rsidR="007E253F" w:rsidRPr="00F36E89" w14:paraId="1DB908DC" w14:textId="77777777" w:rsidTr="00912B23">
        <w:trPr>
          <w:trHeight w:val="356"/>
        </w:trPr>
        <w:tc>
          <w:tcPr>
            <w:tcW w:w="1339" w:type="pct"/>
          </w:tcPr>
          <w:p w14:paraId="0CEEB03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S</w:t>
            </w:r>
          </w:p>
        </w:tc>
        <w:tc>
          <w:tcPr>
            <w:tcW w:w="1402" w:type="pct"/>
          </w:tcPr>
          <w:p w14:paraId="3BEA4B8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Mg</w:t>
            </w:r>
          </w:p>
        </w:tc>
        <w:tc>
          <w:tcPr>
            <w:tcW w:w="404" w:type="pct"/>
          </w:tcPr>
          <w:p w14:paraId="266039F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549C438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0,46</w:t>
            </w:r>
          </w:p>
        </w:tc>
        <w:tc>
          <w:tcPr>
            <w:tcW w:w="887" w:type="pct"/>
          </w:tcPr>
          <w:p w14:paraId="09D7252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7C193489" w14:textId="77777777" w:rsidTr="00912B23">
        <w:trPr>
          <w:trHeight w:val="356"/>
        </w:trPr>
        <w:tc>
          <w:tcPr>
            <w:tcW w:w="1339" w:type="pct"/>
          </w:tcPr>
          <w:p w14:paraId="5E95A288"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S</w:t>
            </w:r>
          </w:p>
        </w:tc>
        <w:tc>
          <w:tcPr>
            <w:tcW w:w="1402" w:type="pct"/>
          </w:tcPr>
          <w:p w14:paraId="2D89279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AbsStotal kg/</w:t>
            </w:r>
            <w:r w:rsidRPr="00F36E89">
              <w:rPr>
                <w:rFonts w:cs="Times New Roman"/>
                <w:bCs/>
                <w:sz w:val="22"/>
              </w:rPr>
              <w:t>ha</w:t>
            </w:r>
            <w:r w:rsidRPr="00F36E89">
              <w:rPr>
                <w:rFonts w:cs="Times New Roman"/>
                <w:bCs/>
                <w:sz w:val="22"/>
                <w:vertAlign w:val="superscript"/>
              </w:rPr>
              <w:t>-1</w:t>
            </w:r>
          </w:p>
        </w:tc>
        <w:tc>
          <w:tcPr>
            <w:tcW w:w="404" w:type="pct"/>
          </w:tcPr>
          <w:p w14:paraId="01C123E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698A158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-0,32</w:t>
            </w:r>
          </w:p>
        </w:tc>
        <w:tc>
          <w:tcPr>
            <w:tcW w:w="887" w:type="pct"/>
          </w:tcPr>
          <w:p w14:paraId="71699F82"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0,0020</w:t>
            </w:r>
          </w:p>
        </w:tc>
      </w:tr>
      <w:tr w:rsidR="007E253F" w:rsidRPr="00F36E89" w14:paraId="3FC9D727" w14:textId="77777777" w:rsidTr="00912B23">
        <w:trPr>
          <w:trHeight w:val="356"/>
        </w:trPr>
        <w:tc>
          <w:tcPr>
            <w:tcW w:w="1339" w:type="pct"/>
          </w:tcPr>
          <w:p w14:paraId="6E0164C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S</w:t>
            </w:r>
          </w:p>
        </w:tc>
        <w:tc>
          <w:tcPr>
            <w:tcW w:w="1402" w:type="pct"/>
          </w:tcPr>
          <w:p w14:paraId="46840D9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AbsMgtotal kg/</w:t>
            </w:r>
            <w:r w:rsidRPr="00F36E89">
              <w:rPr>
                <w:rFonts w:cs="Times New Roman"/>
                <w:bCs/>
                <w:sz w:val="22"/>
              </w:rPr>
              <w:t>ha</w:t>
            </w:r>
            <w:r w:rsidRPr="00F36E89">
              <w:rPr>
                <w:rFonts w:cs="Times New Roman"/>
                <w:bCs/>
                <w:sz w:val="22"/>
                <w:vertAlign w:val="superscript"/>
              </w:rPr>
              <w:t>-1</w:t>
            </w:r>
          </w:p>
        </w:tc>
        <w:tc>
          <w:tcPr>
            <w:tcW w:w="404" w:type="pct"/>
          </w:tcPr>
          <w:p w14:paraId="530B52D2"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747515C2"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-0,20</w:t>
            </w:r>
          </w:p>
        </w:tc>
        <w:tc>
          <w:tcPr>
            <w:tcW w:w="887" w:type="pct"/>
          </w:tcPr>
          <w:p w14:paraId="4AD09AA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0,0543</w:t>
            </w:r>
          </w:p>
        </w:tc>
      </w:tr>
      <w:tr w:rsidR="007E253F" w:rsidRPr="00F36E89" w14:paraId="2622C085" w14:textId="77777777" w:rsidTr="00912B23">
        <w:trPr>
          <w:trHeight w:val="356"/>
        </w:trPr>
        <w:tc>
          <w:tcPr>
            <w:tcW w:w="1339" w:type="pct"/>
          </w:tcPr>
          <w:p w14:paraId="3D4FCEE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Mg</w:t>
            </w:r>
          </w:p>
        </w:tc>
        <w:tc>
          <w:tcPr>
            <w:tcW w:w="1402" w:type="pct"/>
          </w:tcPr>
          <w:p w14:paraId="39C0742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AbsPtotal kg/</w:t>
            </w:r>
            <w:r w:rsidRPr="00F36E89">
              <w:rPr>
                <w:rFonts w:cs="Times New Roman"/>
                <w:bCs/>
                <w:sz w:val="22"/>
              </w:rPr>
              <w:t>ha</w:t>
            </w:r>
            <w:r w:rsidRPr="00F36E89">
              <w:rPr>
                <w:rFonts w:cs="Times New Roman"/>
                <w:bCs/>
                <w:sz w:val="22"/>
                <w:vertAlign w:val="superscript"/>
              </w:rPr>
              <w:t>-1</w:t>
            </w:r>
          </w:p>
        </w:tc>
        <w:tc>
          <w:tcPr>
            <w:tcW w:w="404" w:type="pct"/>
          </w:tcPr>
          <w:p w14:paraId="273554B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43FFA1B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-0,21</w:t>
            </w:r>
          </w:p>
        </w:tc>
        <w:tc>
          <w:tcPr>
            <w:tcW w:w="887" w:type="pct"/>
          </w:tcPr>
          <w:p w14:paraId="40EB838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0,0499</w:t>
            </w:r>
          </w:p>
        </w:tc>
      </w:tr>
      <w:tr w:rsidR="007E253F" w:rsidRPr="00F36E89" w14:paraId="3471AB93" w14:textId="77777777" w:rsidTr="00912B23">
        <w:trPr>
          <w:trHeight w:val="356"/>
        </w:trPr>
        <w:tc>
          <w:tcPr>
            <w:tcW w:w="1339" w:type="pct"/>
          </w:tcPr>
          <w:p w14:paraId="1E40714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Mg</w:t>
            </w:r>
          </w:p>
        </w:tc>
        <w:tc>
          <w:tcPr>
            <w:tcW w:w="1402" w:type="pct"/>
          </w:tcPr>
          <w:p w14:paraId="29477FA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AbsStotal kg/</w:t>
            </w:r>
            <w:r w:rsidRPr="00F36E89">
              <w:rPr>
                <w:rFonts w:cs="Times New Roman"/>
                <w:bCs/>
                <w:sz w:val="22"/>
              </w:rPr>
              <w:t>ha</w:t>
            </w:r>
            <w:r w:rsidRPr="00F36E89">
              <w:rPr>
                <w:rFonts w:cs="Times New Roman"/>
                <w:bCs/>
                <w:sz w:val="22"/>
                <w:vertAlign w:val="superscript"/>
              </w:rPr>
              <w:t>-1</w:t>
            </w:r>
          </w:p>
        </w:tc>
        <w:tc>
          <w:tcPr>
            <w:tcW w:w="404" w:type="pct"/>
          </w:tcPr>
          <w:p w14:paraId="36F8D3A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02DB968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-0,33</w:t>
            </w:r>
          </w:p>
        </w:tc>
        <w:tc>
          <w:tcPr>
            <w:tcW w:w="887" w:type="pct"/>
          </w:tcPr>
          <w:p w14:paraId="3D2AF7D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0,0017</w:t>
            </w:r>
          </w:p>
        </w:tc>
      </w:tr>
      <w:tr w:rsidR="007E253F" w:rsidRPr="00F36E89" w14:paraId="6ADF13A4" w14:textId="77777777" w:rsidTr="00912B23">
        <w:trPr>
          <w:trHeight w:val="356"/>
        </w:trPr>
        <w:tc>
          <w:tcPr>
            <w:tcW w:w="1339" w:type="pct"/>
          </w:tcPr>
          <w:p w14:paraId="07CFFC0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Dosis Mg</w:t>
            </w:r>
          </w:p>
        </w:tc>
        <w:tc>
          <w:tcPr>
            <w:tcW w:w="1402" w:type="pct"/>
          </w:tcPr>
          <w:p w14:paraId="5105237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AbsMgtotal kg/</w:t>
            </w:r>
            <w:r w:rsidRPr="00F36E89">
              <w:rPr>
                <w:rFonts w:cs="Times New Roman"/>
                <w:bCs/>
                <w:sz w:val="22"/>
              </w:rPr>
              <w:t>ha</w:t>
            </w:r>
            <w:r w:rsidRPr="00F36E89">
              <w:rPr>
                <w:rFonts w:cs="Times New Roman"/>
                <w:bCs/>
                <w:sz w:val="22"/>
                <w:vertAlign w:val="superscript"/>
              </w:rPr>
              <w:t>-1</w:t>
            </w:r>
          </w:p>
        </w:tc>
        <w:tc>
          <w:tcPr>
            <w:tcW w:w="404" w:type="pct"/>
          </w:tcPr>
          <w:p w14:paraId="4D2D59A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5FD62174"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-0,21</w:t>
            </w:r>
          </w:p>
        </w:tc>
        <w:tc>
          <w:tcPr>
            <w:tcW w:w="887" w:type="pct"/>
          </w:tcPr>
          <w:p w14:paraId="34CE56A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0,0419</w:t>
            </w:r>
          </w:p>
        </w:tc>
      </w:tr>
      <w:tr w:rsidR="007E253F" w:rsidRPr="00F36E89" w14:paraId="25D0A3EA" w14:textId="77777777" w:rsidTr="00912B23">
        <w:trPr>
          <w:trHeight w:val="348"/>
        </w:trPr>
        <w:tc>
          <w:tcPr>
            <w:tcW w:w="1339" w:type="pct"/>
          </w:tcPr>
          <w:p w14:paraId="0B0165A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AbsNtotal kg/</w:t>
            </w:r>
            <w:r w:rsidRPr="00F36E89">
              <w:rPr>
                <w:rFonts w:cs="Times New Roman"/>
                <w:bCs/>
                <w:sz w:val="22"/>
              </w:rPr>
              <w:t>ha</w:t>
            </w:r>
            <w:r w:rsidRPr="00F36E89">
              <w:rPr>
                <w:rFonts w:cs="Times New Roman"/>
                <w:bCs/>
                <w:sz w:val="22"/>
                <w:vertAlign w:val="superscript"/>
              </w:rPr>
              <w:t>-1</w:t>
            </w:r>
          </w:p>
        </w:tc>
        <w:tc>
          <w:tcPr>
            <w:tcW w:w="1402" w:type="pct"/>
          </w:tcPr>
          <w:p w14:paraId="4FA580DF"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AbsPtotal kg/</w:t>
            </w:r>
            <w:r w:rsidRPr="00F36E89">
              <w:rPr>
                <w:rFonts w:cs="Times New Roman"/>
                <w:bCs/>
                <w:sz w:val="22"/>
              </w:rPr>
              <w:t>ha</w:t>
            </w:r>
            <w:r w:rsidRPr="00F36E89">
              <w:rPr>
                <w:rFonts w:cs="Times New Roman"/>
                <w:bCs/>
                <w:sz w:val="22"/>
                <w:vertAlign w:val="superscript"/>
              </w:rPr>
              <w:t>-1</w:t>
            </w:r>
          </w:p>
        </w:tc>
        <w:tc>
          <w:tcPr>
            <w:tcW w:w="404" w:type="pct"/>
          </w:tcPr>
          <w:p w14:paraId="1B4DD69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142EF238"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0,60</w:t>
            </w:r>
          </w:p>
        </w:tc>
        <w:tc>
          <w:tcPr>
            <w:tcW w:w="887" w:type="pct"/>
          </w:tcPr>
          <w:p w14:paraId="680F161F"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61E2E385" w14:textId="77777777" w:rsidTr="00912B23">
        <w:trPr>
          <w:trHeight w:val="356"/>
        </w:trPr>
        <w:tc>
          <w:tcPr>
            <w:tcW w:w="1339" w:type="pct"/>
          </w:tcPr>
          <w:p w14:paraId="502D1D2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AbsNtotal kg/</w:t>
            </w:r>
            <w:r w:rsidRPr="00F36E89">
              <w:rPr>
                <w:rFonts w:cs="Times New Roman"/>
                <w:bCs/>
                <w:sz w:val="22"/>
              </w:rPr>
              <w:t>ha</w:t>
            </w:r>
            <w:r w:rsidRPr="00F36E89">
              <w:rPr>
                <w:rFonts w:cs="Times New Roman"/>
                <w:bCs/>
                <w:sz w:val="22"/>
                <w:vertAlign w:val="superscript"/>
              </w:rPr>
              <w:t>-1</w:t>
            </w:r>
          </w:p>
        </w:tc>
        <w:tc>
          <w:tcPr>
            <w:tcW w:w="1402" w:type="pct"/>
          </w:tcPr>
          <w:p w14:paraId="6DC33BA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AbsKtotal kg/</w:t>
            </w:r>
            <w:r w:rsidRPr="00F36E89">
              <w:rPr>
                <w:rFonts w:cs="Times New Roman"/>
                <w:bCs/>
                <w:sz w:val="22"/>
              </w:rPr>
              <w:t>ha</w:t>
            </w:r>
            <w:r w:rsidRPr="00F36E89">
              <w:rPr>
                <w:rFonts w:cs="Times New Roman"/>
                <w:bCs/>
                <w:sz w:val="22"/>
                <w:vertAlign w:val="superscript"/>
              </w:rPr>
              <w:t>-1</w:t>
            </w:r>
          </w:p>
        </w:tc>
        <w:tc>
          <w:tcPr>
            <w:tcW w:w="404" w:type="pct"/>
          </w:tcPr>
          <w:p w14:paraId="75D4462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6B93B03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0,42</w:t>
            </w:r>
          </w:p>
        </w:tc>
        <w:tc>
          <w:tcPr>
            <w:tcW w:w="887" w:type="pct"/>
          </w:tcPr>
          <w:p w14:paraId="1BDBFF6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389FB866" w14:textId="77777777" w:rsidTr="00912B23">
        <w:trPr>
          <w:trHeight w:val="356"/>
        </w:trPr>
        <w:tc>
          <w:tcPr>
            <w:tcW w:w="1339" w:type="pct"/>
          </w:tcPr>
          <w:p w14:paraId="583F46DF"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AbsNtotal kg/</w:t>
            </w:r>
            <w:r w:rsidRPr="00F36E89">
              <w:rPr>
                <w:rFonts w:cs="Times New Roman"/>
                <w:bCs/>
                <w:sz w:val="22"/>
              </w:rPr>
              <w:t>ha</w:t>
            </w:r>
            <w:r w:rsidRPr="00F36E89">
              <w:rPr>
                <w:rFonts w:cs="Times New Roman"/>
                <w:bCs/>
                <w:sz w:val="22"/>
                <w:vertAlign w:val="superscript"/>
              </w:rPr>
              <w:t>-1</w:t>
            </w:r>
          </w:p>
        </w:tc>
        <w:tc>
          <w:tcPr>
            <w:tcW w:w="1402" w:type="pct"/>
          </w:tcPr>
          <w:p w14:paraId="0E8EC5E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AbsStotal kg/</w:t>
            </w:r>
            <w:r w:rsidRPr="00F36E89">
              <w:rPr>
                <w:rFonts w:cs="Times New Roman"/>
                <w:bCs/>
                <w:sz w:val="22"/>
              </w:rPr>
              <w:t>ha</w:t>
            </w:r>
            <w:r w:rsidRPr="00F36E89">
              <w:rPr>
                <w:rFonts w:cs="Times New Roman"/>
                <w:bCs/>
                <w:sz w:val="22"/>
                <w:vertAlign w:val="superscript"/>
              </w:rPr>
              <w:t>-1</w:t>
            </w:r>
          </w:p>
        </w:tc>
        <w:tc>
          <w:tcPr>
            <w:tcW w:w="404" w:type="pct"/>
          </w:tcPr>
          <w:p w14:paraId="164A460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3A6CFC44"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0,70</w:t>
            </w:r>
          </w:p>
        </w:tc>
        <w:tc>
          <w:tcPr>
            <w:tcW w:w="887" w:type="pct"/>
          </w:tcPr>
          <w:p w14:paraId="02169D5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28342A2B" w14:textId="77777777" w:rsidTr="00912B23">
        <w:trPr>
          <w:trHeight w:val="356"/>
        </w:trPr>
        <w:tc>
          <w:tcPr>
            <w:tcW w:w="1339" w:type="pct"/>
          </w:tcPr>
          <w:p w14:paraId="6272031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AbsNtotal kg/</w:t>
            </w:r>
            <w:r w:rsidRPr="00F36E89">
              <w:rPr>
                <w:rFonts w:cs="Times New Roman"/>
                <w:bCs/>
                <w:sz w:val="22"/>
              </w:rPr>
              <w:t>ha</w:t>
            </w:r>
            <w:r w:rsidRPr="00F36E89">
              <w:rPr>
                <w:rFonts w:cs="Times New Roman"/>
                <w:bCs/>
                <w:sz w:val="22"/>
                <w:vertAlign w:val="superscript"/>
              </w:rPr>
              <w:t>-1</w:t>
            </w:r>
          </w:p>
        </w:tc>
        <w:tc>
          <w:tcPr>
            <w:tcW w:w="1402" w:type="pct"/>
          </w:tcPr>
          <w:p w14:paraId="4AEC5DC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AbsMgtotal kg/</w:t>
            </w:r>
            <w:r w:rsidRPr="00F36E89">
              <w:rPr>
                <w:rFonts w:cs="Times New Roman"/>
                <w:bCs/>
                <w:sz w:val="22"/>
              </w:rPr>
              <w:t>ha</w:t>
            </w:r>
            <w:r w:rsidRPr="00F36E89">
              <w:rPr>
                <w:rFonts w:cs="Times New Roman"/>
                <w:bCs/>
                <w:sz w:val="22"/>
                <w:vertAlign w:val="superscript"/>
              </w:rPr>
              <w:t>-1</w:t>
            </w:r>
          </w:p>
        </w:tc>
        <w:tc>
          <w:tcPr>
            <w:tcW w:w="404" w:type="pct"/>
          </w:tcPr>
          <w:p w14:paraId="68D62A0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7B182C9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0,69</w:t>
            </w:r>
          </w:p>
        </w:tc>
        <w:tc>
          <w:tcPr>
            <w:tcW w:w="887" w:type="pct"/>
          </w:tcPr>
          <w:p w14:paraId="6974281F"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4C6A7246" w14:textId="77777777" w:rsidTr="00912B23">
        <w:trPr>
          <w:trHeight w:val="356"/>
        </w:trPr>
        <w:tc>
          <w:tcPr>
            <w:tcW w:w="1339" w:type="pct"/>
          </w:tcPr>
          <w:p w14:paraId="7442859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AbsNtotal kg/</w:t>
            </w:r>
            <w:r w:rsidRPr="00F36E89">
              <w:rPr>
                <w:rFonts w:cs="Times New Roman"/>
                <w:bCs/>
                <w:sz w:val="22"/>
              </w:rPr>
              <w:t>ha</w:t>
            </w:r>
            <w:r w:rsidRPr="00F36E89">
              <w:rPr>
                <w:rFonts w:cs="Times New Roman"/>
                <w:bCs/>
                <w:sz w:val="22"/>
                <w:vertAlign w:val="superscript"/>
              </w:rPr>
              <w:t>-1</w:t>
            </w:r>
          </w:p>
        </w:tc>
        <w:tc>
          <w:tcPr>
            <w:tcW w:w="1402" w:type="pct"/>
          </w:tcPr>
          <w:p w14:paraId="370BE71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Rend t/</w:t>
            </w:r>
            <w:r w:rsidRPr="00F36E89">
              <w:rPr>
                <w:rFonts w:cs="Times New Roman"/>
                <w:bCs/>
                <w:sz w:val="22"/>
              </w:rPr>
              <w:t xml:space="preserve"> ha</w:t>
            </w:r>
            <w:r w:rsidRPr="00F36E89">
              <w:rPr>
                <w:rFonts w:cs="Times New Roman"/>
                <w:bCs/>
                <w:sz w:val="22"/>
                <w:vertAlign w:val="superscript"/>
              </w:rPr>
              <w:t>-1</w:t>
            </w:r>
            <w:r w:rsidRPr="00F36E89">
              <w:rPr>
                <w:rFonts w:cs="Times New Roman"/>
                <w:sz w:val="22"/>
              </w:rPr>
              <w:t xml:space="preserve"> (14%h)</w:t>
            </w:r>
          </w:p>
        </w:tc>
        <w:tc>
          <w:tcPr>
            <w:tcW w:w="404" w:type="pct"/>
          </w:tcPr>
          <w:p w14:paraId="5EAE4E1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5FF6297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0,81</w:t>
            </w:r>
          </w:p>
        </w:tc>
        <w:tc>
          <w:tcPr>
            <w:tcW w:w="887" w:type="pct"/>
          </w:tcPr>
          <w:p w14:paraId="01A25A2F"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77E99105" w14:textId="77777777" w:rsidTr="00912B23">
        <w:trPr>
          <w:trHeight w:val="375"/>
        </w:trPr>
        <w:tc>
          <w:tcPr>
            <w:tcW w:w="1339" w:type="pct"/>
          </w:tcPr>
          <w:p w14:paraId="2AAEBFE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AbsPtotal kg/</w:t>
            </w:r>
            <w:r w:rsidRPr="00F36E89">
              <w:rPr>
                <w:rFonts w:cs="Times New Roman"/>
                <w:bCs/>
                <w:sz w:val="22"/>
              </w:rPr>
              <w:t>ha</w:t>
            </w:r>
            <w:r w:rsidRPr="00F36E89">
              <w:rPr>
                <w:rFonts w:cs="Times New Roman"/>
                <w:bCs/>
                <w:sz w:val="22"/>
                <w:vertAlign w:val="superscript"/>
              </w:rPr>
              <w:t>-1</w:t>
            </w:r>
          </w:p>
        </w:tc>
        <w:tc>
          <w:tcPr>
            <w:tcW w:w="1402" w:type="pct"/>
          </w:tcPr>
          <w:p w14:paraId="0D059389"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AbsKtotal kg/</w:t>
            </w:r>
            <w:r w:rsidRPr="00F36E89">
              <w:rPr>
                <w:rFonts w:cs="Times New Roman"/>
                <w:bCs/>
                <w:sz w:val="22"/>
              </w:rPr>
              <w:t>ha</w:t>
            </w:r>
            <w:r w:rsidRPr="00F36E89">
              <w:rPr>
                <w:rFonts w:cs="Times New Roman"/>
                <w:bCs/>
                <w:sz w:val="22"/>
                <w:vertAlign w:val="superscript"/>
              </w:rPr>
              <w:t>-1</w:t>
            </w:r>
          </w:p>
        </w:tc>
        <w:tc>
          <w:tcPr>
            <w:tcW w:w="404" w:type="pct"/>
          </w:tcPr>
          <w:p w14:paraId="29F9973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672B8F9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0,68</w:t>
            </w:r>
          </w:p>
        </w:tc>
        <w:tc>
          <w:tcPr>
            <w:tcW w:w="887" w:type="pct"/>
          </w:tcPr>
          <w:p w14:paraId="0D2FA56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7D196B7F" w14:textId="77777777" w:rsidTr="00912B23">
        <w:trPr>
          <w:trHeight w:val="356"/>
        </w:trPr>
        <w:tc>
          <w:tcPr>
            <w:tcW w:w="1339" w:type="pct"/>
          </w:tcPr>
          <w:p w14:paraId="566D71E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AbsPtotal kg/</w:t>
            </w:r>
            <w:r w:rsidRPr="00F36E89">
              <w:rPr>
                <w:rFonts w:cs="Times New Roman"/>
                <w:bCs/>
                <w:sz w:val="22"/>
              </w:rPr>
              <w:t>ha</w:t>
            </w:r>
            <w:r w:rsidRPr="00F36E89">
              <w:rPr>
                <w:rFonts w:cs="Times New Roman"/>
                <w:bCs/>
                <w:sz w:val="22"/>
                <w:vertAlign w:val="superscript"/>
              </w:rPr>
              <w:t>-1</w:t>
            </w:r>
          </w:p>
        </w:tc>
        <w:tc>
          <w:tcPr>
            <w:tcW w:w="1402" w:type="pct"/>
          </w:tcPr>
          <w:p w14:paraId="3FB7021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AbsStotal kg/</w:t>
            </w:r>
            <w:r w:rsidRPr="00F36E89">
              <w:rPr>
                <w:rFonts w:cs="Times New Roman"/>
                <w:bCs/>
                <w:sz w:val="22"/>
              </w:rPr>
              <w:t>ha</w:t>
            </w:r>
            <w:r w:rsidRPr="00F36E89">
              <w:rPr>
                <w:rFonts w:cs="Times New Roman"/>
                <w:bCs/>
                <w:sz w:val="22"/>
                <w:vertAlign w:val="superscript"/>
              </w:rPr>
              <w:t>-1</w:t>
            </w:r>
          </w:p>
        </w:tc>
        <w:tc>
          <w:tcPr>
            <w:tcW w:w="404" w:type="pct"/>
          </w:tcPr>
          <w:p w14:paraId="6AD7B9B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70FBA1E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0,60</w:t>
            </w:r>
          </w:p>
        </w:tc>
        <w:tc>
          <w:tcPr>
            <w:tcW w:w="887" w:type="pct"/>
          </w:tcPr>
          <w:p w14:paraId="007E01D8"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68348599" w14:textId="77777777" w:rsidTr="00912B23">
        <w:trPr>
          <w:trHeight w:val="356"/>
        </w:trPr>
        <w:tc>
          <w:tcPr>
            <w:tcW w:w="1339" w:type="pct"/>
          </w:tcPr>
          <w:p w14:paraId="533DD189"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AbsPtotal kg/</w:t>
            </w:r>
            <w:r w:rsidRPr="00F36E89">
              <w:rPr>
                <w:rFonts w:cs="Times New Roman"/>
                <w:bCs/>
                <w:sz w:val="22"/>
              </w:rPr>
              <w:t>ha</w:t>
            </w:r>
            <w:r w:rsidRPr="00F36E89">
              <w:rPr>
                <w:rFonts w:cs="Times New Roman"/>
                <w:bCs/>
                <w:sz w:val="22"/>
                <w:vertAlign w:val="superscript"/>
              </w:rPr>
              <w:t>-1</w:t>
            </w:r>
          </w:p>
        </w:tc>
        <w:tc>
          <w:tcPr>
            <w:tcW w:w="1402" w:type="pct"/>
          </w:tcPr>
          <w:p w14:paraId="059C5774"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AdsMgtotal kg/</w:t>
            </w:r>
            <w:r w:rsidRPr="00F36E89">
              <w:rPr>
                <w:rFonts w:cs="Times New Roman"/>
                <w:bCs/>
                <w:sz w:val="22"/>
              </w:rPr>
              <w:t>ha</w:t>
            </w:r>
            <w:r w:rsidRPr="00F36E89">
              <w:rPr>
                <w:rFonts w:cs="Times New Roman"/>
                <w:bCs/>
                <w:sz w:val="22"/>
                <w:vertAlign w:val="superscript"/>
              </w:rPr>
              <w:t>-1</w:t>
            </w:r>
          </w:p>
        </w:tc>
        <w:tc>
          <w:tcPr>
            <w:tcW w:w="404" w:type="pct"/>
          </w:tcPr>
          <w:p w14:paraId="59D3B91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2A70407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0,93</w:t>
            </w:r>
          </w:p>
        </w:tc>
        <w:tc>
          <w:tcPr>
            <w:tcW w:w="887" w:type="pct"/>
          </w:tcPr>
          <w:p w14:paraId="2F659C9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4AAB836A" w14:textId="77777777" w:rsidTr="00912B23">
        <w:trPr>
          <w:trHeight w:val="356"/>
        </w:trPr>
        <w:tc>
          <w:tcPr>
            <w:tcW w:w="1339" w:type="pct"/>
          </w:tcPr>
          <w:p w14:paraId="41F6226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AbsPtotal kg/</w:t>
            </w:r>
            <w:r w:rsidRPr="00F36E89">
              <w:rPr>
                <w:rFonts w:cs="Times New Roman"/>
                <w:bCs/>
                <w:sz w:val="22"/>
              </w:rPr>
              <w:t>ha</w:t>
            </w:r>
            <w:r w:rsidRPr="00F36E89">
              <w:rPr>
                <w:rFonts w:cs="Times New Roman"/>
                <w:bCs/>
                <w:sz w:val="22"/>
                <w:vertAlign w:val="superscript"/>
              </w:rPr>
              <w:t>-1</w:t>
            </w:r>
          </w:p>
        </w:tc>
        <w:tc>
          <w:tcPr>
            <w:tcW w:w="1402" w:type="pct"/>
          </w:tcPr>
          <w:p w14:paraId="1A9207B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Rend t ha</w:t>
            </w:r>
            <w:r w:rsidRPr="00F36E89">
              <w:rPr>
                <w:rFonts w:cs="Times New Roman"/>
                <w:bCs/>
                <w:sz w:val="22"/>
                <w:vertAlign w:val="superscript"/>
              </w:rPr>
              <w:t>-1</w:t>
            </w:r>
            <w:r w:rsidRPr="00F36E89">
              <w:rPr>
                <w:rFonts w:cs="Times New Roman"/>
                <w:sz w:val="22"/>
              </w:rPr>
              <w:t xml:space="preserve"> (14%h)</w:t>
            </w:r>
          </w:p>
        </w:tc>
        <w:tc>
          <w:tcPr>
            <w:tcW w:w="404" w:type="pct"/>
          </w:tcPr>
          <w:p w14:paraId="6F3E792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4AB9C0AD"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0,70</w:t>
            </w:r>
          </w:p>
        </w:tc>
        <w:tc>
          <w:tcPr>
            <w:tcW w:w="887" w:type="pct"/>
          </w:tcPr>
          <w:p w14:paraId="53219705"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7799CB14" w14:textId="77777777" w:rsidTr="00912B23">
        <w:trPr>
          <w:trHeight w:val="356"/>
        </w:trPr>
        <w:tc>
          <w:tcPr>
            <w:tcW w:w="1339" w:type="pct"/>
          </w:tcPr>
          <w:p w14:paraId="30DD693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AdsKtotal kg/</w:t>
            </w:r>
            <w:r w:rsidRPr="00F36E89">
              <w:rPr>
                <w:rFonts w:cs="Times New Roman"/>
                <w:bCs/>
                <w:sz w:val="22"/>
              </w:rPr>
              <w:t>ha</w:t>
            </w:r>
            <w:r w:rsidRPr="00F36E89">
              <w:rPr>
                <w:rFonts w:cs="Times New Roman"/>
                <w:bCs/>
                <w:sz w:val="22"/>
                <w:vertAlign w:val="superscript"/>
              </w:rPr>
              <w:t>-1</w:t>
            </w:r>
          </w:p>
        </w:tc>
        <w:tc>
          <w:tcPr>
            <w:tcW w:w="1402" w:type="pct"/>
          </w:tcPr>
          <w:p w14:paraId="391AA93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AbsMgtotal kg/</w:t>
            </w:r>
            <w:r w:rsidRPr="00F36E89">
              <w:rPr>
                <w:rFonts w:cs="Times New Roman"/>
                <w:bCs/>
                <w:sz w:val="22"/>
              </w:rPr>
              <w:t>ha</w:t>
            </w:r>
            <w:r w:rsidRPr="00F36E89">
              <w:rPr>
                <w:rFonts w:cs="Times New Roman"/>
                <w:bCs/>
                <w:sz w:val="22"/>
                <w:vertAlign w:val="superscript"/>
              </w:rPr>
              <w:t>-1</w:t>
            </w:r>
          </w:p>
        </w:tc>
        <w:tc>
          <w:tcPr>
            <w:tcW w:w="404" w:type="pct"/>
          </w:tcPr>
          <w:p w14:paraId="4EDB7AD3"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5503DF8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0,71</w:t>
            </w:r>
          </w:p>
        </w:tc>
        <w:tc>
          <w:tcPr>
            <w:tcW w:w="887" w:type="pct"/>
          </w:tcPr>
          <w:p w14:paraId="10A3D11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04B1621A" w14:textId="77777777" w:rsidTr="00912B23">
        <w:trPr>
          <w:trHeight w:val="356"/>
        </w:trPr>
        <w:tc>
          <w:tcPr>
            <w:tcW w:w="1339" w:type="pct"/>
          </w:tcPr>
          <w:p w14:paraId="6210A909"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AbsKtotal kg/</w:t>
            </w:r>
            <w:r w:rsidRPr="00F36E89">
              <w:rPr>
                <w:rFonts w:cs="Times New Roman"/>
                <w:bCs/>
                <w:sz w:val="22"/>
              </w:rPr>
              <w:t>ha</w:t>
            </w:r>
            <w:r w:rsidRPr="00F36E89">
              <w:rPr>
                <w:rFonts w:cs="Times New Roman"/>
                <w:bCs/>
                <w:sz w:val="22"/>
                <w:vertAlign w:val="superscript"/>
              </w:rPr>
              <w:t>-1</w:t>
            </w:r>
          </w:p>
        </w:tc>
        <w:tc>
          <w:tcPr>
            <w:tcW w:w="1402" w:type="pct"/>
          </w:tcPr>
          <w:p w14:paraId="3431B854"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Rend t ha</w:t>
            </w:r>
            <w:r w:rsidRPr="00F36E89">
              <w:rPr>
                <w:rFonts w:cs="Times New Roman"/>
                <w:bCs/>
                <w:sz w:val="22"/>
                <w:vertAlign w:val="superscript"/>
              </w:rPr>
              <w:t>-1</w:t>
            </w:r>
            <w:r w:rsidRPr="00F36E89">
              <w:rPr>
                <w:rFonts w:cs="Times New Roman"/>
                <w:sz w:val="22"/>
              </w:rPr>
              <w:t xml:space="preserve"> (14%h)</w:t>
            </w:r>
          </w:p>
        </w:tc>
        <w:tc>
          <w:tcPr>
            <w:tcW w:w="404" w:type="pct"/>
          </w:tcPr>
          <w:p w14:paraId="7279443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313B83D8"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0,58</w:t>
            </w:r>
          </w:p>
        </w:tc>
        <w:tc>
          <w:tcPr>
            <w:tcW w:w="887" w:type="pct"/>
          </w:tcPr>
          <w:p w14:paraId="533DCB69"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504C6FE2" w14:textId="77777777" w:rsidTr="00912B23">
        <w:trPr>
          <w:trHeight w:val="356"/>
        </w:trPr>
        <w:tc>
          <w:tcPr>
            <w:tcW w:w="1339" w:type="pct"/>
          </w:tcPr>
          <w:p w14:paraId="240D2297"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AbsStotal kg/</w:t>
            </w:r>
            <w:r w:rsidRPr="00F36E89">
              <w:rPr>
                <w:rFonts w:cs="Times New Roman"/>
                <w:bCs/>
                <w:sz w:val="22"/>
              </w:rPr>
              <w:t>ha</w:t>
            </w:r>
            <w:r w:rsidRPr="00F36E89">
              <w:rPr>
                <w:rFonts w:cs="Times New Roman"/>
                <w:bCs/>
                <w:sz w:val="22"/>
                <w:vertAlign w:val="superscript"/>
              </w:rPr>
              <w:t>-1</w:t>
            </w:r>
          </w:p>
        </w:tc>
        <w:tc>
          <w:tcPr>
            <w:tcW w:w="1402" w:type="pct"/>
          </w:tcPr>
          <w:p w14:paraId="26F4B59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AbsMgtotal kg/</w:t>
            </w:r>
            <w:r w:rsidRPr="00F36E89">
              <w:rPr>
                <w:rFonts w:cs="Times New Roman"/>
                <w:bCs/>
                <w:sz w:val="22"/>
              </w:rPr>
              <w:t xml:space="preserve"> ha</w:t>
            </w:r>
            <w:r w:rsidRPr="00F36E89">
              <w:rPr>
                <w:rFonts w:cs="Times New Roman"/>
                <w:bCs/>
                <w:sz w:val="22"/>
                <w:vertAlign w:val="superscript"/>
              </w:rPr>
              <w:t>-1</w:t>
            </w:r>
          </w:p>
        </w:tc>
        <w:tc>
          <w:tcPr>
            <w:tcW w:w="404" w:type="pct"/>
          </w:tcPr>
          <w:p w14:paraId="14E79802"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13BF4E02"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0,64</w:t>
            </w:r>
          </w:p>
        </w:tc>
        <w:tc>
          <w:tcPr>
            <w:tcW w:w="887" w:type="pct"/>
          </w:tcPr>
          <w:p w14:paraId="2D206EEE"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3866344C" w14:textId="77777777" w:rsidTr="00912B23">
        <w:trPr>
          <w:trHeight w:val="356"/>
        </w:trPr>
        <w:tc>
          <w:tcPr>
            <w:tcW w:w="1339" w:type="pct"/>
          </w:tcPr>
          <w:p w14:paraId="1F6D1FA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AbsStotal kg/</w:t>
            </w:r>
            <w:r w:rsidRPr="00F36E89">
              <w:rPr>
                <w:rFonts w:cs="Times New Roman"/>
                <w:bCs/>
                <w:sz w:val="22"/>
              </w:rPr>
              <w:t>ha</w:t>
            </w:r>
            <w:r w:rsidRPr="00F36E89">
              <w:rPr>
                <w:rFonts w:cs="Times New Roman"/>
                <w:bCs/>
                <w:sz w:val="22"/>
                <w:vertAlign w:val="superscript"/>
              </w:rPr>
              <w:t>-1</w:t>
            </w:r>
          </w:p>
        </w:tc>
        <w:tc>
          <w:tcPr>
            <w:tcW w:w="1402" w:type="pct"/>
          </w:tcPr>
          <w:p w14:paraId="3862ED88"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Rend t ha</w:t>
            </w:r>
            <w:r w:rsidRPr="00F36E89">
              <w:rPr>
                <w:rFonts w:cs="Times New Roman"/>
                <w:bCs/>
                <w:sz w:val="22"/>
                <w:vertAlign w:val="superscript"/>
              </w:rPr>
              <w:t>-1</w:t>
            </w:r>
            <w:r w:rsidRPr="00F36E89">
              <w:rPr>
                <w:rFonts w:cs="Times New Roman"/>
                <w:sz w:val="22"/>
              </w:rPr>
              <w:t xml:space="preserve"> (14%h)</w:t>
            </w:r>
          </w:p>
        </w:tc>
        <w:tc>
          <w:tcPr>
            <w:tcW w:w="404" w:type="pct"/>
          </w:tcPr>
          <w:p w14:paraId="463F3AEB"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02C43246"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0,65</w:t>
            </w:r>
          </w:p>
        </w:tc>
        <w:tc>
          <w:tcPr>
            <w:tcW w:w="887" w:type="pct"/>
          </w:tcPr>
          <w:p w14:paraId="3BC9664C"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r w:rsidR="007E253F" w:rsidRPr="00F36E89" w14:paraId="64732306" w14:textId="77777777" w:rsidTr="00912B23">
        <w:trPr>
          <w:trHeight w:val="356"/>
        </w:trPr>
        <w:tc>
          <w:tcPr>
            <w:tcW w:w="1339" w:type="pct"/>
          </w:tcPr>
          <w:p w14:paraId="43F12B6A"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AbsMgtotal kg/</w:t>
            </w:r>
            <w:r w:rsidRPr="00F36E89">
              <w:rPr>
                <w:rFonts w:cs="Times New Roman"/>
                <w:bCs/>
                <w:sz w:val="22"/>
              </w:rPr>
              <w:t>ha</w:t>
            </w:r>
            <w:r w:rsidRPr="00F36E89">
              <w:rPr>
                <w:rFonts w:cs="Times New Roman"/>
                <w:bCs/>
                <w:sz w:val="22"/>
                <w:vertAlign w:val="superscript"/>
              </w:rPr>
              <w:t>-1</w:t>
            </w:r>
          </w:p>
        </w:tc>
        <w:tc>
          <w:tcPr>
            <w:tcW w:w="1402" w:type="pct"/>
          </w:tcPr>
          <w:p w14:paraId="161B594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Rend t ha</w:t>
            </w:r>
            <w:r w:rsidRPr="00F36E89">
              <w:rPr>
                <w:rFonts w:cs="Times New Roman"/>
                <w:bCs/>
                <w:sz w:val="22"/>
                <w:vertAlign w:val="superscript"/>
              </w:rPr>
              <w:t>-1</w:t>
            </w:r>
            <w:r w:rsidRPr="00F36E89">
              <w:rPr>
                <w:rFonts w:cs="Times New Roman"/>
                <w:sz w:val="22"/>
              </w:rPr>
              <w:t xml:space="preserve"> (14%h)</w:t>
            </w:r>
          </w:p>
        </w:tc>
        <w:tc>
          <w:tcPr>
            <w:tcW w:w="404" w:type="pct"/>
          </w:tcPr>
          <w:p w14:paraId="323BBAA0"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90</w:t>
            </w:r>
          </w:p>
        </w:tc>
        <w:tc>
          <w:tcPr>
            <w:tcW w:w="968" w:type="pct"/>
          </w:tcPr>
          <w:p w14:paraId="387365D1"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0,75</w:t>
            </w:r>
          </w:p>
        </w:tc>
        <w:tc>
          <w:tcPr>
            <w:tcW w:w="887" w:type="pct"/>
          </w:tcPr>
          <w:p w14:paraId="3E15C6A9" w14:textId="77777777" w:rsidR="007E253F" w:rsidRPr="00F36E89" w:rsidRDefault="007E253F" w:rsidP="006C3F27">
            <w:pPr>
              <w:autoSpaceDE w:val="0"/>
              <w:autoSpaceDN w:val="0"/>
              <w:adjustRightInd w:val="0"/>
              <w:jc w:val="center"/>
              <w:rPr>
                <w:rFonts w:cs="Times New Roman"/>
                <w:sz w:val="22"/>
              </w:rPr>
            </w:pPr>
            <w:r w:rsidRPr="00F36E89">
              <w:rPr>
                <w:rFonts w:cs="Times New Roman"/>
                <w:sz w:val="22"/>
              </w:rPr>
              <w:t>&lt;0,0001</w:t>
            </w:r>
          </w:p>
        </w:tc>
      </w:tr>
    </w:tbl>
    <w:p w14:paraId="491A2D0F" w14:textId="7463F4A2" w:rsidR="007E253F" w:rsidRPr="00DB0D02" w:rsidRDefault="007E253F" w:rsidP="006C3F27">
      <w:pPr>
        <w:spacing w:before="360" w:after="360" w:line="360" w:lineRule="auto"/>
        <w:rPr>
          <w:rFonts w:cs="Times New Roman"/>
          <w:bCs/>
          <w:szCs w:val="24"/>
        </w:rPr>
      </w:pPr>
      <w:r w:rsidRPr="007E253F">
        <w:rPr>
          <w:rFonts w:cs="Times New Roman"/>
          <w:bCs/>
          <w:szCs w:val="24"/>
        </w:rPr>
        <w:lastRenderedPageBreak/>
        <w:t xml:space="preserve">En </w:t>
      </w:r>
      <w:r w:rsidR="00912B23">
        <w:rPr>
          <w:rFonts w:cs="Times New Roman"/>
          <w:bCs/>
          <w:szCs w:val="24"/>
        </w:rPr>
        <w:t>el cuadro</w:t>
      </w:r>
      <w:r w:rsidR="006760D1">
        <w:rPr>
          <w:rFonts w:cs="Times New Roman"/>
          <w:bCs/>
          <w:szCs w:val="24"/>
        </w:rPr>
        <w:t xml:space="preserve"> </w:t>
      </w:r>
      <w:r w:rsidRPr="007E253F">
        <w:rPr>
          <w:rFonts w:cs="Times New Roman"/>
          <w:bCs/>
          <w:szCs w:val="24"/>
        </w:rPr>
        <w:t xml:space="preserve">13 se observa que existió una mayor correlación estadísticamente significativa entre las dosis de nitrógeno y la absorción de los elementos N, P, K, S y Mg. También se obtuvo una correlación estadísticamente significativa entre rendimiento y las dosis de N utilizadas. De la misma manera, se obtuvo una correlación significativa entre rendimiento y la absorción de N, P, K, S y Mg. </w:t>
      </w:r>
    </w:p>
    <w:p w14:paraId="46B91A9D" w14:textId="32C196A1" w:rsidR="00DB0D02" w:rsidRPr="00DB0D02" w:rsidRDefault="00DB0D02" w:rsidP="00DB0D02">
      <w:pPr>
        <w:pStyle w:val="Descripcin"/>
        <w:keepNext/>
        <w:rPr>
          <w:rFonts w:cs="Times New Roman"/>
          <w:bCs/>
          <w:i w:val="0"/>
          <w:iCs w:val="0"/>
          <w:color w:val="auto"/>
          <w:sz w:val="24"/>
          <w:szCs w:val="24"/>
          <w:lang w:eastAsia="en-US"/>
        </w:rPr>
      </w:pPr>
      <w:bookmarkStart w:id="1300" w:name="_Toc79314006"/>
      <w:r w:rsidRPr="00DB0D02">
        <w:rPr>
          <w:rFonts w:cs="Times New Roman"/>
          <w:b/>
          <w:bCs/>
          <w:i w:val="0"/>
          <w:iCs w:val="0"/>
          <w:color w:val="auto"/>
          <w:sz w:val="24"/>
          <w:szCs w:val="24"/>
          <w:lang w:eastAsia="en-US"/>
        </w:rPr>
        <w:t xml:space="preserve">Cuadro </w:t>
      </w:r>
      <w:r w:rsidRPr="00DB0D02">
        <w:rPr>
          <w:rFonts w:cs="Times New Roman"/>
          <w:b/>
          <w:bCs/>
          <w:i w:val="0"/>
          <w:iCs w:val="0"/>
          <w:color w:val="auto"/>
          <w:sz w:val="24"/>
          <w:szCs w:val="24"/>
          <w:lang w:eastAsia="en-US"/>
        </w:rPr>
        <w:fldChar w:fldCharType="begin"/>
      </w:r>
      <w:r w:rsidRPr="00DB0D02">
        <w:rPr>
          <w:rFonts w:cs="Times New Roman"/>
          <w:b/>
          <w:bCs/>
          <w:i w:val="0"/>
          <w:iCs w:val="0"/>
          <w:color w:val="auto"/>
          <w:sz w:val="24"/>
          <w:szCs w:val="24"/>
          <w:lang w:eastAsia="en-US"/>
        </w:rPr>
        <w:instrText xml:space="preserve"> SEQ Cuadro \* ARABIC </w:instrText>
      </w:r>
      <w:r w:rsidRPr="00DB0D02">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14</w:t>
      </w:r>
      <w:r w:rsidRPr="00DB0D02">
        <w:rPr>
          <w:rFonts w:cs="Times New Roman"/>
          <w:b/>
          <w:bCs/>
          <w:i w:val="0"/>
          <w:iCs w:val="0"/>
          <w:color w:val="auto"/>
          <w:sz w:val="24"/>
          <w:szCs w:val="24"/>
          <w:lang w:eastAsia="en-US"/>
        </w:rPr>
        <w:fldChar w:fldCharType="end"/>
      </w:r>
      <w:r w:rsidRPr="00DB0D02">
        <w:rPr>
          <w:rFonts w:cs="Times New Roman"/>
          <w:b/>
          <w:bCs/>
          <w:i w:val="0"/>
          <w:iCs w:val="0"/>
          <w:color w:val="auto"/>
          <w:sz w:val="24"/>
          <w:szCs w:val="24"/>
          <w:lang w:eastAsia="en-US"/>
        </w:rPr>
        <w:t>.</w:t>
      </w:r>
      <w:r w:rsidRPr="00DB0D02">
        <w:rPr>
          <w:rFonts w:cs="Times New Roman"/>
          <w:bCs/>
          <w:i w:val="0"/>
          <w:iCs w:val="0"/>
          <w:color w:val="auto"/>
          <w:sz w:val="24"/>
          <w:szCs w:val="24"/>
          <w:lang w:eastAsia="en-US"/>
        </w:rPr>
        <w:t xml:space="preserve"> Correlación de Pearson para variables evaluadas que reportaron significación estadística (p&lt;0,05) en los ensayos de maíz suave de la Provincia de Chimborazo, 2012-2014.</w:t>
      </w:r>
      <w:bookmarkEnd w:id="1300"/>
    </w:p>
    <w:tbl>
      <w:tblPr>
        <w:tblStyle w:val="Tablaconcuadrcula"/>
        <w:tblW w:w="5000" w:type="pct"/>
        <w:tblLook w:val="04A0" w:firstRow="1" w:lastRow="0" w:firstColumn="1" w:lastColumn="0" w:noHBand="0" w:noVBand="1"/>
      </w:tblPr>
      <w:tblGrid>
        <w:gridCol w:w="2122"/>
        <w:gridCol w:w="2224"/>
        <w:gridCol w:w="767"/>
        <w:gridCol w:w="1408"/>
        <w:gridCol w:w="1406"/>
      </w:tblGrid>
      <w:tr w:rsidR="007E253F" w:rsidRPr="007E253F" w14:paraId="4F2F9316" w14:textId="77777777" w:rsidTr="00A05F3F">
        <w:tc>
          <w:tcPr>
            <w:tcW w:w="1338" w:type="pct"/>
          </w:tcPr>
          <w:p w14:paraId="0C3F69D3" w14:textId="77777777" w:rsidR="007E253F" w:rsidRPr="007E253F" w:rsidRDefault="007E253F" w:rsidP="006C3F27">
            <w:pPr>
              <w:autoSpaceDE w:val="0"/>
              <w:autoSpaceDN w:val="0"/>
              <w:adjustRightInd w:val="0"/>
              <w:jc w:val="center"/>
              <w:rPr>
                <w:rFonts w:cs="Times New Roman"/>
                <w:b/>
                <w:bCs/>
                <w:szCs w:val="24"/>
                <w:u w:val="single"/>
              </w:rPr>
            </w:pPr>
            <w:r w:rsidRPr="007E253F">
              <w:rPr>
                <w:rFonts w:cs="Times New Roman"/>
                <w:b/>
                <w:bCs/>
                <w:szCs w:val="24"/>
                <w:u w:val="single"/>
              </w:rPr>
              <w:t>Variable (1)</w:t>
            </w:r>
          </w:p>
        </w:tc>
        <w:tc>
          <w:tcPr>
            <w:tcW w:w="1403" w:type="pct"/>
          </w:tcPr>
          <w:p w14:paraId="77CB812A" w14:textId="77777777" w:rsidR="007E253F" w:rsidRPr="007E253F" w:rsidRDefault="007E253F" w:rsidP="006C3F27">
            <w:pPr>
              <w:autoSpaceDE w:val="0"/>
              <w:autoSpaceDN w:val="0"/>
              <w:adjustRightInd w:val="0"/>
              <w:jc w:val="center"/>
              <w:rPr>
                <w:rFonts w:cs="Times New Roman"/>
                <w:b/>
                <w:bCs/>
                <w:szCs w:val="24"/>
                <w:u w:val="single"/>
              </w:rPr>
            </w:pPr>
            <w:r w:rsidRPr="007E253F">
              <w:rPr>
                <w:rFonts w:cs="Times New Roman"/>
                <w:b/>
                <w:bCs/>
                <w:szCs w:val="24"/>
                <w:u w:val="single"/>
              </w:rPr>
              <w:t>Variable (2)</w:t>
            </w:r>
          </w:p>
        </w:tc>
        <w:tc>
          <w:tcPr>
            <w:tcW w:w="484" w:type="pct"/>
          </w:tcPr>
          <w:p w14:paraId="55272D54" w14:textId="77777777" w:rsidR="007E253F" w:rsidRPr="007E253F" w:rsidRDefault="007E253F" w:rsidP="006C3F27">
            <w:pPr>
              <w:autoSpaceDE w:val="0"/>
              <w:autoSpaceDN w:val="0"/>
              <w:adjustRightInd w:val="0"/>
              <w:jc w:val="center"/>
              <w:rPr>
                <w:rFonts w:cs="Times New Roman"/>
                <w:b/>
                <w:bCs/>
                <w:szCs w:val="24"/>
                <w:u w:val="single"/>
              </w:rPr>
            </w:pPr>
            <w:r w:rsidRPr="007E253F">
              <w:rPr>
                <w:rFonts w:cs="Times New Roman"/>
                <w:b/>
                <w:bCs/>
                <w:szCs w:val="24"/>
                <w:u w:val="single"/>
              </w:rPr>
              <w:t>N</w:t>
            </w:r>
          </w:p>
        </w:tc>
        <w:tc>
          <w:tcPr>
            <w:tcW w:w="888" w:type="pct"/>
          </w:tcPr>
          <w:p w14:paraId="5B02E022" w14:textId="77777777" w:rsidR="007E253F" w:rsidRPr="007E253F" w:rsidRDefault="007E253F" w:rsidP="006C3F27">
            <w:pPr>
              <w:autoSpaceDE w:val="0"/>
              <w:autoSpaceDN w:val="0"/>
              <w:adjustRightInd w:val="0"/>
              <w:jc w:val="center"/>
              <w:rPr>
                <w:rFonts w:cs="Times New Roman"/>
                <w:b/>
                <w:bCs/>
                <w:szCs w:val="24"/>
                <w:u w:val="single"/>
              </w:rPr>
            </w:pPr>
            <w:r w:rsidRPr="007E253F">
              <w:rPr>
                <w:rFonts w:cs="Times New Roman"/>
                <w:b/>
                <w:bCs/>
                <w:szCs w:val="24"/>
                <w:u w:val="single"/>
              </w:rPr>
              <w:t>Pearson</w:t>
            </w:r>
          </w:p>
        </w:tc>
        <w:tc>
          <w:tcPr>
            <w:tcW w:w="887" w:type="pct"/>
          </w:tcPr>
          <w:p w14:paraId="185D526B" w14:textId="77777777" w:rsidR="007E253F" w:rsidRPr="007E253F" w:rsidRDefault="007E253F" w:rsidP="006C3F27">
            <w:pPr>
              <w:autoSpaceDE w:val="0"/>
              <w:autoSpaceDN w:val="0"/>
              <w:adjustRightInd w:val="0"/>
              <w:jc w:val="center"/>
              <w:rPr>
                <w:rFonts w:cs="Times New Roman"/>
                <w:b/>
                <w:bCs/>
                <w:szCs w:val="24"/>
                <w:u w:val="single"/>
              </w:rPr>
            </w:pPr>
            <w:r w:rsidRPr="007E253F">
              <w:rPr>
                <w:rFonts w:cs="Times New Roman"/>
                <w:b/>
                <w:bCs/>
                <w:szCs w:val="24"/>
                <w:u w:val="single"/>
              </w:rPr>
              <w:t>p-valor</w:t>
            </w:r>
          </w:p>
        </w:tc>
      </w:tr>
      <w:tr w:rsidR="007E253F" w:rsidRPr="007E253F" w14:paraId="7BF06165" w14:textId="77777777" w:rsidTr="00A05F3F">
        <w:tc>
          <w:tcPr>
            <w:tcW w:w="1338" w:type="pct"/>
          </w:tcPr>
          <w:p w14:paraId="6F2A800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Altitud</w:t>
            </w:r>
          </w:p>
        </w:tc>
        <w:tc>
          <w:tcPr>
            <w:tcW w:w="1403" w:type="pct"/>
          </w:tcPr>
          <w:p w14:paraId="4C7E0F2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P</w:t>
            </w:r>
          </w:p>
        </w:tc>
        <w:tc>
          <w:tcPr>
            <w:tcW w:w="484" w:type="pct"/>
          </w:tcPr>
          <w:p w14:paraId="1B18A5E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1BA0B0F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-0,23</w:t>
            </w:r>
          </w:p>
        </w:tc>
        <w:tc>
          <w:tcPr>
            <w:tcW w:w="887" w:type="pct"/>
          </w:tcPr>
          <w:p w14:paraId="7EB1896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0,0338</w:t>
            </w:r>
          </w:p>
        </w:tc>
      </w:tr>
      <w:tr w:rsidR="007E253F" w:rsidRPr="007E253F" w14:paraId="7CDE3FB9" w14:textId="77777777" w:rsidTr="00A05F3F">
        <w:tc>
          <w:tcPr>
            <w:tcW w:w="1338" w:type="pct"/>
          </w:tcPr>
          <w:p w14:paraId="4FD5560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Altitud</w:t>
            </w:r>
          </w:p>
        </w:tc>
        <w:tc>
          <w:tcPr>
            <w:tcW w:w="1403" w:type="pct"/>
          </w:tcPr>
          <w:p w14:paraId="4651370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Mg</w:t>
            </w:r>
          </w:p>
        </w:tc>
        <w:tc>
          <w:tcPr>
            <w:tcW w:w="484" w:type="pct"/>
          </w:tcPr>
          <w:p w14:paraId="34B82EF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18EF123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-0,38</w:t>
            </w:r>
          </w:p>
        </w:tc>
        <w:tc>
          <w:tcPr>
            <w:tcW w:w="887" w:type="pct"/>
          </w:tcPr>
          <w:p w14:paraId="2699FF2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0,0004</w:t>
            </w:r>
          </w:p>
        </w:tc>
      </w:tr>
      <w:tr w:rsidR="007E253F" w:rsidRPr="007E253F" w14:paraId="4A338842" w14:textId="77777777" w:rsidTr="00A05F3F">
        <w:tc>
          <w:tcPr>
            <w:tcW w:w="1338" w:type="pct"/>
          </w:tcPr>
          <w:p w14:paraId="753FA42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Altitud</w:t>
            </w:r>
          </w:p>
        </w:tc>
        <w:tc>
          <w:tcPr>
            <w:tcW w:w="1403" w:type="pct"/>
          </w:tcPr>
          <w:p w14:paraId="25884CA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AbsPtotal kg/</w:t>
            </w:r>
            <w:r w:rsidRPr="007E253F">
              <w:rPr>
                <w:rFonts w:cs="Times New Roman"/>
                <w:bCs/>
                <w:szCs w:val="24"/>
              </w:rPr>
              <w:t>ha</w:t>
            </w:r>
            <w:r w:rsidRPr="007E253F">
              <w:rPr>
                <w:rFonts w:cs="Times New Roman"/>
                <w:bCs/>
                <w:szCs w:val="24"/>
                <w:vertAlign w:val="superscript"/>
              </w:rPr>
              <w:t>-1</w:t>
            </w:r>
          </w:p>
        </w:tc>
        <w:tc>
          <w:tcPr>
            <w:tcW w:w="484" w:type="pct"/>
          </w:tcPr>
          <w:p w14:paraId="78F13AD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596C4A3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-0,33</w:t>
            </w:r>
          </w:p>
        </w:tc>
        <w:tc>
          <w:tcPr>
            <w:tcW w:w="887" w:type="pct"/>
          </w:tcPr>
          <w:p w14:paraId="2A66F0E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0,0023</w:t>
            </w:r>
          </w:p>
        </w:tc>
      </w:tr>
      <w:tr w:rsidR="007E253F" w:rsidRPr="007E253F" w14:paraId="2D0AF98A" w14:textId="77777777" w:rsidTr="00A05F3F">
        <w:tc>
          <w:tcPr>
            <w:tcW w:w="1338" w:type="pct"/>
          </w:tcPr>
          <w:p w14:paraId="35FF1F5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Altitud</w:t>
            </w:r>
          </w:p>
        </w:tc>
        <w:tc>
          <w:tcPr>
            <w:tcW w:w="1403" w:type="pct"/>
          </w:tcPr>
          <w:p w14:paraId="17635FB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484" w:type="pct"/>
          </w:tcPr>
          <w:p w14:paraId="5A5BF86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15544F3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-0,46</w:t>
            </w:r>
          </w:p>
        </w:tc>
        <w:tc>
          <w:tcPr>
            <w:tcW w:w="887" w:type="pct"/>
          </w:tcPr>
          <w:p w14:paraId="5E70EB9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29AFEC46" w14:textId="77777777" w:rsidTr="00A05F3F">
        <w:tc>
          <w:tcPr>
            <w:tcW w:w="1338" w:type="pct"/>
          </w:tcPr>
          <w:p w14:paraId="1913FC6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Altitud</w:t>
            </w:r>
          </w:p>
        </w:tc>
        <w:tc>
          <w:tcPr>
            <w:tcW w:w="1403" w:type="pct"/>
          </w:tcPr>
          <w:p w14:paraId="2EC5AF2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484" w:type="pct"/>
          </w:tcPr>
          <w:p w14:paraId="70DDB24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040C32D8"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-0,49</w:t>
            </w:r>
          </w:p>
        </w:tc>
        <w:tc>
          <w:tcPr>
            <w:tcW w:w="887" w:type="pct"/>
          </w:tcPr>
          <w:p w14:paraId="63074A0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0F8AC3CE" w14:textId="77777777" w:rsidTr="00A05F3F">
        <w:tc>
          <w:tcPr>
            <w:tcW w:w="1338" w:type="pct"/>
          </w:tcPr>
          <w:p w14:paraId="5D080B5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18A75D7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P</w:t>
            </w:r>
          </w:p>
        </w:tc>
        <w:tc>
          <w:tcPr>
            <w:tcW w:w="484" w:type="pct"/>
          </w:tcPr>
          <w:p w14:paraId="67B8C6A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36A94E75"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0,35</w:t>
            </w:r>
          </w:p>
        </w:tc>
        <w:tc>
          <w:tcPr>
            <w:tcW w:w="887" w:type="pct"/>
          </w:tcPr>
          <w:p w14:paraId="18339FE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0,0013</w:t>
            </w:r>
          </w:p>
        </w:tc>
      </w:tr>
      <w:tr w:rsidR="007E253F" w:rsidRPr="007E253F" w14:paraId="7A1B3FB1" w14:textId="77777777" w:rsidTr="00A05F3F">
        <w:tc>
          <w:tcPr>
            <w:tcW w:w="1338" w:type="pct"/>
          </w:tcPr>
          <w:p w14:paraId="5986699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148E7338"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K</w:t>
            </w:r>
          </w:p>
        </w:tc>
        <w:tc>
          <w:tcPr>
            <w:tcW w:w="484" w:type="pct"/>
          </w:tcPr>
          <w:p w14:paraId="37E6F44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32350AF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0,43</w:t>
            </w:r>
          </w:p>
        </w:tc>
        <w:tc>
          <w:tcPr>
            <w:tcW w:w="887" w:type="pct"/>
          </w:tcPr>
          <w:p w14:paraId="37F2D67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0,0001</w:t>
            </w:r>
          </w:p>
        </w:tc>
      </w:tr>
      <w:tr w:rsidR="007E253F" w:rsidRPr="007E253F" w14:paraId="554C14FC" w14:textId="77777777" w:rsidTr="00A05F3F">
        <w:tc>
          <w:tcPr>
            <w:tcW w:w="1338" w:type="pct"/>
          </w:tcPr>
          <w:p w14:paraId="026751A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50B534B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S</w:t>
            </w:r>
          </w:p>
        </w:tc>
        <w:tc>
          <w:tcPr>
            <w:tcW w:w="484" w:type="pct"/>
          </w:tcPr>
          <w:p w14:paraId="52B4F6C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036CF38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0,41</w:t>
            </w:r>
          </w:p>
        </w:tc>
        <w:tc>
          <w:tcPr>
            <w:tcW w:w="887" w:type="pct"/>
          </w:tcPr>
          <w:p w14:paraId="05C7992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0,0001</w:t>
            </w:r>
          </w:p>
        </w:tc>
      </w:tr>
      <w:tr w:rsidR="007E253F" w:rsidRPr="007E253F" w14:paraId="53BC000B" w14:textId="77777777" w:rsidTr="00A05F3F">
        <w:tc>
          <w:tcPr>
            <w:tcW w:w="1338" w:type="pct"/>
          </w:tcPr>
          <w:p w14:paraId="62CDE5E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0FF8DCE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AbsNtotal kg/</w:t>
            </w:r>
            <w:r w:rsidRPr="007E253F">
              <w:rPr>
                <w:rFonts w:cs="Times New Roman"/>
                <w:bCs/>
                <w:szCs w:val="24"/>
              </w:rPr>
              <w:t>ha</w:t>
            </w:r>
            <w:r w:rsidRPr="007E253F">
              <w:rPr>
                <w:rFonts w:cs="Times New Roman"/>
                <w:bCs/>
                <w:szCs w:val="24"/>
                <w:vertAlign w:val="superscript"/>
              </w:rPr>
              <w:t>-1</w:t>
            </w:r>
          </w:p>
        </w:tc>
        <w:tc>
          <w:tcPr>
            <w:tcW w:w="484" w:type="pct"/>
          </w:tcPr>
          <w:p w14:paraId="593E6C0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4AC3C6B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0,57</w:t>
            </w:r>
          </w:p>
        </w:tc>
        <w:tc>
          <w:tcPr>
            <w:tcW w:w="887" w:type="pct"/>
          </w:tcPr>
          <w:p w14:paraId="53AA9FA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1DA49EB3" w14:textId="77777777" w:rsidTr="00A05F3F">
        <w:tc>
          <w:tcPr>
            <w:tcW w:w="1338" w:type="pct"/>
          </w:tcPr>
          <w:p w14:paraId="6E5A842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218DBEE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AbsPtotal kg/</w:t>
            </w:r>
            <w:r w:rsidRPr="007E253F">
              <w:rPr>
                <w:rFonts w:cs="Times New Roman"/>
                <w:bCs/>
                <w:szCs w:val="24"/>
              </w:rPr>
              <w:t>ha</w:t>
            </w:r>
            <w:r w:rsidRPr="007E253F">
              <w:rPr>
                <w:rFonts w:cs="Times New Roman"/>
                <w:bCs/>
                <w:szCs w:val="24"/>
                <w:vertAlign w:val="superscript"/>
              </w:rPr>
              <w:t>-1</w:t>
            </w:r>
          </w:p>
        </w:tc>
        <w:tc>
          <w:tcPr>
            <w:tcW w:w="484" w:type="pct"/>
          </w:tcPr>
          <w:p w14:paraId="55E1E78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567D168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0,36</w:t>
            </w:r>
          </w:p>
        </w:tc>
        <w:tc>
          <w:tcPr>
            <w:tcW w:w="887" w:type="pct"/>
          </w:tcPr>
          <w:p w14:paraId="17D691D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0,0008</w:t>
            </w:r>
          </w:p>
        </w:tc>
      </w:tr>
      <w:tr w:rsidR="007E253F" w:rsidRPr="007E253F" w14:paraId="330DBBC2" w14:textId="77777777" w:rsidTr="00A05F3F">
        <w:tc>
          <w:tcPr>
            <w:tcW w:w="1338" w:type="pct"/>
          </w:tcPr>
          <w:p w14:paraId="4F68ED1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075CE18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484" w:type="pct"/>
          </w:tcPr>
          <w:p w14:paraId="1143CA4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70B423B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0,57</w:t>
            </w:r>
          </w:p>
        </w:tc>
        <w:tc>
          <w:tcPr>
            <w:tcW w:w="887" w:type="pct"/>
          </w:tcPr>
          <w:p w14:paraId="49CC05F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6E1DCFAF" w14:textId="77777777" w:rsidTr="00A05F3F">
        <w:tc>
          <w:tcPr>
            <w:tcW w:w="1338" w:type="pct"/>
          </w:tcPr>
          <w:p w14:paraId="30E8D1F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6ECB344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484" w:type="pct"/>
          </w:tcPr>
          <w:p w14:paraId="04A0D82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2990A2D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0,61</w:t>
            </w:r>
          </w:p>
        </w:tc>
        <w:tc>
          <w:tcPr>
            <w:tcW w:w="887" w:type="pct"/>
          </w:tcPr>
          <w:p w14:paraId="2CC3C9B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37D68466" w14:textId="77777777" w:rsidTr="00A05F3F">
        <w:tc>
          <w:tcPr>
            <w:tcW w:w="1338" w:type="pct"/>
          </w:tcPr>
          <w:p w14:paraId="08B56FD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3390BAA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-1</w:t>
            </w:r>
          </w:p>
        </w:tc>
        <w:tc>
          <w:tcPr>
            <w:tcW w:w="484" w:type="pct"/>
          </w:tcPr>
          <w:p w14:paraId="5255D5A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41F1ABC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0,56</w:t>
            </w:r>
          </w:p>
        </w:tc>
        <w:tc>
          <w:tcPr>
            <w:tcW w:w="887" w:type="pct"/>
          </w:tcPr>
          <w:p w14:paraId="6F58AC4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763A6A19" w14:textId="77777777" w:rsidTr="00A05F3F">
        <w:tc>
          <w:tcPr>
            <w:tcW w:w="1338" w:type="pct"/>
          </w:tcPr>
          <w:p w14:paraId="3BA21E1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N</w:t>
            </w:r>
          </w:p>
        </w:tc>
        <w:tc>
          <w:tcPr>
            <w:tcW w:w="1403" w:type="pct"/>
          </w:tcPr>
          <w:p w14:paraId="5569147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Rend t ha</w:t>
            </w:r>
            <w:r w:rsidRPr="007E253F">
              <w:rPr>
                <w:rFonts w:cs="Times New Roman"/>
                <w:bCs/>
                <w:szCs w:val="24"/>
                <w:vertAlign w:val="superscript"/>
              </w:rPr>
              <w:t>-1</w:t>
            </w:r>
            <w:r w:rsidRPr="007E253F">
              <w:rPr>
                <w:rFonts w:cs="Times New Roman"/>
                <w:szCs w:val="24"/>
              </w:rPr>
              <w:t xml:space="preserve"> (14%h)</w:t>
            </w:r>
          </w:p>
        </w:tc>
        <w:tc>
          <w:tcPr>
            <w:tcW w:w="484" w:type="pct"/>
          </w:tcPr>
          <w:p w14:paraId="3B424D2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7997A98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0,62</w:t>
            </w:r>
          </w:p>
        </w:tc>
        <w:tc>
          <w:tcPr>
            <w:tcW w:w="887" w:type="pct"/>
          </w:tcPr>
          <w:p w14:paraId="4A4FE61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65609294" w14:textId="77777777" w:rsidTr="00A05F3F">
        <w:tc>
          <w:tcPr>
            <w:tcW w:w="1338" w:type="pct"/>
          </w:tcPr>
          <w:p w14:paraId="3A05434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P</w:t>
            </w:r>
          </w:p>
        </w:tc>
        <w:tc>
          <w:tcPr>
            <w:tcW w:w="1403" w:type="pct"/>
          </w:tcPr>
          <w:p w14:paraId="76F3FBD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K</w:t>
            </w:r>
          </w:p>
        </w:tc>
        <w:tc>
          <w:tcPr>
            <w:tcW w:w="484" w:type="pct"/>
          </w:tcPr>
          <w:p w14:paraId="09119EF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040CD37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0,51</w:t>
            </w:r>
          </w:p>
        </w:tc>
        <w:tc>
          <w:tcPr>
            <w:tcW w:w="887" w:type="pct"/>
          </w:tcPr>
          <w:p w14:paraId="7B18116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6DEE9BDF" w14:textId="77777777" w:rsidTr="00A05F3F">
        <w:tc>
          <w:tcPr>
            <w:tcW w:w="1338" w:type="pct"/>
          </w:tcPr>
          <w:p w14:paraId="44E422D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P</w:t>
            </w:r>
          </w:p>
        </w:tc>
        <w:tc>
          <w:tcPr>
            <w:tcW w:w="1403" w:type="pct"/>
          </w:tcPr>
          <w:p w14:paraId="7F195B3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S</w:t>
            </w:r>
          </w:p>
        </w:tc>
        <w:tc>
          <w:tcPr>
            <w:tcW w:w="484" w:type="pct"/>
          </w:tcPr>
          <w:p w14:paraId="0ACDF16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19B3BA5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0,38</w:t>
            </w:r>
          </w:p>
        </w:tc>
        <w:tc>
          <w:tcPr>
            <w:tcW w:w="887" w:type="pct"/>
          </w:tcPr>
          <w:p w14:paraId="1F0069F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0,0005</w:t>
            </w:r>
          </w:p>
        </w:tc>
      </w:tr>
      <w:tr w:rsidR="007E253F" w:rsidRPr="007E253F" w14:paraId="196C5E9E" w14:textId="77777777" w:rsidTr="00A05F3F">
        <w:tc>
          <w:tcPr>
            <w:tcW w:w="1338" w:type="pct"/>
          </w:tcPr>
          <w:p w14:paraId="75DEA41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P</w:t>
            </w:r>
          </w:p>
        </w:tc>
        <w:tc>
          <w:tcPr>
            <w:tcW w:w="1403" w:type="pct"/>
          </w:tcPr>
          <w:p w14:paraId="794AA7C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484" w:type="pct"/>
          </w:tcPr>
          <w:p w14:paraId="4014576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7694AC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0,30</w:t>
            </w:r>
          </w:p>
        </w:tc>
        <w:tc>
          <w:tcPr>
            <w:tcW w:w="887" w:type="pct"/>
          </w:tcPr>
          <w:p w14:paraId="4D67928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0,0061</w:t>
            </w:r>
          </w:p>
        </w:tc>
      </w:tr>
      <w:tr w:rsidR="007E253F" w:rsidRPr="007E253F" w14:paraId="33915A13" w14:textId="77777777" w:rsidTr="00A05F3F">
        <w:tc>
          <w:tcPr>
            <w:tcW w:w="1338" w:type="pct"/>
          </w:tcPr>
          <w:p w14:paraId="6D76A19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P</w:t>
            </w:r>
          </w:p>
        </w:tc>
        <w:tc>
          <w:tcPr>
            <w:tcW w:w="1403" w:type="pct"/>
          </w:tcPr>
          <w:p w14:paraId="7B2342E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484" w:type="pct"/>
          </w:tcPr>
          <w:p w14:paraId="12C97DC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56EB964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0,25</w:t>
            </w:r>
          </w:p>
        </w:tc>
        <w:tc>
          <w:tcPr>
            <w:tcW w:w="887" w:type="pct"/>
          </w:tcPr>
          <w:p w14:paraId="26F22C1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0,0232</w:t>
            </w:r>
          </w:p>
        </w:tc>
      </w:tr>
      <w:tr w:rsidR="007E253F" w:rsidRPr="007E253F" w14:paraId="7A254A43" w14:textId="77777777" w:rsidTr="00A05F3F">
        <w:tc>
          <w:tcPr>
            <w:tcW w:w="1338" w:type="pct"/>
          </w:tcPr>
          <w:p w14:paraId="6A3952D5"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P</w:t>
            </w:r>
          </w:p>
        </w:tc>
        <w:tc>
          <w:tcPr>
            <w:tcW w:w="1403" w:type="pct"/>
          </w:tcPr>
          <w:p w14:paraId="342B9D9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Rend t ha</w:t>
            </w:r>
            <w:r w:rsidRPr="007E253F">
              <w:rPr>
                <w:rFonts w:cs="Times New Roman"/>
                <w:bCs/>
                <w:szCs w:val="24"/>
                <w:vertAlign w:val="superscript"/>
              </w:rPr>
              <w:t>-1</w:t>
            </w:r>
            <w:r w:rsidRPr="007E253F">
              <w:rPr>
                <w:rFonts w:cs="Times New Roman"/>
                <w:szCs w:val="24"/>
              </w:rPr>
              <w:t>(14%h)</w:t>
            </w:r>
          </w:p>
        </w:tc>
        <w:tc>
          <w:tcPr>
            <w:tcW w:w="484" w:type="pct"/>
          </w:tcPr>
          <w:p w14:paraId="084A103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1C5BC2D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0,33</w:t>
            </w:r>
          </w:p>
        </w:tc>
        <w:tc>
          <w:tcPr>
            <w:tcW w:w="887" w:type="pct"/>
          </w:tcPr>
          <w:p w14:paraId="074EEEA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0,0023</w:t>
            </w:r>
          </w:p>
        </w:tc>
      </w:tr>
      <w:tr w:rsidR="007E253F" w:rsidRPr="007E253F" w14:paraId="2285A90F" w14:textId="77777777" w:rsidTr="00A05F3F">
        <w:tc>
          <w:tcPr>
            <w:tcW w:w="1338" w:type="pct"/>
          </w:tcPr>
          <w:p w14:paraId="039ED9E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K</w:t>
            </w:r>
          </w:p>
        </w:tc>
        <w:tc>
          <w:tcPr>
            <w:tcW w:w="1403" w:type="pct"/>
          </w:tcPr>
          <w:p w14:paraId="0019A28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S</w:t>
            </w:r>
          </w:p>
        </w:tc>
        <w:tc>
          <w:tcPr>
            <w:tcW w:w="484" w:type="pct"/>
          </w:tcPr>
          <w:p w14:paraId="727CA5F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32F8439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0,47</w:t>
            </w:r>
          </w:p>
        </w:tc>
        <w:tc>
          <w:tcPr>
            <w:tcW w:w="887" w:type="pct"/>
          </w:tcPr>
          <w:p w14:paraId="79468C6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775CC1AC" w14:textId="77777777" w:rsidTr="00A05F3F">
        <w:tc>
          <w:tcPr>
            <w:tcW w:w="1338" w:type="pct"/>
          </w:tcPr>
          <w:p w14:paraId="7CB3635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K</w:t>
            </w:r>
          </w:p>
        </w:tc>
        <w:tc>
          <w:tcPr>
            <w:tcW w:w="1403" w:type="pct"/>
          </w:tcPr>
          <w:p w14:paraId="08F5DD1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AbsNtotal kg/</w:t>
            </w:r>
            <w:r w:rsidRPr="007E253F">
              <w:rPr>
                <w:rFonts w:cs="Times New Roman"/>
                <w:bCs/>
                <w:szCs w:val="24"/>
              </w:rPr>
              <w:t>ha</w:t>
            </w:r>
            <w:r w:rsidRPr="007E253F">
              <w:rPr>
                <w:rFonts w:cs="Times New Roman"/>
                <w:bCs/>
                <w:szCs w:val="24"/>
                <w:vertAlign w:val="superscript"/>
              </w:rPr>
              <w:t>-1</w:t>
            </w:r>
          </w:p>
        </w:tc>
        <w:tc>
          <w:tcPr>
            <w:tcW w:w="484" w:type="pct"/>
          </w:tcPr>
          <w:p w14:paraId="5B306E7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C0B79C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0,27</w:t>
            </w:r>
          </w:p>
        </w:tc>
        <w:tc>
          <w:tcPr>
            <w:tcW w:w="887" w:type="pct"/>
          </w:tcPr>
          <w:p w14:paraId="0F4C260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0,0144</w:t>
            </w:r>
          </w:p>
        </w:tc>
      </w:tr>
      <w:tr w:rsidR="007E253F" w:rsidRPr="007E253F" w14:paraId="1692F0F0" w14:textId="77777777" w:rsidTr="00A05F3F">
        <w:tc>
          <w:tcPr>
            <w:tcW w:w="1338" w:type="pct"/>
          </w:tcPr>
          <w:p w14:paraId="3C7ED47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K</w:t>
            </w:r>
          </w:p>
        </w:tc>
        <w:tc>
          <w:tcPr>
            <w:tcW w:w="1403" w:type="pct"/>
          </w:tcPr>
          <w:p w14:paraId="68AA22D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484" w:type="pct"/>
          </w:tcPr>
          <w:p w14:paraId="62084A4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731594E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0,35</w:t>
            </w:r>
          </w:p>
        </w:tc>
        <w:tc>
          <w:tcPr>
            <w:tcW w:w="887" w:type="pct"/>
          </w:tcPr>
          <w:p w14:paraId="1DFD397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0,0013</w:t>
            </w:r>
          </w:p>
        </w:tc>
      </w:tr>
      <w:tr w:rsidR="007E253F" w:rsidRPr="007E253F" w14:paraId="072A9063" w14:textId="77777777" w:rsidTr="00A05F3F">
        <w:tc>
          <w:tcPr>
            <w:tcW w:w="1338" w:type="pct"/>
          </w:tcPr>
          <w:p w14:paraId="1E31E515"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K</w:t>
            </w:r>
          </w:p>
        </w:tc>
        <w:tc>
          <w:tcPr>
            <w:tcW w:w="1403" w:type="pct"/>
          </w:tcPr>
          <w:p w14:paraId="7B2E0B7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484" w:type="pct"/>
          </w:tcPr>
          <w:p w14:paraId="307A3D2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5C88DD1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0,34</w:t>
            </w:r>
          </w:p>
        </w:tc>
        <w:tc>
          <w:tcPr>
            <w:tcW w:w="887" w:type="pct"/>
          </w:tcPr>
          <w:p w14:paraId="099729C8"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0,0020</w:t>
            </w:r>
          </w:p>
        </w:tc>
      </w:tr>
      <w:tr w:rsidR="007E253F" w:rsidRPr="007E253F" w14:paraId="24C15306" w14:textId="77777777" w:rsidTr="00A05F3F">
        <w:tc>
          <w:tcPr>
            <w:tcW w:w="1338" w:type="pct"/>
          </w:tcPr>
          <w:p w14:paraId="06F1D85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K</w:t>
            </w:r>
          </w:p>
        </w:tc>
        <w:tc>
          <w:tcPr>
            <w:tcW w:w="1403" w:type="pct"/>
          </w:tcPr>
          <w:p w14:paraId="070477A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-1</w:t>
            </w:r>
          </w:p>
        </w:tc>
        <w:tc>
          <w:tcPr>
            <w:tcW w:w="484" w:type="pct"/>
          </w:tcPr>
          <w:p w14:paraId="516F7F3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3D710FC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0,27</w:t>
            </w:r>
          </w:p>
        </w:tc>
        <w:tc>
          <w:tcPr>
            <w:tcW w:w="887" w:type="pct"/>
          </w:tcPr>
          <w:p w14:paraId="3576AC6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0,0155</w:t>
            </w:r>
          </w:p>
        </w:tc>
      </w:tr>
      <w:tr w:rsidR="007E253F" w:rsidRPr="007E253F" w14:paraId="1B920FED" w14:textId="77777777" w:rsidTr="00A05F3F">
        <w:tc>
          <w:tcPr>
            <w:tcW w:w="1338" w:type="pct"/>
          </w:tcPr>
          <w:p w14:paraId="279AD1F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K</w:t>
            </w:r>
          </w:p>
        </w:tc>
        <w:tc>
          <w:tcPr>
            <w:tcW w:w="1403" w:type="pct"/>
          </w:tcPr>
          <w:p w14:paraId="7975C0D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Rend t ha</w:t>
            </w:r>
            <w:r w:rsidRPr="007E253F">
              <w:rPr>
                <w:rFonts w:cs="Times New Roman"/>
                <w:bCs/>
                <w:szCs w:val="24"/>
                <w:vertAlign w:val="superscript"/>
              </w:rPr>
              <w:t>-1</w:t>
            </w:r>
            <w:r w:rsidRPr="007E253F">
              <w:rPr>
                <w:rFonts w:cs="Times New Roman"/>
                <w:szCs w:val="24"/>
              </w:rPr>
              <w:t xml:space="preserve"> (14%h)</w:t>
            </w:r>
          </w:p>
        </w:tc>
        <w:tc>
          <w:tcPr>
            <w:tcW w:w="484" w:type="pct"/>
          </w:tcPr>
          <w:p w14:paraId="3573658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270A9DB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0,34</w:t>
            </w:r>
          </w:p>
        </w:tc>
        <w:tc>
          <w:tcPr>
            <w:tcW w:w="887" w:type="pct"/>
          </w:tcPr>
          <w:p w14:paraId="5D51861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0,0017</w:t>
            </w:r>
          </w:p>
        </w:tc>
      </w:tr>
      <w:tr w:rsidR="007E253F" w:rsidRPr="007E253F" w14:paraId="39D8C3EC" w14:textId="77777777" w:rsidTr="00A05F3F">
        <w:tc>
          <w:tcPr>
            <w:tcW w:w="1338" w:type="pct"/>
          </w:tcPr>
          <w:p w14:paraId="4D79BC55"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S</w:t>
            </w:r>
          </w:p>
        </w:tc>
        <w:tc>
          <w:tcPr>
            <w:tcW w:w="1403" w:type="pct"/>
          </w:tcPr>
          <w:p w14:paraId="523ADC6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AbsNtotal kg/</w:t>
            </w:r>
            <w:r w:rsidRPr="007E253F">
              <w:rPr>
                <w:rFonts w:cs="Times New Roman"/>
                <w:bCs/>
                <w:szCs w:val="24"/>
              </w:rPr>
              <w:t>ha</w:t>
            </w:r>
            <w:r w:rsidRPr="007E253F">
              <w:rPr>
                <w:rFonts w:cs="Times New Roman"/>
                <w:bCs/>
                <w:szCs w:val="24"/>
                <w:vertAlign w:val="superscript"/>
              </w:rPr>
              <w:t>-1</w:t>
            </w:r>
          </w:p>
        </w:tc>
        <w:tc>
          <w:tcPr>
            <w:tcW w:w="484" w:type="pct"/>
          </w:tcPr>
          <w:p w14:paraId="3727096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F9FA88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0,29</w:t>
            </w:r>
          </w:p>
        </w:tc>
        <w:tc>
          <w:tcPr>
            <w:tcW w:w="887" w:type="pct"/>
          </w:tcPr>
          <w:p w14:paraId="5B11182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0,0072</w:t>
            </w:r>
          </w:p>
        </w:tc>
      </w:tr>
      <w:tr w:rsidR="007E253F" w:rsidRPr="007E253F" w14:paraId="44689BBC" w14:textId="77777777" w:rsidTr="00A05F3F">
        <w:tc>
          <w:tcPr>
            <w:tcW w:w="1338" w:type="pct"/>
          </w:tcPr>
          <w:p w14:paraId="4BE10535"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S</w:t>
            </w:r>
          </w:p>
        </w:tc>
        <w:tc>
          <w:tcPr>
            <w:tcW w:w="1403" w:type="pct"/>
          </w:tcPr>
          <w:p w14:paraId="12919F3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484" w:type="pct"/>
          </w:tcPr>
          <w:p w14:paraId="7796D0F5"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FDB331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0,37</w:t>
            </w:r>
          </w:p>
        </w:tc>
        <w:tc>
          <w:tcPr>
            <w:tcW w:w="887" w:type="pct"/>
          </w:tcPr>
          <w:p w14:paraId="474530A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0,0006</w:t>
            </w:r>
          </w:p>
        </w:tc>
      </w:tr>
      <w:tr w:rsidR="007E253F" w:rsidRPr="007E253F" w14:paraId="3FA4704B" w14:textId="77777777" w:rsidTr="00A05F3F">
        <w:tc>
          <w:tcPr>
            <w:tcW w:w="1338" w:type="pct"/>
          </w:tcPr>
          <w:p w14:paraId="7C2B5B0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S</w:t>
            </w:r>
          </w:p>
        </w:tc>
        <w:tc>
          <w:tcPr>
            <w:tcW w:w="1403" w:type="pct"/>
          </w:tcPr>
          <w:p w14:paraId="2651072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-1</w:t>
            </w:r>
          </w:p>
        </w:tc>
        <w:tc>
          <w:tcPr>
            <w:tcW w:w="484" w:type="pct"/>
          </w:tcPr>
          <w:p w14:paraId="0D8CE9C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71F1DD2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0,36</w:t>
            </w:r>
          </w:p>
        </w:tc>
        <w:tc>
          <w:tcPr>
            <w:tcW w:w="887" w:type="pct"/>
          </w:tcPr>
          <w:p w14:paraId="66BEC55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0,0010</w:t>
            </w:r>
          </w:p>
        </w:tc>
      </w:tr>
      <w:tr w:rsidR="007E253F" w:rsidRPr="007E253F" w14:paraId="5F66CEF9" w14:textId="77777777" w:rsidTr="00A05F3F">
        <w:tc>
          <w:tcPr>
            <w:tcW w:w="1338" w:type="pct"/>
          </w:tcPr>
          <w:p w14:paraId="2274CC1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Mg</w:t>
            </w:r>
          </w:p>
        </w:tc>
        <w:tc>
          <w:tcPr>
            <w:tcW w:w="1403" w:type="pct"/>
          </w:tcPr>
          <w:p w14:paraId="75C6FFF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AbsNtotal kg/</w:t>
            </w:r>
            <w:r w:rsidRPr="007E253F">
              <w:rPr>
                <w:rFonts w:cs="Times New Roman"/>
                <w:bCs/>
                <w:szCs w:val="24"/>
              </w:rPr>
              <w:t>ha</w:t>
            </w:r>
            <w:r w:rsidRPr="007E253F">
              <w:rPr>
                <w:rFonts w:cs="Times New Roman"/>
                <w:bCs/>
                <w:szCs w:val="24"/>
                <w:vertAlign w:val="superscript"/>
              </w:rPr>
              <w:t>-1</w:t>
            </w:r>
          </w:p>
        </w:tc>
        <w:tc>
          <w:tcPr>
            <w:tcW w:w="484" w:type="pct"/>
          </w:tcPr>
          <w:p w14:paraId="6E57D1D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3A194C9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-0,34</w:t>
            </w:r>
          </w:p>
        </w:tc>
        <w:tc>
          <w:tcPr>
            <w:tcW w:w="887" w:type="pct"/>
          </w:tcPr>
          <w:p w14:paraId="779D0F7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0,0015</w:t>
            </w:r>
          </w:p>
        </w:tc>
      </w:tr>
      <w:tr w:rsidR="007E253F" w:rsidRPr="007E253F" w14:paraId="221C806B" w14:textId="77777777" w:rsidTr="00A05F3F">
        <w:tc>
          <w:tcPr>
            <w:tcW w:w="1338" w:type="pct"/>
          </w:tcPr>
          <w:p w14:paraId="061F0DC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Dosis Mg</w:t>
            </w:r>
          </w:p>
        </w:tc>
        <w:tc>
          <w:tcPr>
            <w:tcW w:w="1403" w:type="pct"/>
          </w:tcPr>
          <w:p w14:paraId="70609E0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-1</w:t>
            </w:r>
          </w:p>
        </w:tc>
        <w:tc>
          <w:tcPr>
            <w:tcW w:w="484" w:type="pct"/>
          </w:tcPr>
          <w:p w14:paraId="459A58D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4D5001A8"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-0,32</w:t>
            </w:r>
          </w:p>
        </w:tc>
        <w:tc>
          <w:tcPr>
            <w:tcW w:w="887" w:type="pct"/>
          </w:tcPr>
          <w:p w14:paraId="115C6F0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0,0031</w:t>
            </w:r>
          </w:p>
        </w:tc>
      </w:tr>
      <w:tr w:rsidR="007E253F" w:rsidRPr="007E253F" w14:paraId="1FF5D565" w14:textId="77777777" w:rsidTr="00A05F3F">
        <w:tc>
          <w:tcPr>
            <w:tcW w:w="1338" w:type="pct"/>
          </w:tcPr>
          <w:p w14:paraId="3A773BA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AbsNtotal kg/</w:t>
            </w:r>
            <w:r w:rsidRPr="007E253F">
              <w:rPr>
                <w:rFonts w:cs="Times New Roman"/>
                <w:bCs/>
                <w:szCs w:val="24"/>
              </w:rPr>
              <w:t>ha</w:t>
            </w:r>
            <w:r w:rsidRPr="007E253F">
              <w:rPr>
                <w:rFonts w:cs="Times New Roman"/>
                <w:bCs/>
                <w:szCs w:val="24"/>
                <w:vertAlign w:val="superscript"/>
              </w:rPr>
              <w:t>-1</w:t>
            </w:r>
          </w:p>
        </w:tc>
        <w:tc>
          <w:tcPr>
            <w:tcW w:w="1403" w:type="pct"/>
          </w:tcPr>
          <w:p w14:paraId="0B39152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AbsPtotal kg/</w:t>
            </w:r>
            <w:r w:rsidRPr="007E253F">
              <w:rPr>
                <w:rFonts w:cs="Times New Roman"/>
                <w:bCs/>
                <w:szCs w:val="24"/>
              </w:rPr>
              <w:t>ha</w:t>
            </w:r>
            <w:r w:rsidRPr="007E253F">
              <w:rPr>
                <w:rFonts w:cs="Times New Roman"/>
                <w:bCs/>
                <w:szCs w:val="24"/>
                <w:vertAlign w:val="superscript"/>
              </w:rPr>
              <w:t>-1</w:t>
            </w:r>
          </w:p>
        </w:tc>
        <w:tc>
          <w:tcPr>
            <w:tcW w:w="484" w:type="pct"/>
          </w:tcPr>
          <w:p w14:paraId="27EDEABD"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D531F8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0,58</w:t>
            </w:r>
          </w:p>
        </w:tc>
        <w:tc>
          <w:tcPr>
            <w:tcW w:w="887" w:type="pct"/>
          </w:tcPr>
          <w:p w14:paraId="28ECD00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76ACFBD0" w14:textId="77777777" w:rsidTr="00A05F3F">
        <w:tc>
          <w:tcPr>
            <w:tcW w:w="1338" w:type="pct"/>
          </w:tcPr>
          <w:p w14:paraId="35083B4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AbsNtotal kg/</w:t>
            </w:r>
            <w:r w:rsidRPr="007E253F">
              <w:rPr>
                <w:rFonts w:cs="Times New Roman"/>
                <w:bCs/>
                <w:szCs w:val="24"/>
              </w:rPr>
              <w:t>ha</w:t>
            </w:r>
            <w:r w:rsidRPr="007E253F">
              <w:rPr>
                <w:rFonts w:cs="Times New Roman"/>
                <w:bCs/>
                <w:szCs w:val="24"/>
                <w:vertAlign w:val="superscript"/>
              </w:rPr>
              <w:t>-1</w:t>
            </w:r>
          </w:p>
        </w:tc>
        <w:tc>
          <w:tcPr>
            <w:tcW w:w="1403" w:type="pct"/>
          </w:tcPr>
          <w:p w14:paraId="17D7572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484" w:type="pct"/>
          </w:tcPr>
          <w:p w14:paraId="3B385C9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7C46229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0,59</w:t>
            </w:r>
          </w:p>
        </w:tc>
        <w:tc>
          <w:tcPr>
            <w:tcW w:w="887" w:type="pct"/>
          </w:tcPr>
          <w:p w14:paraId="29A9EB1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373BB510" w14:textId="77777777" w:rsidTr="00A05F3F">
        <w:tc>
          <w:tcPr>
            <w:tcW w:w="1338" w:type="pct"/>
          </w:tcPr>
          <w:p w14:paraId="654563A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AbsNtotal kg/</w:t>
            </w:r>
            <w:r w:rsidRPr="007E253F">
              <w:rPr>
                <w:rFonts w:cs="Times New Roman"/>
                <w:bCs/>
                <w:szCs w:val="24"/>
              </w:rPr>
              <w:t>ha</w:t>
            </w:r>
            <w:r w:rsidRPr="007E253F">
              <w:rPr>
                <w:rFonts w:cs="Times New Roman"/>
                <w:bCs/>
                <w:szCs w:val="24"/>
                <w:vertAlign w:val="superscript"/>
              </w:rPr>
              <w:t>-1</w:t>
            </w:r>
          </w:p>
        </w:tc>
        <w:tc>
          <w:tcPr>
            <w:tcW w:w="1403" w:type="pct"/>
          </w:tcPr>
          <w:p w14:paraId="320DF3A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484" w:type="pct"/>
          </w:tcPr>
          <w:p w14:paraId="5C487D7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4033D5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0,62</w:t>
            </w:r>
          </w:p>
        </w:tc>
        <w:tc>
          <w:tcPr>
            <w:tcW w:w="887" w:type="pct"/>
          </w:tcPr>
          <w:p w14:paraId="6B55020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68A4BF5A" w14:textId="77777777" w:rsidTr="00A05F3F">
        <w:tc>
          <w:tcPr>
            <w:tcW w:w="1338" w:type="pct"/>
          </w:tcPr>
          <w:p w14:paraId="089DFDA8"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lastRenderedPageBreak/>
              <w:t>AbsNtotal kg/</w:t>
            </w:r>
            <w:r w:rsidRPr="007E253F">
              <w:rPr>
                <w:rFonts w:cs="Times New Roman"/>
                <w:bCs/>
                <w:szCs w:val="24"/>
              </w:rPr>
              <w:t>ha</w:t>
            </w:r>
            <w:r w:rsidRPr="007E253F">
              <w:rPr>
                <w:rFonts w:cs="Times New Roman"/>
                <w:bCs/>
                <w:szCs w:val="24"/>
                <w:vertAlign w:val="superscript"/>
              </w:rPr>
              <w:t>-1</w:t>
            </w:r>
          </w:p>
        </w:tc>
        <w:tc>
          <w:tcPr>
            <w:tcW w:w="1403" w:type="pct"/>
          </w:tcPr>
          <w:p w14:paraId="3018DD8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-1</w:t>
            </w:r>
          </w:p>
        </w:tc>
        <w:tc>
          <w:tcPr>
            <w:tcW w:w="484" w:type="pct"/>
          </w:tcPr>
          <w:p w14:paraId="44F6CF5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4B7E2EC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0,77</w:t>
            </w:r>
          </w:p>
        </w:tc>
        <w:tc>
          <w:tcPr>
            <w:tcW w:w="887" w:type="pct"/>
          </w:tcPr>
          <w:p w14:paraId="42D4614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13D22BCD" w14:textId="77777777" w:rsidTr="00A05F3F">
        <w:tc>
          <w:tcPr>
            <w:tcW w:w="1338" w:type="pct"/>
          </w:tcPr>
          <w:p w14:paraId="134DC26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AbsNtotal kg/</w:t>
            </w:r>
            <w:r w:rsidRPr="007E253F">
              <w:rPr>
                <w:rFonts w:cs="Times New Roman"/>
                <w:bCs/>
                <w:szCs w:val="24"/>
              </w:rPr>
              <w:t>ha</w:t>
            </w:r>
            <w:r w:rsidRPr="007E253F">
              <w:rPr>
                <w:rFonts w:cs="Times New Roman"/>
                <w:bCs/>
                <w:szCs w:val="24"/>
                <w:vertAlign w:val="superscript"/>
              </w:rPr>
              <w:t>-1</w:t>
            </w:r>
          </w:p>
        </w:tc>
        <w:tc>
          <w:tcPr>
            <w:tcW w:w="1403" w:type="pct"/>
          </w:tcPr>
          <w:p w14:paraId="2926BF2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Rend t ha</w:t>
            </w:r>
            <w:r w:rsidRPr="007E253F">
              <w:rPr>
                <w:rFonts w:cs="Times New Roman"/>
                <w:bCs/>
                <w:szCs w:val="24"/>
                <w:vertAlign w:val="superscript"/>
              </w:rPr>
              <w:t>-1</w:t>
            </w:r>
            <w:r w:rsidRPr="007E253F">
              <w:rPr>
                <w:rFonts w:cs="Times New Roman"/>
                <w:szCs w:val="24"/>
              </w:rPr>
              <w:t xml:space="preserve"> (14%h)</w:t>
            </w:r>
          </w:p>
        </w:tc>
        <w:tc>
          <w:tcPr>
            <w:tcW w:w="484" w:type="pct"/>
          </w:tcPr>
          <w:p w14:paraId="4E812D8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4CBCDB3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0,61</w:t>
            </w:r>
          </w:p>
        </w:tc>
        <w:tc>
          <w:tcPr>
            <w:tcW w:w="887" w:type="pct"/>
          </w:tcPr>
          <w:p w14:paraId="04322C1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005E63BC" w14:textId="77777777" w:rsidTr="00A05F3F">
        <w:tc>
          <w:tcPr>
            <w:tcW w:w="1338" w:type="pct"/>
          </w:tcPr>
          <w:p w14:paraId="00E708D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AbsPtotal kg/</w:t>
            </w:r>
            <w:r w:rsidRPr="007E253F">
              <w:rPr>
                <w:rFonts w:cs="Times New Roman"/>
                <w:bCs/>
                <w:szCs w:val="24"/>
              </w:rPr>
              <w:t>ha</w:t>
            </w:r>
            <w:r w:rsidRPr="007E253F">
              <w:rPr>
                <w:rFonts w:cs="Times New Roman"/>
                <w:bCs/>
                <w:szCs w:val="24"/>
                <w:vertAlign w:val="superscript"/>
              </w:rPr>
              <w:t>-1</w:t>
            </w:r>
          </w:p>
        </w:tc>
        <w:tc>
          <w:tcPr>
            <w:tcW w:w="1403" w:type="pct"/>
          </w:tcPr>
          <w:p w14:paraId="3A4B619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484" w:type="pct"/>
          </w:tcPr>
          <w:p w14:paraId="78EAF7B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92E902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0,70</w:t>
            </w:r>
          </w:p>
        </w:tc>
        <w:tc>
          <w:tcPr>
            <w:tcW w:w="887" w:type="pct"/>
          </w:tcPr>
          <w:p w14:paraId="3A5C420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708B8782" w14:textId="77777777" w:rsidTr="00A05F3F">
        <w:tc>
          <w:tcPr>
            <w:tcW w:w="1338" w:type="pct"/>
          </w:tcPr>
          <w:p w14:paraId="4024DE91"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AbsPtotal kg/</w:t>
            </w:r>
            <w:r w:rsidRPr="007E253F">
              <w:rPr>
                <w:rFonts w:cs="Times New Roman"/>
                <w:bCs/>
                <w:szCs w:val="24"/>
              </w:rPr>
              <w:t>ha</w:t>
            </w:r>
            <w:r w:rsidRPr="007E253F">
              <w:rPr>
                <w:rFonts w:cs="Times New Roman"/>
                <w:bCs/>
                <w:szCs w:val="24"/>
                <w:vertAlign w:val="superscript"/>
              </w:rPr>
              <w:t>-1</w:t>
            </w:r>
          </w:p>
        </w:tc>
        <w:tc>
          <w:tcPr>
            <w:tcW w:w="1403" w:type="pct"/>
          </w:tcPr>
          <w:p w14:paraId="617B2E2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484" w:type="pct"/>
          </w:tcPr>
          <w:p w14:paraId="4DA66F5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050A99B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0,73</w:t>
            </w:r>
          </w:p>
        </w:tc>
        <w:tc>
          <w:tcPr>
            <w:tcW w:w="887" w:type="pct"/>
          </w:tcPr>
          <w:p w14:paraId="02B839B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7EBCDA85" w14:textId="77777777" w:rsidTr="00A05F3F">
        <w:tc>
          <w:tcPr>
            <w:tcW w:w="1338" w:type="pct"/>
          </w:tcPr>
          <w:p w14:paraId="33DA787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AbsPtotal kg/</w:t>
            </w:r>
            <w:r w:rsidRPr="007E253F">
              <w:rPr>
                <w:rFonts w:cs="Times New Roman"/>
                <w:bCs/>
                <w:szCs w:val="24"/>
              </w:rPr>
              <w:t>ha</w:t>
            </w:r>
            <w:r w:rsidRPr="007E253F">
              <w:rPr>
                <w:rFonts w:cs="Times New Roman"/>
                <w:bCs/>
                <w:szCs w:val="24"/>
                <w:vertAlign w:val="superscript"/>
              </w:rPr>
              <w:t>-1</w:t>
            </w:r>
          </w:p>
        </w:tc>
        <w:tc>
          <w:tcPr>
            <w:tcW w:w="1403" w:type="pct"/>
          </w:tcPr>
          <w:p w14:paraId="5F4D6AB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-1</w:t>
            </w:r>
          </w:p>
        </w:tc>
        <w:tc>
          <w:tcPr>
            <w:tcW w:w="484" w:type="pct"/>
          </w:tcPr>
          <w:p w14:paraId="3802D7E0"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020827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0,70</w:t>
            </w:r>
          </w:p>
        </w:tc>
        <w:tc>
          <w:tcPr>
            <w:tcW w:w="887" w:type="pct"/>
          </w:tcPr>
          <w:p w14:paraId="5A3A041E"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4D8635A4" w14:textId="77777777" w:rsidTr="00A05F3F">
        <w:tc>
          <w:tcPr>
            <w:tcW w:w="1338" w:type="pct"/>
          </w:tcPr>
          <w:p w14:paraId="2E18288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AbsPtotal kg/</w:t>
            </w:r>
            <w:r w:rsidRPr="007E253F">
              <w:rPr>
                <w:rFonts w:cs="Times New Roman"/>
                <w:bCs/>
                <w:szCs w:val="24"/>
              </w:rPr>
              <w:t>ha</w:t>
            </w:r>
            <w:r w:rsidRPr="007E253F">
              <w:rPr>
                <w:rFonts w:cs="Times New Roman"/>
                <w:bCs/>
                <w:szCs w:val="24"/>
                <w:vertAlign w:val="superscript"/>
              </w:rPr>
              <w:t>-1</w:t>
            </w:r>
          </w:p>
        </w:tc>
        <w:tc>
          <w:tcPr>
            <w:tcW w:w="1403" w:type="pct"/>
          </w:tcPr>
          <w:p w14:paraId="6FD7F24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Rend t ha</w:t>
            </w:r>
            <w:r w:rsidRPr="007E253F">
              <w:rPr>
                <w:rFonts w:cs="Times New Roman"/>
                <w:bCs/>
                <w:szCs w:val="24"/>
                <w:vertAlign w:val="superscript"/>
              </w:rPr>
              <w:t>-1</w:t>
            </w:r>
            <w:r w:rsidRPr="007E253F">
              <w:rPr>
                <w:rFonts w:cs="Times New Roman"/>
                <w:szCs w:val="24"/>
              </w:rPr>
              <w:t xml:space="preserve"> (14%h)</w:t>
            </w:r>
          </w:p>
        </w:tc>
        <w:tc>
          <w:tcPr>
            <w:tcW w:w="484" w:type="pct"/>
          </w:tcPr>
          <w:p w14:paraId="4A77485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5D1F1FD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0,38</w:t>
            </w:r>
          </w:p>
        </w:tc>
        <w:tc>
          <w:tcPr>
            <w:tcW w:w="887" w:type="pct"/>
          </w:tcPr>
          <w:p w14:paraId="0E14C2E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0,0004</w:t>
            </w:r>
          </w:p>
        </w:tc>
      </w:tr>
      <w:tr w:rsidR="007E253F" w:rsidRPr="007E253F" w14:paraId="5B8F5021" w14:textId="77777777" w:rsidTr="00A05F3F">
        <w:tc>
          <w:tcPr>
            <w:tcW w:w="1338" w:type="pct"/>
          </w:tcPr>
          <w:p w14:paraId="30C4BBF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1403" w:type="pct"/>
          </w:tcPr>
          <w:p w14:paraId="066C592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484" w:type="pct"/>
          </w:tcPr>
          <w:p w14:paraId="05A45C1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0D6DF065"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0,75</w:t>
            </w:r>
          </w:p>
        </w:tc>
        <w:tc>
          <w:tcPr>
            <w:tcW w:w="887" w:type="pct"/>
          </w:tcPr>
          <w:p w14:paraId="4DAC06D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6B01083D" w14:textId="77777777" w:rsidTr="00A05F3F">
        <w:tc>
          <w:tcPr>
            <w:tcW w:w="1338" w:type="pct"/>
          </w:tcPr>
          <w:p w14:paraId="2401DCA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1403" w:type="pct"/>
          </w:tcPr>
          <w:p w14:paraId="767AC44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-1</w:t>
            </w:r>
          </w:p>
        </w:tc>
        <w:tc>
          <w:tcPr>
            <w:tcW w:w="484" w:type="pct"/>
          </w:tcPr>
          <w:p w14:paraId="5EC8371F"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41F798F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0,63</w:t>
            </w:r>
          </w:p>
        </w:tc>
        <w:tc>
          <w:tcPr>
            <w:tcW w:w="887" w:type="pct"/>
          </w:tcPr>
          <w:p w14:paraId="52B453D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64CD2769" w14:textId="77777777" w:rsidTr="00A05F3F">
        <w:tc>
          <w:tcPr>
            <w:tcW w:w="1338" w:type="pct"/>
          </w:tcPr>
          <w:p w14:paraId="21A601A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AbsKtotal kg/</w:t>
            </w:r>
            <w:r w:rsidRPr="007E253F">
              <w:rPr>
                <w:rFonts w:cs="Times New Roman"/>
                <w:bCs/>
                <w:szCs w:val="24"/>
              </w:rPr>
              <w:t>ha</w:t>
            </w:r>
            <w:r w:rsidRPr="007E253F">
              <w:rPr>
                <w:rFonts w:cs="Times New Roman"/>
                <w:bCs/>
                <w:szCs w:val="24"/>
                <w:vertAlign w:val="superscript"/>
              </w:rPr>
              <w:t>-1</w:t>
            </w:r>
          </w:p>
        </w:tc>
        <w:tc>
          <w:tcPr>
            <w:tcW w:w="1403" w:type="pct"/>
          </w:tcPr>
          <w:p w14:paraId="789A0FF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Rend t ha</w:t>
            </w:r>
            <w:r w:rsidRPr="007E253F">
              <w:rPr>
                <w:rFonts w:cs="Times New Roman"/>
                <w:bCs/>
                <w:szCs w:val="24"/>
                <w:vertAlign w:val="superscript"/>
              </w:rPr>
              <w:t>-1</w:t>
            </w:r>
            <w:r w:rsidRPr="007E253F">
              <w:rPr>
                <w:rFonts w:cs="Times New Roman"/>
                <w:szCs w:val="24"/>
              </w:rPr>
              <w:t xml:space="preserve"> (14%h)</w:t>
            </w:r>
          </w:p>
        </w:tc>
        <w:tc>
          <w:tcPr>
            <w:tcW w:w="484" w:type="pct"/>
          </w:tcPr>
          <w:p w14:paraId="4962C487"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6D1A549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0,63</w:t>
            </w:r>
          </w:p>
        </w:tc>
        <w:tc>
          <w:tcPr>
            <w:tcW w:w="887" w:type="pct"/>
          </w:tcPr>
          <w:p w14:paraId="262B439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3C68D354" w14:textId="77777777" w:rsidTr="00A05F3F">
        <w:tc>
          <w:tcPr>
            <w:tcW w:w="1338" w:type="pct"/>
          </w:tcPr>
          <w:p w14:paraId="2D6DD76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1403" w:type="pct"/>
          </w:tcPr>
          <w:p w14:paraId="69ECCE8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-1</w:t>
            </w:r>
          </w:p>
        </w:tc>
        <w:tc>
          <w:tcPr>
            <w:tcW w:w="484" w:type="pct"/>
          </w:tcPr>
          <w:p w14:paraId="3CBCCC0B"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31EC8D2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0,69</w:t>
            </w:r>
          </w:p>
        </w:tc>
        <w:tc>
          <w:tcPr>
            <w:tcW w:w="887" w:type="pct"/>
          </w:tcPr>
          <w:p w14:paraId="5AEFCBC3"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4428396B" w14:textId="77777777" w:rsidTr="00A05F3F">
        <w:tc>
          <w:tcPr>
            <w:tcW w:w="1338" w:type="pct"/>
          </w:tcPr>
          <w:p w14:paraId="1C800F0A"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AbsStotal kg/</w:t>
            </w:r>
            <w:r w:rsidRPr="007E253F">
              <w:rPr>
                <w:rFonts w:cs="Times New Roman"/>
                <w:bCs/>
                <w:szCs w:val="24"/>
              </w:rPr>
              <w:t>ha</w:t>
            </w:r>
            <w:r w:rsidRPr="007E253F">
              <w:rPr>
                <w:rFonts w:cs="Times New Roman"/>
                <w:bCs/>
                <w:szCs w:val="24"/>
                <w:vertAlign w:val="superscript"/>
              </w:rPr>
              <w:t>-1</w:t>
            </w:r>
          </w:p>
        </w:tc>
        <w:tc>
          <w:tcPr>
            <w:tcW w:w="1403" w:type="pct"/>
          </w:tcPr>
          <w:p w14:paraId="77CDBE15"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Rend t ha</w:t>
            </w:r>
            <w:r w:rsidRPr="007E253F">
              <w:rPr>
                <w:rFonts w:cs="Times New Roman"/>
                <w:bCs/>
                <w:szCs w:val="24"/>
                <w:vertAlign w:val="superscript"/>
              </w:rPr>
              <w:t>-1</w:t>
            </w:r>
            <w:r w:rsidRPr="007E253F">
              <w:rPr>
                <w:rFonts w:cs="Times New Roman"/>
                <w:szCs w:val="24"/>
              </w:rPr>
              <w:t xml:space="preserve"> (14%h)</w:t>
            </w:r>
          </w:p>
        </w:tc>
        <w:tc>
          <w:tcPr>
            <w:tcW w:w="484" w:type="pct"/>
          </w:tcPr>
          <w:p w14:paraId="2B02287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0CD7020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0,56</w:t>
            </w:r>
          </w:p>
        </w:tc>
        <w:tc>
          <w:tcPr>
            <w:tcW w:w="887" w:type="pct"/>
          </w:tcPr>
          <w:p w14:paraId="2F755AC6"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&lt;0,0001</w:t>
            </w:r>
          </w:p>
        </w:tc>
      </w:tr>
      <w:tr w:rsidR="007E253F" w:rsidRPr="007E253F" w14:paraId="66BEE1A9" w14:textId="77777777" w:rsidTr="00A05F3F">
        <w:tc>
          <w:tcPr>
            <w:tcW w:w="1338" w:type="pct"/>
          </w:tcPr>
          <w:p w14:paraId="562F8F64" w14:textId="751ABD78" w:rsidR="007E253F" w:rsidRPr="007E253F" w:rsidRDefault="007E253F" w:rsidP="006C3F27">
            <w:pPr>
              <w:autoSpaceDE w:val="0"/>
              <w:autoSpaceDN w:val="0"/>
              <w:adjustRightInd w:val="0"/>
              <w:jc w:val="center"/>
              <w:rPr>
                <w:rFonts w:cs="Times New Roman"/>
                <w:szCs w:val="24"/>
              </w:rPr>
            </w:pPr>
            <w:r w:rsidRPr="007E253F">
              <w:rPr>
                <w:rFonts w:cs="Times New Roman"/>
                <w:szCs w:val="24"/>
              </w:rPr>
              <w:t>AbsMgtotal kg/</w:t>
            </w:r>
            <w:r w:rsidRPr="007E253F">
              <w:rPr>
                <w:rFonts w:cs="Times New Roman"/>
                <w:bCs/>
                <w:szCs w:val="24"/>
              </w:rPr>
              <w:t>ha</w:t>
            </w:r>
            <w:r w:rsidRPr="007E253F">
              <w:rPr>
                <w:rFonts w:cs="Times New Roman"/>
                <w:bCs/>
                <w:szCs w:val="24"/>
                <w:vertAlign w:val="superscript"/>
              </w:rPr>
              <w:t>-</w:t>
            </w:r>
            <w:r w:rsidR="006C3F27">
              <w:rPr>
                <w:rFonts w:cs="Times New Roman"/>
                <w:bCs/>
                <w:szCs w:val="24"/>
                <w:vertAlign w:val="superscript"/>
              </w:rPr>
              <w:t>1</w:t>
            </w:r>
          </w:p>
        </w:tc>
        <w:tc>
          <w:tcPr>
            <w:tcW w:w="1403" w:type="pct"/>
          </w:tcPr>
          <w:p w14:paraId="799CE124"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Rend t ha</w:t>
            </w:r>
            <w:r w:rsidRPr="007E253F">
              <w:rPr>
                <w:rFonts w:cs="Times New Roman"/>
                <w:bCs/>
                <w:szCs w:val="24"/>
                <w:vertAlign w:val="superscript"/>
              </w:rPr>
              <w:t>-1</w:t>
            </w:r>
            <w:r w:rsidRPr="007E253F">
              <w:rPr>
                <w:rFonts w:cs="Times New Roman"/>
                <w:szCs w:val="24"/>
              </w:rPr>
              <w:t>(14%h)</w:t>
            </w:r>
          </w:p>
        </w:tc>
        <w:tc>
          <w:tcPr>
            <w:tcW w:w="484" w:type="pct"/>
          </w:tcPr>
          <w:p w14:paraId="12761EE9"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82</w:t>
            </w:r>
          </w:p>
        </w:tc>
        <w:tc>
          <w:tcPr>
            <w:tcW w:w="888" w:type="pct"/>
          </w:tcPr>
          <w:p w14:paraId="588C9BCC"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0,37</w:t>
            </w:r>
          </w:p>
        </w:tc>
        <w:tc>
          <w:tcPr>
            <w:tcW w:w="887" w:type="pct"/>
          </w:tcPr>
          <w:p w14:paraId="2541C212" w14:textId="77777777" w:rsidR="007E253F" w:rsidRPr="007E253F" w:rsidRDefault="007E253F" w:rsidP="006C3F27">
            <w:pPr>
              <w:autoSpaceDE w:val="0"/>
              <w:autoSpaceDN w:val="0"/>
              <w:adjustRightInd w:val="0"/>
              <w:jc w:val="center"/>
              <w:rPr>
                <w:rFonts w:cs="Times New Roman"/>
                <w:szCs w:val="24"/>
              </w:rPr>
            </w:pPr>
            <w:r w:rsidRPr="007E253F">
              <w:rPr>
                <w:rFonts w:cs="Times New Roman"/>
                <w:szCs w:val="24"/>
              </w:rPr>
              <w:t>0,0005</w:t>
            </w:r>
          </w:p>
        </w:tc>
      </w:tr>
    </w:tbl>
    <w:p w14:paraId="429D5015" w14:textId="6D57F710" w:rsidR="007E253F" w:rsidRPr="00DB0D02" w:rsidRDefault="007E253F" w:rsidP="006C3F27">
      <w:pPr>
        <w:autoSpaceDE w:val="0"/>
        <w:autoSpaceDN w:val="0"/>
        <w:adjustRightInd w:val="0"/>
        <w:spacing w:before="360" w:after="360" w:line="360" w:lineRule="auto"/>
        <w:rPr>
          <w:rFonts w:cs="Times New Roman"/>
          <w:bCs/>
          <w:szCs w:val="24"/>
        </w:rPr>
      </w:pPr>
      <w:r w:rsidRPr="007E253F">
        <w:rPr>
          <w:rFonts w:cs="Times New Roman"/>
          <w:bCs/>
          <w:szCs w:val="24"/>
        </w:rPr>
        <w:t xml:space="preserve">En </w:t>
      </w:r>
      <w:r w:rsidR="00912B23">
        <w:rPr>
          <w:rFonts w:cs="Times New Roman"/>
          <w:bCs/>
          <w:szCs w:val="24"/>
        </w:rPr>
        <w:t>el cuadro</w:t>
      </w:r>
      <w:r w:rsidR="006760D1">
        <w:rPr>
          <w:rFonts w:cs="Times New Roman"/>
          <w:bCs/>
          <w:szCs w:val="24"/>
        </w:rPr>
        <w:t xml:space="preserve"> </w:t>
      </w:r>
      <w:r w:rsidRPr="007E253F">
        <w:rPr>
          <w:rFonts w:cs="Times New Roman"/>
          <w:bCs/>
          <w:szCs w:val="24"/>
        </w:rPr>
        <w:t>14 se observa que existió una correlación estadísticamente significativa entre las dosis de nitrógeno y la absorción de los elementos N, P, K, S y Mg. En cuanto al rendimiento estuvo correlacionado con dosis de nitrógeno, fósforo y potasio. y la absorción de los elementos antes mencionados más el N, P, K, S y Mg.</w:t>
      </w:r>
    </w:p>
    <w:p w14:paraId="2D056DA2" w14:textId="34EE655E" w:rsidR="00DB0D02" w:rsidRPr="00DB0D02" w:rsidRDefault="00DB0D02" w:rsidP="006C3F27">
      <w:pPr>
        <w:pStyle w:val="Descripcin"/>
        <w:keepNext/>
        <w:spacing w:before="360"/>
        <w:rPr>
          <w:rFonts w:cs="Times New Roman"/>
          <w:bCs/>
          <w:i w:val="0"/>
          <w:iCs w:val="0"/>
          <w:color w:val="auto"/>
          <w:sz w:val="24"/>
          <w:szCs w:val="24"/>
          <w:lang w:eastAsia="en-US"/>
        </w:rPr>
      </w:pPr>
      <w:bookmarkStart w:id="1301" w:name="_Toc79314007"/>
      <w:r w:rsidRPr="00DB0D02">
        <w:rPr>
          <w:rFonts w:cs="Times New Roman"/>
          <w:b/>
          <w:bCs/>
          <w:i w:val="0"/>
          <w:iCs w:val="0"/>
          <w:color w:val="auto"/>
          <w:sz w:val="24"/>
          <w:szCs w:val="24"/>
          <w:lang w:eastAsia="en-US"/>
        </w:rPr>
        <w:t xml:space="preserve">Cuadro </w:t>
      </w:r>
      <w:r w:rsidRPr="00DB0D02">
        <w:rPr>
          <w:rFonts w:cs="Times New Roman"/>
          <w:b/>
          <w:bCs/>
          <w:i w:val="0"/>
          <w:iCs w:val="0"/>
          <w:color w:val="auto"/>
          <w:sz w:val="24"/>
          <w:szCs w:val="24"/>
          <w:lang w:eastAsia="en-US"/>
        </w:rPr>
        <w:fldChar w:fldCharType="begin"/>
      </w:r>
      <w:r w:rsidRPr="00DB0D02">
        <w:rPr>
          <w:rFonts w:cs="Times New Roman"/>
          <w:b/>
          <w:bCs/>
          <w:i w:val="0"/>
          <w:iCs w:val="0"/>
          <w:color w:val="auto"/>
          <w:sz w:val="24"/>
          <w:szCs w:val="24"/>
          <w:lang w:eastAsia="en-US"/>
        </w:rPr>
        <w:instrText xml:space="preserve"> SEQ Cuadro \* ARABIC </w:instrText>
      </w:r>
      <w:r w:rsidRPr="00DB0D02">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15</w:t>
      </w:r>
      <w:r w:rsidRPr="00DB0D02">
        <w:rPr>
          <w:rFonts w:cs="Times New Roman"/>
          <w:b/>
          <w:bCs/>
          <w:i w:val="0"/>
          <w:iCs w:val="0"/>
          <w:color w:val="auto"/>
          <w:sz w:val="24"/>
          <w:szCs w:val="24"/>
          <w:lang w:eastAsia="en-US"/>
        </w:rPr>
        <w:fldChar w:fldCharType="end"/>
      </w:r>
      <w:r w:rsidRPr="00DB0D02">
        <w:rPr>
          <w:rFonts w:cs="Times New Roman"/>
          <w:b/>
          <w:bCs/>
          <w:i w:val="0"/>
          <w:iCs w:val="0"/>
          <w:color w:val="auto"/>
          <w:sz w:val="24"/>
          <w:szCs w:val="24"/>
          <w:lang w:eastAsia="en-US"/>
        </w:rPr>
        <w:t>.</w:t>
      </w:r>
      <w:r w:rsidRPr="00DB0D02">
        <w:rPr>
          <w:rFonts w:cs="Times New Roman"/>
          <w:bCs/>
          <w:i w:val="0"/>
          <w:iCs w:val="0"/>
          <w:color w:val="auto"/>
          <w:sz w:val="24"/>
          <w:szCs w:val="24"/>
          <w:lang w:eastAsia="en-US"/>
        </w:rPr>
        <w:t xml:space="preserve"> Correlación de Pearson para variables evaluadas que reportaron significación estadística (p&lt;0,05) en los ensayos de maíz suave de la Provincia de Imbabura, 2010-2015.</w:t>
      </w:r>
      <w:bookmarkEnd w:id="1301"/>
    </w:p>
    <w:tbl>
      <w:tblPr>
        <w:tblStyle w:val="Tablaconcuadrcula"/>
        <w:tblW w:w="5000" w:type="pct"/>
        <w:tblLook w:val="04A0" w:firstRow="1" w:lastRow="0" w:firstColumn="1" w:lastColumn="0" w:noHBand="0" w:noVBand="1"/>
      </w:tblPr>
      <w:tblGrid>
        <w:gridCol w:w="2121"/>
        <w:gridCol w:w="2223"/>
        <w:gridCol w:w="642"/>
        <w:gridCol w:w="1533"/>
        <w:gridCol w:w="1408"/>
      </w:tblGrid>
      <w:tr w:rsidR="007E253F" w:rsidRPr="00912B23" w14:paraId="721C5D50" w14:textId="77777777" w:rsidTr="00A05F3F">
        <w:tc>
          <w:tcPr>
            <w:tcW w:w="1338" w:type="pct"/>
          </w:tcPr>
          <w:p w14:paraId="7056AC08" w14:textId="77777777" w:rsidR="007E253F" w:rsidRPr="00912B23" w:rsidRDefault="007E253F" w:rsidP="00912B23">
            <w:pPr>
              <w:autoSpaceDE w:val="0"/>
              <w:autoSpaceDN w:val="0"/>
              <w:adjustRightInd w:val="0"/>
              <w:jc w:val="center"/>
              <w:rPr>
                <w:rFonts w:cs="Times New Roman"/>
                <w:b/>
                <w:bCs/>
                <w:sz w:val="22"/>
                <w:u w:val="single"/>
              </w:rPr>
            </w:pPr>
            <w:r w:rsidRPr="00912B23">
              <w:rPr>
                <w:rFonts w:cs="Times New Roman"/>
                <w:b/>
                <w:bCs/>
                <w:sz w:val="22"/>
                <w:u w:val="single"/>
              </w:rPr>
              <w:t>Variable (1)</w:t>
            </w:r>
          </w:p>
        </w:tc>
        <w:tc>
          <w:tcPr>
            <w:tcW w:w="1402" w:type="pct"/>
          </w:tcPr>
          <w:p w14:paraId="4812A60B" w14:textId="77777777" w:rsidR="007E253F" w:rsidRPr="00912B23" w:rsidRDefault="007E253F" w:rsidP="00912B23">
            <w:pPr>
              <w:autoSpaceDE w:val="0"/>
              <w:autoSpaceDN w:val="0"/>
              <w:adjustRightInd w:val="0"/>
              <w:jc w:val="center"/>
              <w:rPr>
                <w:rFonts w:cs="Times New Roman"/>
                <w:b/>
                <w:bCs/>
                <w:sz w:val="22"/>
                <w:u w:val="single"/>
              </w:rPr>
            </w:pPr>
            <w:r w:rsidRPr="00912B23">
              <w:rPr>
                <w:rFonts w:cs="Times New Roman"/>
                <w:b/>
                <w:bCs/>
                <w:sz w:val="22"/>
                <w:u w:val="single"/>
              </w:rPr>
              <w:t>Variable (2)</w:t>
            </w:r>
          </w:p>
        </w:tc>
        <w:tc>
          <w:tcPr>
            <w:tcW w:w="405" w:type="pct"/>
          </w:tcPr>
          <w:p w14:paraId="0E78C6A5" w14:textId="77777777" w:rsidR="007E253F" w:rsidRPr="00912B23" w:rsidRDefault="007E253F" w:rsidP="00912B23">
            <w:pPr>
              <w:autoSpaceDE w:val="0"/>
              <w:autoSpaceDN w:val="0"/>
              <w:adjustRightInd w:val="0"/>
              <w:jc w:val="center"/>
              <w:rPr>
                <w:rFonts w:cs="Times New Roman"/>
                <w:b/>
                <w:bCs/>
                <w:sz w:val="22"/>
                <w:u w:val="single"/>
              </w:rPr>
            </w:pPr>
            <w:r w:rsidRPr="00912B23">
              <w:rPr>
                <w:rFonts w:cs="Times New Roman"/>
                <w:b/>
                <w:bCs/>
                <w:sz w:val="22"/>
                <w:u w:val="single"/>
              </w:rPr>
              <w:t>N</w:t>
            </w:r>
          </w:p>
        </w:tc>
        <w:tc>
          <w:tcPr>
            <w:tcW w:w="967" w:type="pct"/>
          </w:tcPr>
          <w:p w14:paraId="4A6968D4" w14:textId="77777777" w:rsidR="007E253F" w:rsidRPr="00912B23" w:rsidRDefault="007E253F" w:rsidP="00912B23">
            <w:pPr>
              <w:autoSpaceDE w:val="0"/>
              <w:autoSpaceDN w:val="0"/>
              <w:adjustRightInd w:val="0"/>
              <w:jc w:val="center"/>
              <w:rPr>
                <w:rFonts w:cs="Times New Roman"/>
                <w:b/>
                <w:bCs/>
                <w:sz w:val="22"/>
                <w:u w:val="single"/>
              </w:rPr>
            </w:pPr>
            <w:r w:rsidRPr="00912B23">
              <w:rPr>
                <w:rFonts w:cs="Times New Roman"/>
                <w:b/>
                <w:bCs/>
                <w:sz w:val="22"/>
                <w:u w:val="single"/>
              </w:rPr>
              <w:t>Pearson</w:t>
            </w:r>
          </w:p>
        </w:tc>
        <w:tc>
          <w:tcPr>
            <w:tcW w:w="888" w:type="pct"/>
          </w:tcPr>
          <w:p w14:paraId="48E77265" w14:textId="77777777" w:rsidR="007E253F" w:rsidRPr="00912B23" w:rsidRDefault="007E253F" w:rsidP="00912B23">
            <w:pPr>
              <w:autoSpaceDE w:val="0"/>
              <w:autoSpaceDN w:val="0"/>
              <w:adjustRightInd w:val="0"/>
              <w:jc w:val="center"/>
              <w:rPr>
                <w:rFonts w:cs="Times New Roman"/>
                <w:b/>
                <w:bCs/>
                <w:sz w:val="22"/>
                <w:u w:val="single"/>
              </w:rPr>
            </w:pPr>
            <w:r w:rsidRPr="00912B23">
              <w:rPr>
                <w:rFonts w:cs="Times New Roman"/>
                <w:b/>
                <w:bCs/>
                <w:sz w:val="22"/>
                <w:u w:val="single"/>
              </w:rPr>
              <w:t>p-valor</w:t>
            </w:r>
          </w:p>
        </w:tc>
      </w:tr>
      <w:tr w:rsidR="007E253F" w:rsidRPr="00912B23" w14:paraId="6C380FE5" w14:textId="77777777" w:rsidTr="00A05F3F">
        <w:tc>
          <w:tcPr>
            <w:tcW w:w="1338" w:type="pct"/>
          </w:tcPr>
          <w:p w14:paraId="4534B0F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Altitud</w:t>
            </w:r>
          </w:p>
        </w:tc>
        <w:tc>
          <w:tcPr>
            <w:tcW w:w="1402" w:type="pct"/>
          </w:tcPr>
          <w:p w14:paraId="1176952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S</w:t>
            </w:r>
          </w:p>
        </w:tc>
        <w:tc>
          <w:tcPr>
            <w:tcW w:w="405" w:type="pct"/>
          </w:tcPr>
          <w:p w14:paraId="0D45D33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4AC3AB3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-0,30</w:t>
            </w:r>
          </w:p>
        </w:tc>
        <w:tc>
          <w:tcPr>
            <w:tcW w:w="888" w:type="pct"/>
          </w:tcPr>
          <w:p w14:paraId="4F8CEB9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0,0117</w:t>
            </w:r>
          </w:p>
        </w:tc>
      </w:tr>
      <w:tr w:rsidR="007E253F" w:rsidRPr="00912B23" w14:paraId="405E18D2" w14:textId="77777777" w:rsidTr="00A05F3F">
        <w:tc>
          <w:tcPr>
            <w:tcW w:w="1338" w:type="pct"/>
          </w:tcPr>
          <w:p w14:paraId="3DC6BBE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Altitud</w:t>
            </w:r>
          </w:p>
        </w:tc>
        <w:tc>
          <w:tcPr>
            <w:tcW w:w="1402" w:type="pct"/>
          </w:tcPr>
          <w:p w14:paraId="0C24572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Mg</w:t>
            </w:r>
          </w:p>
        </w:tc>
        <w:tc>
          <w:tcPr>
            <w:tcW w:w="405" w:type="pct"/>
          </w:tcPr>
          <w:p w14:paraId="692F534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579A667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0,60</w:t>
            </w:r>
          </w:p>
        </w:tc>
        <w:tc>
          <w:tcPr>
            <w:tcW w:w="888" w:type="pct"/>
          </w:tcPr>
          <w:p w14:paraId="5958D7D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4FE8AC34" w14:textId="77777777" w:rsidTr="00A05F3F">
        <w:tc>
          <w:tcPr>
            <w:tcW w:w="1338" w:type="pct"/>
          </w:tcPr>
          <w:p w14:paraId="74EAFA7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Altitud</w:t>
            </w:r>
          </w:p>
        </w:tc>
        <w:tc>
          <w:tcPr>
            <w:tcW w:w="1402" w:type="pct"/>
          </w:tcPr>
          <w:p w14:paraId="7597A0B0"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p>
        </w:tc>
        <w:tc>
          <w:tcPr>
            <w:tcW w:w="405" w:type="pct"/>
          </w:tcPr>
          <w:p w14:paraId="54FC6AB6"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72969BC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-0,71</w:t>
            </w:r>
          </w:p>
        </w:tc>
        <w:tc>
          <w:tcPr>
            <w:tcW w:w="888" w:type="pct"/>
          </w:tcPr>
          <w:p w14:paraId="16E45049"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42D8BC16" w14:textId="77777777" w:rsidTr="00A05F3F">
        <w:tc>
          <w:tcPr>
            <w:tcW w:w="1338" w:type="pct"/>
          </w:tcPr>
          <w:p w14:paraId="2C231CC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Altitud</w:t>
            </w:r>
          </w:p>
        </w:tc>
        <w:tc>
          <w:tcPr>
            <w:tcW w:w="1402" w:type="pct"/>
          </w:tcPr>
          <w:p w14:paraId="5A131E7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AbsPtotal kg/</w:t>
            </w:r>
            <w:r w:rsidRPr="00912B23">
              <w:rPr>
                <w:rFonts w:cs="Times New Roman"/>
                <w:bCs/>
                <w:sz w:val="22"/>
              </w:rPr>
              <w:t>ha</w:t>
            </w:r>
            <w:r w:rsidRPr="00912B23">
              <w:rPr>
                <w:rFonts w:cs="Times New Roman"/>
                <w:bCs/>
                <w:sz w:val="22"/>
                <w:vertAlign w:val="superscript"/>
              </w:rPr>
              <w:t>-1</w:t>
            </w:r>
          </w:p>
        </w:tc>
        <w:tc>
          <w:tcPr>
            <w:tcW w:w="405" w:type="pct"/>
          </w:tcPr>
          <w:p w14:paraId="2A84627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33C35C8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-0,48</w:t>
            </w:r>
          </w:p>
        </w:tc>
        <w:tc>
          <w:tcPr>
            <w:tcW w:w="888" w:type="pct"/>
          </w:tcPr>
          <w:p w14:paraId="68C0ADC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5417A990" w14:textId="77777777" w:rsidTr="00A05F3F">
        <w:tc>
          <w:tcPr>
            <w:tcW w:w="1338" w:type="pct"/>
          </w:tcPr>
          <w:p w14:paraId="0FB4625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Altitud</w:t>
            </w:r>
          </w:p>
        </w:tc>
        <w:tc>
          <w:tcPr>
            <w:tcW w:w="1402" w:type="pct"/>
          </w:tcPr>
          <w:p w14:paraId="162CC4D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AdsKtotal kg/</w:t>
            </w:r>
            <w:r w:rsidRPr="00912B23">
              <w:rPr>
                <w:rFonts w:cs="Times New Roman"/>
                <w:bCs/>
                <w:sz w:val="22"/>
              </w:rPr>
              <w:t>ha</w:t>
            </w:r>
            <w:r w:rsidRPr="00912B23">
              <w:rPr>
                <w:rFonts w:cs="Times New Roman"/>
                <w:bCs/>
                <w:sz w:val="22"/>
                <w:vertAlign w:val="superscript"/>
              </w:rPr>
              <w:t>-1</w:t>
            </w:r>
          </w:p>
        </w:tc>
        <w:tc>
          <w:tcPr>
            <w:tcW w:w="405" w:type="pct"/>
          </w:tcPr>
          <w:p w14:paraId="4E878EB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417C02C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-0,57</w:t>
            </w:r>
          </w:p>
        </w:tc>
        <w:tc>
          <w:tcPr>
            <w:tcW w:w="888" w:type="pct"/>
          </w:tcPr>
          <w:p w14:paraId="4D83CB36"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4ED64576" w14:textId="77777777" w:rsidTr="00A05F3F">
        <w:tc>
          <w:tcPr>
            <w:tcW w:w="1338" w:type="pct"/>
          </w:tcPr>
          <w:p w14:paraId="2AD0D61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Altitud</w:t>
            </w:r>
          </w:p>
        </w:tc>
        <w:tc>
          <w:tcPr>
            <w:tcW w:w="1402" w:type="pct"/>
          </w:tcPr>
          <w:p w14:paraId="28B16BC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AbsStotal kg/</w:t>
            </w:r>
            <w:r w:rsidRPr="00912B23">
              <w:rPr>
                <w:rFonts w:cs="Times New Roman"/>
                <w:bCs/>
                <w:sz w:val="22"/>
              </w:rPr>
              <w:t>ha</w:t>
            </w:r>
            <w:r w:rsidRPr="00912B23">
              <w:rPr>
                <w:rFonts w:cs="Times New Roman"/>
                <w:bCs/>
                <w:sz w:val="22"/>
                <w:vertAlign w:val="superscript"/>
              </w:rPr>
              <w:t>-1</w:t>
            </w:r>
          </w:p>
        </w:tc>
        <w:tc>
          <w:tcPr>
            <w:tcW w:w="405" w:type="pct"/>
          </w:tcPr>
          <w:p w14:paraId="3981433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2EFD0B4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-0,48</w:t>
            </w:r>
          </w:p>
        </w:tc>
        <w:tc>
          <w:tcPr>
            <w:tcW w:w="888" w:type="pct"/>
          </w:tcPr>
          <w:p w14:paraId="3CA631E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2301F05D" w14:textId="77777777" w:rsidTr="00A05F3F">
        <w:tc>
          <w:tcPr>
            <w:tcW w:w="1338" w:type="pct"/>
          </w:tcPr>
          <w:p w14:paraId="0D339D1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Altitud</w:t>
            </w:r>
          </w:p>
        </w:tc>
        <w:tc>
          <w:tcPr>
            <w:tcW w:w="1402" w:type="pct"/>
          </w:tcPr>
          <w:p w14:paraId="101DE09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AbsMgtotal kg/</w:t>
            </w:r>
            <w:r w:rsidRPr="00912B23">
              <w:rPr>
                <w:rFonts w:cs="Times New Roman"/>
                <w:bCs/>
                <w:sz w:val="22"/>
              </w:rPr>
              <w:t>ha</w:t>
            </w:r>
            <w:r w:rsidRPr="00912B23">
              <w:rPr>
                <w:rFonts w:cs="Times New Roman"/>
                <w:bCs/>
                <w:sz w:val="22"/>
                <w:vertAlign w:val="superscript"/>
              </w:rPr>
              <w:t>-1</w:t>
            </w:r>
          </w:p>
        </w:tc>
        <w:tc>
          <w:tcPr>
            <w:tcW w:w="405" w:type="pct"/>
          </w:tcPr>
          <w:p w14:paraId="653E7A1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28DDBD4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-0,74</w:t>
            </w:r>
          </w:p>
        </w:tc>
        <w:tc>
          <w:tcPr>
            <w:tcW w:w="888" w:type="pct"/>
          </w:tcPr>
          <w:p w14:paraId="5DB27A1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5389B4C9" w14:textId="77777777" w:rsidTr="00A05F3F">
        <w:tc>
          <w:tcPr>
            <w:tcW w:w="1338" w:type="pct"/>
          </w:tcPr>
          <w:p w14:paraId="1C6EE1E0"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Altitud</w:t>
            </w:r>
          </w:p>
        </w:tc>
        <w:tc>
          <w:tcPr>
            <w:tcW w:w="1402" w:type="pct"/>
          </w:tcPr>
          <w:p w14:paraId="64DC09C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 xml:space="preserve">Rend t </w:t>
            </w:r>
            <w:r w:rsidRPr="00912B23">
              <w:rPr>
                <w:rFonts w:cs="Times New Roman"/>
                <w:bCs/>
                <w:sz w:val="22"/>
              </w:rPr>
              <w:t>ha</w:t>
            </w:r>
            <w:r w:rsidRPr="00912B23">
              <w:rPr>
                <w:rFonts w:cs="Times New Roman"/>
                <w:bCs/>
                <w:sz w:val="22"/>
                <w:vertAlign w:val="superscript"/>
              </w:rPr>
              <w:t>-1</w:t>
            </w:r>
            <w:r w:rsidRPr="00912B23">
              <w:rPr>
                <w:rFonts w:cs="Times New Roman"/>
                <w:sz w:val="22"/>
              </w:rPr>
              <w:t>(14%h)</w:t>
            </w:r>
          </w:p>
        </w:tc>
        <w:tc>
          <w:tcPr>
            <w:tcW w:w="405" w:type="pct"/>
          </w:tcPr>
          <w:p w14:paraId="68708C2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40BDCB7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-0,29</w:t>
            </w:r>
          </w:p>
        </w:tc>
        <w:tc>
          <w:tcPr>
            <w:tcW w:w="888" w:type="pct"/>
          </w:tcPr>
          <w:p w14:paraId="4C32CA5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0,0162</w:t>
            </w:r>
          </w:p>
        </w:tc>
      </w:tr>
      <w:tr w:rsidR="007E253F" w:rsidRPr="00912B23" w14:paraId="17E4898E" w14:textId="77777777" w:rsidTr="00A05F3F">
        <w:tc>
          <w:tcPr>
            <w:tcW w:w="1338" w:type="pct"/>
          </w:tcPr>
          <w:p w14:paraId="64E977E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N</w:t>
            </w:r>
          </w:p>
        </w:tc>
        <w:tc>
          <w:tcPr>
            <w:tcW w:w="1402" w:type="pct"/>
          </w:tcPr>
          <w:p w14:paraId="6BA9E6E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P</w:t>
            </w:r>
          </w:p>
        </w:tc>
        <w:tc>
          <w:tcPr>
            <w:tcW w:w="405" w:type="pct"/>
          </w:tcPr>
          <w:p w14:paraId="700C342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1F39053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0,29</w:t>
            </w:r>
          </w:p>
        </w:tc>
        <w:tc>
          <w:tcPr>
            <w:tcW w:w="888" w:type="pct"/>
          </w:tcPr>
          <w:p w14:paraId="698B165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0,0161</w:t>
            </w:r>
          </w:p>
        </w:tc>
      </w:tr>
      <w:tr w:rsidR="007E253F" w:rsidRPr="00912B23" w14:paraId="7A7F3746" w14:textId="77777777" w:rsidTr="00A05F3F">
        <w:tc>
          <w:tcPr>
            <w:tcW w:w="1338" w:type="pct"/>
          </w:tcPr>
          <w:p w14:paraId="357DDBC9"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N</w:t>
            </w:r>
          </w:p>
        </w:tc>
        <w:tc>
          <w:tcPr>
            <w:tcW w:w="1402" w:type="pct"/>
          </w:tcPr>
          <w:p w14:paraId="386587A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K</w:t>
            </w:r>
          </w:p>
        </w:tc>
        <w:tc>
          <w:tcPr>
            <w:tcW w:w="405" w:type="pct"/>
          </w:tcPr>
          <w:p w14:paraId="2A1134F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712A66E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0,39</w:t>
            </w:r>
          </w:p>
        </w:tc>
        <w:tc>
          <w:tcPr>
            <w:tcW w:w="888" w:type="pct"/>
          </w:tcPr>
          <w:p w14:paraId="02BBD24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0,0008</w:t>
            </w:r>
          </w:p>
        </w:tc>
      </w:tr>
      <w:tr w:rsidR="007E253F" w:rsidRPr="00912B23" w14:paraId="4F27FB0F" w14:textId="77777777" w:rsidTr="00A05F3F">
        <w:tc>
          <w:tcPr>
            <w:tcW w:w="1338" w:type="pct"/>
          </w:tcPr>
          <w:p w14:paraId="7D7862D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N</w:t>
            </w:r>
          </w:p>
        </w:tc>
        <w:tc>
          <w:tcPr>
            <w:tcW w:w="1402" w:type="pct"/>
          </w:tcPr>
          <w:p w14:paraId="0E744D3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S</w:t>
            </w:r>
          </w:p>
        </w:tc>
        <w:tc>
          <w:tcPr>
            <w:tcW w:w="405" w:type="pct"/>
          </w:tcPr>
          <w:p w14:paraId="1EC3D82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5A4741F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0,45</w:t>
            </w:r>
          </w:p>
        </w:tc>
        <w:tc>
          <w:tcPr>
            <w:tcW w:w="888" w:type="pct"/>
          </w:tcPr>
          <w:p w14:paraId="7ABA10E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0,0001</w:t>
            </w:r>
          </w:p>
        </w:tc>
      </w:tr>
      <w:tr w:rsidR="007E253F" w:rsidRPr="00912B23" w14:paraId="35B8DBCF" w14:textId="77777777" w:rsidTr="00A05F3F">
        <w:tc>
          <w:tcPr>
            <w:tcW w:w="1338" w:type="pct"/>
          </w:tcPr>
          <w:p w14:paraId="4BD759A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N</w:t>
            </w:r>
          </w:p>
        </w:tc>
        <w:tc>
          <w:tcPr>
            <w:tcW w:w="1402" w:type="pct"/>
          </w:tcPr>
          <w:p w14:paraId="1F97F28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p>
        </w:tc>
        <w:tc>
          <w:tcPr>
            <w:tcW w:w="405" w:type="pct"/>
          </w:tcPr>
          <w:p w14:paraId="2340E79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0C02241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0,40</w:t>
            </w:r>
          </w:p>
        </w:tc>
        <w:tc>
          <w:tcPr>
            <w:tcW w:w="888" w:type="pct"/>
          </w:tcPr>
          <w:p w14:paraId="492F46B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0,0006</w:t>
            </w:r>
          </w:p>
        </w:tc>
      </w:tr>
      <w:tr w:rsidR="007E253F" w:rsidRPr="00912B23" w14:paraId="63B69564" w14:textId="77777777" w:rsidTr="00A05F3F">
        <w:tc>
          <w:tcPr>
            <w:tcW w:w="1338" w:type="pct"/>
          </w:tcPr>
          <w:p w14:paraId="0FD55B4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N</w:t>
            </w:r>
          </w:p>
        </w:tc>
        <w:tc>
          <w:tcPr>
            <w:tcW w:w="1402" w:type="pct"/>
          </w:tcPr>
          <w:p w14:paraId="071CA7A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AbsMgtotal kg/</w:t>
            </w:r>
            <w:r w:rsidRPr="00912B23">
              <w:rPr>
                <w:rFonts w:cs="Times New Roman"/>
                <w:bCs/>
                <w:sz w:val="22"/>
              </w:rPr>
              <w:t>ha</w:t>
            </w:r>
            <w:r w:rsidRPr="00912B23">
              <w:rPr>
                <w:rFonts w:cs="Times New Roman"/>
                <w:bCs/>
                <w:sz w:val="22"/>
                <w:vertAlign w:val="superscript"/>
              </w:rPr>
              <w:t>-1</w:t>
            </w:r>
          </w:p>
        </w:tc>
        <w:tc>
          <w:tcPr>
            <w:tcW w:w="405" w:type="pct"/>
          </w:tcPr>
          <w:p w14:paraId="7157EC0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5507DF1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0,25</w:t>
            </w:r>
          </w:p>
        </w:tc>
        <w:tc>
          <w:tcPr>
            <w:tcW w:w="888" w:type="pct"/>
          </w:tcPr>
          <w:p w14:paraId="2A06D8C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0,0374</w:t>
            </w:r>
          </w:p>
        </w:tc>
      </w:tr>
      <w:tr w:rsidR="007E253F" w:rsidRPr="00912B23" w14:paraId="2E514954" w14:textId="77777777" w:rsidTr="00A05F3F">
        <w:tc>
          <w:tcPr>
            <w:tcW w:w="1338" w:type="pct"/>
          </w:tcPr>
          <w:p w14:paraId="6E8E146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N</w:t>
            </w:r>
          </w:p>
        </w:tc>
        <w:tc>
          <w:tcPr>
            <w:tcW w:w="1402" w:type="pct"/>
          </w:tcPr>
          <w:p w14:paraId="5BB10BD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 xml:space="preserve">Rend t </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(14%h)</w:t>
            </w:r>
          </w:p>
        </w:tc>
        <w:tc>
          <w:tcPr>
            <w:tcW w:w="405" w:type="pct"/>
          </w:tcPr>
          <w:p w14:paraId="3220ADF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2ABFD68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0,47</w:t>
            </w:r>
          </w:p>
        </w:tc>
        <w:tc>
          <w:tcPr>
            <w:tcW w:w="888" w:type="pct"/>
          </w:tcPr>
          <w:p w14:paraId="1C957FB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21F4CF73" w14:textId="77777777" w:rsidTr="00A05F3F">
        <w:tc>
          <w:tcPr>
            <w:tcW w:w="1338" w:type="pct"/>
          </w:tcPr>
          <w:p w14:paraId="7F76D7A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P</w:t>
            </w:r>
          </w:p>
        </w:tc>
        <w:tc>
          <w:tcPr>
            <w:tcW w:w="1402" w:type="pct"/>
          </w:tcPr>
          <w:p w14:paraId="0D3D28F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K</w:t>
            </w:r>
          </w:p>
        </w:tc>
        <w:tc>
          <w:tcPr>
            <w:tcW w:w="405" w:type="pct"/>
          </w:tcPr>
          <w:p w14:paraId="7E5893C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2729CDD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0,42</w:t>
            </w:r>
          </w:p>
        </w:tc>
        <w:tc>
          <w:tcPr>
            <w:tcW w:w="888" w:type="pct"/>
          </w:tcPr>
          <w:p w14:paraId="09C9E8C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0,0003</w:t>
            </w:r>
          </w:p>
        </w:tc>
      </w:tr>
      <w:tr w:rsidR="007E253F" w:rsidRPr="00912B23" w14:paraId="62EC83A9" w14:textId="77777777" w:rsidTr="00A05F3F">
        <w:tc>
          <w:tcPr>
            <w:tcW w:w="1338" w:type="pct"/>
          </w:tcPr>
          <w:p w14:paraId="47C7337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P</w:t>
            </w:r>
          </w:p>
        </w:tc>
        <w:tc>
          <w:tcPr>
            <w:tcW w:w="1402" w:type="pct"/>
          </w:tcPr>
          <w:p w14:paraId="400F0B8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S</w:t>
            </w:r>
          </w:p>
        </w:tc>
        <w:tc>
          <w:tcPr>
            <w:tcW w:w="405" w:type="pct"/>
          </w:tcPr>
          <w:p w14:paraId="1C3A91C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0DF6BD8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0,53</w:t>
            </w:r>
          </w:p>
        </w:tc>
        <w:tc>
          <w:tcPr>
            <w:tcW w:w="888" w:type="pct"/>
          </w:tcPr>
          <w:p w14:paraId="4DD0EBA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5AEC18B7" w14:textId="77777777" w:rsidTr="00A05F3F">
        <w:tc>
          <w:tcPr>
            <w:tcW w:w="1338" w:type="pct"/>
          </w:tcPr>
          <w:p w14:paraId="2683D41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K</w:t>
            </w:r>
          </w:p>
        </w:tc>
        <w:tc>
          <w:tcPr>
            <w:tcW w:w="1402" w:type="pct"/>
          </w:tcPr>
          <w:p w14:paraId="2A6D680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S</w:t>
            </w:r>
          </w:p>
        </w:tc>
        <w:tc>
          <w:tcPr>
            <w:tcW w:w="405" w:type="pct"/>
          </w:tcPr>
          <w:p w14:paraId="423D9CC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50B55BC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0,60</w:t>
            </w:r>
          </w:p>
        </w:tc>
        <w:tc>
          <w:tcPr>
            <w:tcW w:w="888" w:type="pct"/>
          </w:tcPr>
          <w:p w14:paraId="588E01E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5D0CFB06" w14:textId="77777777" w:rsidTr="00A05F3F">
        <w:tc>
          <w:tcPr>
            <w:tcW w:w="1338" w:type="pct"/>
          </w:tcPr>
          <w:p w14:paraId="2E7D12D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K</w:t>
            </w:r>
          </w:p>
        </w:tc>
        <w:tc>
          <w:tcPr>
            <w:tcW w:w="1402" w:type="pct"/>
          </w:tcPr>
          <w:p w14:paraId="0F48FE0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7E461B4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62921AC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0,47</w:t>
            </w:r>
          </w:p>
        </w:tc>
        <w:tc>
          <w:tcPr>
            <w:tcW w:w="888" w:type="pct"/>
          </w:tcPr>
          <w:p w14:paraId="1A1970E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0,0001</w:t>
            </w:r>
          </w:p>
        </w:tc>
      </w:tr>
      <w:tr w:rsidR="007E253F" w:rsidRPr="00912B23" w14:paraId="2ACF6E0E" w14:textId="77777777" w:rsidTr="00A05F3F">
        <w:tc>
          <w:tcPr>
            <w:tcW w:w="1338" w:type="pct"/>
          </w:tcPr>
          <w:p w14:paraId="5606FC5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K</w:t>
            </w:r>
          </w:p>
        </w:tc>
        <w:tc>
          <w:tcPr>
            <w:tcW w:w="1402" w:type="pct"/>
          </w:tcPr>
          <w:p w14:paraId="650C0D7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AbsKtotal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1A6D895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773A92C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0,26</w:t>
            </w:r>
          </w:p>
        </w:tc>
        <w:tc>
          <w:tcPr>
            <w:tcW w:w="888" w:type="pct"/>
          </w:tcPr>
          <w:p w14:paraId="1D1E347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0,0334</w:t>
            </w:r>
          </w:p>
        </w:tc>
      </w:tr>
      <w:tr w:rsidR="007E253F" w:rsidRPr="00912B23" w14:paraId="3178F2CC" w14:textId="77777777" w:rsidTr="00A05F3F">
        <w:tc>
          <w:tcPr>
            <w:tcW w:w="1338" w:type="pct"/>
          </w:tcPr>
          <w:p w14:paraId="72BDEB1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K</w:t>
            </w:r>
          </w:p>
        </w:tc>
        <w:tc>
          <w:tcPr>
            <w:tcW w:w="1402" w:type="pct"/>
          </w:tcPr>
          <w:p w14:paraId="7AF0FA0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AbsStotal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09B466D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68DAE60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0,35</w:t>
            </w:r>
          </w:p>
        </w:tc>
        <w:tc>
          <w:tcPr>
            <w:tcW w:w="888" w:type="pct"/>
          </w:tcPr>
          <w:p w14:paraId="30B882A6"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0,0032</w:t>
            </w:r>
          </w:p>
        </w:tc>
      </w:tr>
      <w:tr w:rsidR="007E253F" w:rsidRPr="00912B23" w14:paraId="72C46D13" w14:textId="77777777" w:rsidTr="00A05F3F">
        <w:tc>
          <w:tcPr>
            <w:tcW w:w="1338" w:type="pct"/>
          </w:tcPr>
          <w:p w14:paraId="0807437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K</w:t>
            </w:r>
          </w:p>
        </w:tc>
        <w:tc>
          <w:tcPr>
            <w:tcW w:w="1402" w:type="pct"/>
          </w:tcPr>
          <w:p w14:paraId="19B31CE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AbsMgtotal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076844A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461F5F4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0,29</w:t>
            </w:r>
          </w:p>
        </w:tc>
        <w:tc>
          <w:tcPr>
            <w:tcW w:w="888" w:type="pct"/>
          </w:tcPr>
          <w:p w14:paraId="3C9672F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0,0166</w:t>
            </w:r>
          </w:p>
        </w:tc>
      </w:tr>
      <w:tr w:rsidR="007E253F" w:rsidRPr="00912B23" w14:paraId="4A4EA1DD" w14:textId="77777777" w:rsidTr="00A05F3F">
        <w:tc>
          <w:tcPr>
            <w:tcW w:w="1338" w:type="pct"/>
          </w:tcPr>
          <w:p w14:paraId="749976D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lastRenderedPageBreak/>
              <w:t>Dosis S</w:t>
            </w:r>
          </w:p>
        </w:tc>
        <w:tc>
          <w:tcPr>
            <w:tcW w:w="1402" w:type="pct"/>
          </w:tcPr>
          <w:p w14:paraId="3E705F7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780BE1F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7AE9FE8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0,35</w:t>
            </w:r>
          </w:p>
        </w:tc>
        <w:tc>
          <w:tcPr>
            <w:tcW w:w="888" w:type="pct"/>
          </w:tcPr>
          <w:p w14:paraId="7DD75E6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0,0030</w:t>
            </w:r>
          </w:p>
        </w:tc>
      </w:tr>
      <w:tr w:rsidR="007E253F" w:rsidRPr="00912B23" w14:paraId="652840A2" w14:textId="77777777" w:rsidTr="00A05F3F">
        <w:tc>
          <w:tcPr>
            <w:tcW w:w="1338" w:type="pct"/>
          </w:tcPr>
          <w:p w14:paraId="45A47786"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Mg</w:t>
            </w:r>
          </w:p>
        </w:tc>
        <w:tc>
          <w:tcPr>
            <w:tcW w:w="1402" w:type="pct"/>
          </w:tcPr>
          <w:p w14:paraId="518A1A2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3A1A5F80"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20CE8BB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-0,42</w:t>
            </w:r>
          </w:p>
        </w:tc>
        <w:tc>
          <w:tcPr>
            <w:tcW w:w="888" w:type="pct"/>
          </w:tcPr>
          <w:p w14:paraId="2ED2B9A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0,0004</w:t>
            </w:r>
          </w:p>
        </w:tc>
      </w:tr>
      <w:tr w:rsidR="007E253F" w:rsidRPr="00912B23" w14:paraId="49914B21" w14:textId="77777777" w:rsidTr="00A05F3F">
        <w:tc>
          <w:tcPr>
            <w:tcW w:w="1338" w:type="pct"/>
          </w:tcPr>
          <w:p w14:paraId="54447D50"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Mg</w:t>
            </w:r>
          </w:p>
        </w:tc>
        <w:tc>
          <w:tcPr>
            <w:tcW w:w="1402" w:type="pct"/>
          </w:tcPr>
          <w:p w14:paraId="6288469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AbsStotal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2108271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50D0148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-0,35</w:t>
            </w:r>
          </w:p>
        </w:tc>
        <w:tc>
          <w:tcPr>
            <w:tcW w:w="888" w:type="pct"/>
          </w:tcPr>
          <w:p w14:paraId="59AFD52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0,0032</w:t>
            </w:r>
          </w:p>
        </w:tc>
      </w:tr>
      <w:tr w:rsidR="007E253F" w:rsidRPr="00912B23" w14:paraId="4E2FB721" w14:textId="77777777" w:rsidTr="00A05F3F">
        <w:tc>
          <w:tcPr>
            <w:tcW w:w="1338" w:type="pct"/>
          </w:tcPr>
          <w:p w14:paraId="65FC048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Dosis Mg</w:t>
            </w:r>
          </w:p>
        </w:tc>
        <w:tc>
          <w:tcPr>
            <w:tcW w:w="1402" w:type="pct"/>
          </w:tcPr>
          <w:p w14:paraId="1046C38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AbsMgtotal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05C8D28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0440C0B6"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-0,47</w:t>
            </w:r>
          </w:p>
        </w:tc>
        <w:tc>
          <w:tcPr>
            <w:tcW w:w="888" w:type="pct"/>
          </w:tcPr>
          <w:p w14:paraId="432DC6C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37BD3157" w14:textId="77777777" w:rsidTr="00A05F3F">
        <w:tc>
          <w:tcPr>
            <w:tcW w:w="1338" w:type="pct"/>
          </w:tcPr>
          <w:p w14:paraId="179149F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 xml:space="preserve"> ha</w:t>
            </w:r>
            <w:r w:rsidRPr="00912B23">
              <w:rPr>
                <w:rFonts w:cs="Times New Roman"/>
                <w:bCs/>
                <w:sz w:val="22"/>
                <w:vertAlign w:val="superscript"/>
              </w:rPr>
              <w:t>-1</w:t>
            </w:r>
            <w:r w:rsidRPr="00912B23">
              <w:rPr>
                <w:rFonts w:cs="Times New Roman"/>
                <w:sz w:val="22"/>
              </w:rPr>
              <w:t xml:space="preserve">  </w:t>
            </w:r>
          </w:p>
        </w:tc>
        <w:tc>
          <w:tcPr>
            <w:tcW w:w="1402" w:type="pct"/>
          </w:tcPr>
          <w:p w14:paraId="3BCFBF4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AbsPtotal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2BE90CB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269A664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0,56</w:t>
            </w:r>
          </w:p>
        </w:tc>
        <w:tc>
          <w:tcPr>
            <w:tcW w:w="888" w:type="pct"/>
          </w:tcPr>
          <w:p w14:paraId="0C51C34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15A903BA" w14:textId="77777777" w:rsidTr="00A05F3F">
        <w:tc>
          <w:tcPr>
            <w:tcW w:w="1338" w:type="pct"/>
          </w:tcPr>
          <w:p w14:paraId="701AB96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4C48C79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AbsKtotal kg/</w:t>
            </w:r>
            <w:r w:rsidRPr="00912B23">
              <w:rPr>
                <w:rFonts w:cs="Times New Roman"/>
                <w:bCs/>
                <w:sz w:val="22"/>
              </w:rPr>
              <w:t xml:space="preserve"> ha</w:t>
            </w:r>
            <w:r w:rsidRPr="00912B23">
              <w:rPr>
                <w:rFonts w:cs="Times New Roman"/>
                <w:bCs/>
                <w:sz w:val="22"/>
                <w:vertAlign w:val="superscript"/>
              </w:rPr>
              <w:t>-1</w:t>
            </w:r>
            <w:r w:rsidRPr="00912B23">
              <w:rPr>
                <w:rFonts w:cs="Times New Roman"/>
                <w:sz w:val="22"/>
              </w:rPr>
              <w:t xml:space="preserve">  </w:t>
            </w:r>
          </w:p>
        </w:tc>
        <w:tc>
          <w:tcPr>
            <w:tcW w:w="405" w:type="pct"/>
          </w:tcPr>
          <w:p w14:paraId="1F1CE36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324D15E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0,53</w:t>
            </w:r>
          </w:p>
        </w:tc>
        <w:tc>
          <w:tcPr>
            <w:tcW w:w="888" w:type="pct"/>
          </w:tcPr>
          <w:p w14:paraId="524E01D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6E3F60EC" w14:textId="77777777" w:rsidTr="00A05F3F">
        <w:tc>
          <w:tcPr>
            <w:tcW w:w="1338" w:type="pct"/>
          </w:tcPr>
          <w:p w14:paraId="1000A4A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03B96959"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AbsStotal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7B0B242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75775F3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0,84</w:t>
            </w:r>
          </w:p>
        </w:tc>
        <w:tc>
          <w:tcPr>
            <w:tcW w:w="888" w:type="pct"/>
          </w:tcPr>
          <w:p w14:paraId="7F8D63E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01B486AD" w14:textId="77777777" w:rsidTr="00A05F3F">
        <w:tc>
          <w:tcPr>
            <w:tcW w:w="1338" w:type="pct"/>
          </w:tcPr>
          <w:p w14:paraId="1076383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22587BC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AdsMgtotal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3790CE7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494E8BC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0,84</w:t>
            </w:r>
          </w:p>
        </w:tc>
        <w:tc>
          <w:tcPr>
            <w:tcW w:w="888" w:type="pct"/>
          </w:tcPr>
          <w:p w14:paraId="6554CFC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04580887" w14:textId="77777777" w:rsidTr="00A05F3F">
        <w:tc>
          <w:tcPr>
            <w:tcW w:w="1338" w:type="pct"/>
          </w:tcPr>
          <w:p w14:paraId="059F4BD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AbsNtotal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4B2DBC1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Rend t ha</w:t>
            </w:r>
            <w:r w:rsidRPr="00912B23">
              <w:rPr>
                <w:rFonts w:cs="Times New Roman"/>
                <w:bCs/>
                <w:sz w:val="22"/>
                <w:vertAlign w:val="superscript"/>
              </w:rPr>
              <w:t>-1</w:t>
            </w:r>
            <w:r w:rsidRPr="00912B23">
              <w:rPr>
                <w:rFonts w:cs="Times New Roman"/>
                <w:sz w:val="22"/>
              </w:rPr>
              <w:t xml:space="preserve"> (14%h)</w:t>
            </w:r>
          </w:p>
        </w:tc>
        <w:tc>
          <w:tcPr>
            <w:tcW w:w="405" w:type="pct"/>
          </w:tcPr>
          <w:p w14:paraId="3495C3A5"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707F60D0"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0,30</w:t>
            </w:r>
          </w:p>
        </w:tc>
        <w:tc>
          <w:tcPr>
            <w:tcW w:w="888" w:type="pct"/>
          </w:tcPr>
          <w:p w14:paraId="61B1FD8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0,0116</w:t>
            </w:r>
          </w:p>
        </w:tc>
      </w:tr>
      <w:tr w:rsidR="007E253F" w:rsidRPr="00912B23" w14:paraId="5A9F093F" w14:textId="77777777" w:rsidTr="00A05F3F">
        <w:tc>
          <w:tcPr>
            <w:tcW w:w="1338" w:type="pct"/>
          </w:tcPr>
          <w:p w14:paraId="404BC669"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AbsPtotal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360779C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AbsKtotal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57D83DC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1DC7F89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0,86</w:t>
            </w:r>
          </w:p>
        </w:tc>
        <w:tc>
          <w:tcPr>
            <w:tcW w:w="888" w:type="pct"/>
          </w:tcPr>
          <w:p w14:paraId="1B9913F3"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5659585C" w14:textId="77777777" w:rsidTr="00A05F3F">
        <w:tc>
          <w:tcPr>
            <w:tcW w:w="1338" w:type="pct"/>
          </w:tcPr>
          <w:p w14:paraId="2232AA0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AbsPtotal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0CB196D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AbsStotal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13F4E78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35635168"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0,43</w:t>
            </w:r>
          </w:p>
        </w:tc>
        <w:tc>
          <w:tcPr>
            <w:tcW w:w="888" w:type="pct"/>
          </w:tcPr>
          <w:p w14:paraId="3E36C61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0,0002</w:t>
            </w:r>
          </w:p>
        </w:tc>
      </w:tr>
      <w:tr w:rsidR="007E253F" w:rsidRPr="00912B23" w14:paraId="6799E58A" w14:textId="77777777" w:rsidTr="00A05F3F">
        <w:tc>
          <w:tcPr>
            <w:tcW w:w="1338" w:type="pct"/>
          </w:tcPr>
          <w:p w14:paraId="3C9FA7A0"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AbsPtotal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53EE75A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AbsMgtotal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7E252B6F"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73004D5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0,81</w:t>
            </w:r>
          </w:p>
        </w:tc>
        <w:tc>
          <w:tcPr>
            <w:tcW w:w="888" w:type="pct"/>
          </w:tcPr>
          <w:p w14:paraId="6DA4D55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3153261C" w14:textId="77777777" w:rsidTr="00A05F3F">
        <w:tc>
          <w:tcPr>
            <w:tcW w:w="1338" w:type="pct"/>
          </w:tcPr>
          <w:p w14:paraId="1607C51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AbsKtotal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4321A52E"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AbsStotal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7CCA9FA9"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045C2151"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0,41</w:t>
            </w:r>
          </w:p>
        </w:tc>
        <w:tc>
          <w:tcPr>
            <w:tcW w:w="888" w:type="pct"/>
          </w:tcPr>
          <w:p w14:paraId="5D76CAE9"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0,0005</w:t>
            </w:r>
          </w:p>
        </w:tc>
      </w:tr>
      <w:tr w:rsidR="007E253F" w:rsidRPr="00912B23" w14:paraId="61813379" w14:textId="77777777" w:rsidTr="00A05F3F">
        <w:tc>
          <w:tcPr>
            <w:tcW w:w="1338" w:type="pct"/>
          </w:tcPr>
          <w:p w14:paraId="5DE9D55D"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AbsKtotal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6EAB3EC7"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AbsMgtotal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3A944B0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660E6929"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0,81</w:t>
            </w:r>
          </w:p>
        </w:tc>
        <w:tc>
          <w:tcPr>
            <w:tcW w:w="888" w:type="pct"/>
          </w:tcPr>
          <w:p w14:paraId="51E53724"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r w:rsidR="007E253F" w:rsidRPr="00912B23" w14:paraId="329F12EA" w14:textId="77777777" w:rsidTr="00A05F3F">
        <w:tc>
          <w:tcPr>
            <w:tcW w:w="1338" w:type="pct"/>
          </w:tcPr>
          <w:p w14:paraId="34A0892A"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AbsStotal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1402" w:type="pct"/>
          </w:tcPr>
          <w:p w14:paraId="0DBAF2CB"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AdsMgtotal kg/</w:t>
            </w:r>
            <w:r w:rsidRPr="00912B23">
              <w:rPr>
                <w:rFonts w:cs="Times New Roman"/>
                <w:bCs/>
                <w:sz w:val="22"/>
              </w:rPr>
              <w:t>ha</w:t>
            </w:r>
            <w:r w:rsidRPr="00912B23">
              <w:rPr>
                <w:rFonts w:cs="Times New Roman"/>
                <w:bCs/>
                <w:sz w:val="22"/>
                <w:vertAlign w:val="superscript"/>
              </w:rPr>
              <w:t>-1</w:t>
            </w:r>
            <w:r w:rsidRPr="00912B23">
              <w:rPr>
                <w:rFonts w:cs="Times New Roman"/>
                <w:sz w:val="22"/>
              </w:rPr>
              <w:t xml:space="preserve">  </w:t>
            </w:r>
          </w:p>
        </w:tc>
        <w:tc>
          <w:tcPr>
            <w:tcW w:w="405" w:type="pct"/>
          </w:tcPr>
          <w:p w14:paraId="580103C0"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69</w:t>
            </w:r>
          </w:p>
        </w:tc>
        <w:tc>
          <w:tcPr>
            <w:tcW w:w="967" w:type="pct"/>
          </w:tcPr>
          <w:p w14:paraId="39F9CAD2"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0,78</w:t>
            </w:r>
          </w:p>
        </w:tc>
        <w:tc>
          <w:tcPr>
            <w:tcW w:w="888" w:type="pct"/>
          </w:tcPr>
          <w:p w14:paraId="3EE6AD9C" w14:textId="77777777" w:rsidR="007E253F" w:rsidRPr="00912B23" w:rsidRDefault="007E253F" w:rsidP="00912B23">
            <w:pPr>
              <w:autoSpaceDE w:val="0"/>
              <w:autoSpaceDN w:val="0"/>
              <w:adjustRightInd w:val="0"/>
              <w:jc w:val="center"/>
              <w:rPr>
                <w:rFonts w:cs="Times New Roman"/>
                <w:sz w:val="22"/>
              </w:rPr>
            </w:pPr>
            <w:r w:rsidRPr="00912B23">
              <w:rPr>
                <w:rFonts w:cs="Times New Roman"/>
                <w:sz w:val="22"/>
              </w:rPr>
              <w:t>&lt;0,0001</w:t>
            </w:r>
          </w:p>
        </w:tc>
      </w:tr>
    </w:tbl>
    <w:p w14:paraId="31AC469B" w14:textId="62E83125" w:rsidR="007E253F" w:rsidRPr="007E253F" w:rsidRDefault="007E253F" w:rsidP="006C3F27">
      <w:pPr>
        <w:spacing w:before="360" w:after="360" w:line="360" w:lineRule="auto"/>
        <w:rPr>
          <w:rFonts w:cs="Times New Roman"/>
          <w:bCs/>
          <w:szCs w:val="24"/>
        </w:rPr>
      </w:pPr>
      <w:r w:rsidRPr="007E253F">
        <w:rPr>
          <w:rFonts w:cs="Times New Roman"/>
          <w:bCs/>
          <w:szCs w:val="24"/>
        </w:rPr>
        <w:t>En el Cuadro 15 se observa que existió una mayor correlación estadísticamente significativa entre altitud, dosis de nitrógeno y la absorción de los elementos N, P, K, S. También se obtuvo una correlación estadísticamente significativa entre a</w:t>
      </w:r>
      <w:r w:rsidR="005F2CA6">
        <w:rPr>
          <w:rFonts w:cs="Times New Roman"/>
          <w:bCs/>
          <w:szCs w:val="24"/>
        </w:rPr>
        <w:t>b</w:t>
      </w:r>
      <w:r w:rsidRPr="007E253F">
        <w:rPr>
          <w:rFonts w:cs="Times New Roman"/>
          <w:bCs/>
          <w:szCs w:val="24"/>
        </w:rPr>
        <w:t>sorción de nitrógeno y a</w:t>
      </w:r>
      <w:r w:rsidR="005F2CA6">
        <w:rPr>
          <w:rFonts w:cs="Times New Roman"/>
          <w:bCs/>
          <w:szCs w:val="24"/>
        </w:rPr>
        <w:t>b</w:t>
      </w:r>
      <w:r w:rsidRPr="007E253F">
        <w:rPr>
          <w:rFonts w:cs="Times New Roman"/>
          <w:bCs/>
          <w:szCs w:val="24"/>
        </w:rPr>
        <w:t xml:space="preserve">sorción de K, S, Mg. </w:t>
      </w:r>
    </w:p>
    <w:p w14:paraId="39E636B2" w14:textId="696F45C3" w:rsidR="007E253F" w:rsidRPr="007E253F" w:rsidRDefault="007E253F" w:rsidP="006C3F27">
      <w:pPr>
        <w:pStyle w:val="Ttulo2"/>
        <w:numPr>
          <w:ilvl w:val="1"/>
          <w:numId w:val="40"/>
        </w:numPr>
        <w:spacing w:before="360" w:after="360"/>
        <w:ind w:left="709"/>
      </w:pPr>
      <w:bookmarkStart w:id="1302" w:name="_Toc72741163"/>
      <w:bookmarkStart w:id="1303" w:name="_Toc72741961"/>
      <w:bookmarkStart w:id="1304" w:name="_Toc72742759"/>
      <w:bookmarkStart w:id="1305" w:name="_Toc72881504"/>
      <w:bookmarkStart w:id="1306" w:name="_Toc72882586"/>
      <w:bookmarkStart w:id="1307" w:name="_Toc75608931"/>
      <w:bookmarkStart w:id="1308" w:name="_Toc75611857"/>
      <w:bookmarkStart w:id="1309" w:name="_Toc75612703"/>
      <w:bookmarkStart w:id="1310" w:name="_Toc75679858"/>
      <w:bookmarkStart w:id="1311" w:name="_Toc75702466"/>
      <w:bookmarkStart w:id="1312" w:name="_Toc80312305"/>
      <w:r w:rsidRPr="007E253F">
        <w:t>Respuesta del maíz a la fertilización con macronutrientes en la Provincia de Bolívar utilizando GLM</w:t>
      </w:r>
      <w:bookmarkEnd w:id="1302"/>
      <w:bookmarkEnd w:id="1303"/>
      <w:bookmarkEnd w:id="1304"/>
      <w:bookmarkEnd w:id="1305"/>
      <w:bookmarkEnd w:id="1306"/>
      <w:bookmarkEnd w:id="1307"/>
      <w:bookmarkEnd w:id="1308"/>
      <w:bookmarkEnd w:id="1309"/>
      <w:bookmarkEnd w:id="1310"/>
      <w:bookmarkEnd w:id="1311"/>
      <w:bookmarkEnd w:id="1312"/>
    </w:p>
    <w:p w14:paraId="0B9F5ECE" w14:textId="04CC3834" w:rsidR="007E253F" w:rsidRPr="007E253F" w:rsidRDefault="007E253F" w:rsidP="006C3F27">
      <w:pPr>
        <w:pStyle w:val="Ttulo3"/>
        <w:spacing w:before="360" w:after="360"/>
      </w:pPr>
      <w:bookmarkStart w:id="1313" w:name="_Toc80312306"/>
      <w:r w:rsidRPr="007E253F">
        <w:t>Rendimiento de grano (t ha</w:t>
      </w:r>
      <w:r w:rsidRPr="007E253F">
        <w:rPr>
          <w:vertAlign w:val="superscript"/>
        </w:rPr>
        <w:t>-1</w:t>
      </w:r>
      <w:r w:rsidRPr="007E253F">
        <w:t>)</w:t>
      </w:r>
      <w:bookmarkEnd w:id="1313"/>
    </w:p>
    <w:p w14:paraId="1451B35D" w14:textId="30787771" w:rsidR="00DB0D02" w:rsidRPr="00DB0D02" w:rsidRDefault="007E253F" w:rsidP="00DB0D02">
      <w:pPr>
        <w:autoSpaceDE w:val="0"/>
        <w:autoSpaceDN w:val="0"/>
        <w:adjustRightInd w:val="0"/>
        <w:spacing w:after="0" w:line="360" w:lineRule="auto"/>
        <w:rPr>
          <w:rFonts w:cs="Times New Roman"/>
          <w:b/>
          <w:bCs/>
          <w:color w:val="0000FF"/>
        </w:rPr>
      </w:pPr>
      <w:r w:rsidRPr="007E253F">
        <w:rPr>
          <w:rFonts w:cs="Times New Roman"/>
          <w:szCs w:val="24"/>
        </w:rPr>
        <w:t>Al utilizar el modelo estadístico para rendimiento, se detectaron diferencias estadísticas significativas (p &lt;0,05) para las fuentes de variación de nitrógeno, fósforo, potasio; mientras que no fueron significativos para Cantón, dosis de S y Dosis de Mg (Cuadro 1</w:t>
      </w:r>
      <w:r w:rsidR="00B81476">
        <w:rPr>
          <w:rFonts w:cs="Times New Roman"/>
          <w:szCs w:val="24"/>
        </w:rPr>
        <w:t>6</w:t>
      </w:r>
      <w:r w:rsidRPr="007E253F">
        <w:rPr>
          <w:rFonts w:cs="Times New Roman"/>
          <w:szCs w:val="24"/>
        </w:rPr>
        <w:t>). Por lo tanto, las dosis de los fertilizantes con nitrógeno, fósforo</w:t>
      </w:r>
      <w:r w:rsidR="00B81476">
        <w:rPr>
          <w:rFonts w:cs="Times New Roman"/>
          <w:szCs w:val="24"/>
        </w:rPr>
        <w:t xml:space="preserve"> y</w:t>
      </w:r>
      <w:r w:rsidRPr="007E253F">
        <w:rPr>
          <w:rFonts w:cs="Times New Roman"/>
          <w:szCs w:val="24"/>
        </w:rPr>
        <w:t xml:space="preserve"> potasio, tuvieron un efecto significativo sobre el rendimiento de grano en la provincia de Bolívar. El promedio general de rendimiento fue 3,79 t ha</w:t>
      </w:r>
      <w:r w:rsidRPr="007E253F">
        <w:rPr>
          <w:rFonts w:cs="Times New Roman"/>
          <w:szCs w:val="24"/>
          <w:vertAlign w:val="superscript"/>
        </w:rPr>
        <w:t>-1</w:t>
      </w:r>
      <w:r w:rsidRPr="007E253F">
        <w:rPr>
          <w:rFonts w:cs="Times New Roman"/>
          <w:szCs w:val="24"/>
        </w:rPr>
        <w:t>; con un R</w:t>
      </w:r>
      <w:r w:rsidRPr="007E253F">
        <w:rPr>
          <w:rFonts w:cs="Times New Roman"/>
          <w:szCs w:val="24"/>
          <w:vertAlign w:val="superscript"/>
        </w:rPr>
        <w:t>2</w:t>
      </w:r>
      <w:r w:rsidRPr="007E253F">
        <w:rPr>
          <w:rFonts w:cs="Times New Roman"/>
          <w:szCs w:val="24"/>
        </w:rPr>
        <w:t xml:space="preserve"> de 0,64 y un coeficiente de variación de 25,12%</w:t>
      </w:r>
      <w:r w:rsidRPr="007E253F">
        <w:rPr>
          <w:rFonts w:cs="Times New Roman"/>
          <w:b/>
          <w:bCs/>
          <w:color w:val="0000FF"/>
        </w:rPr>
        <w:t>.</w:t>
      </w:r>
    </w:p>
    <w:p w14:paraId="13E3553C" w14:textId="5AF635ED" w:rsidR="00DB0D02" w:rsidRPr="00732357" w:rsidRDefault="00732357" w:rsidP="006C3F27">
      <w:pPr>
        <w:pStyle w:val="Descripcin"/>
        <w:keepNext/>
        <w:spacing w:before="360"/>
        <w:rPr>
          <w:rFonts w:cs="Times New Roman"/>
          <w:b/>
          <w:i w:val="0"/>
          <w:iCs w:val="0"/>
          <w:color w:val="auto"/>
          <w:sz w:val="24"/>
          <w:szCs w:val="24"/>
          <w:lang w:eastAsia="en-US"/>
        </w:rPr>
      </w:pPr>
      <w:bookmarkStart w:id="1314" w:name="_Toc79314008"/>
      <w:r>
        <w:rPr>
          <w:rFonts w:cs="Times New Roman"/>
          <w:b/>
          <w:i w:val="0"/>
          <w:iCs w:val="0"/>
          <w:color w:val="auto"/>
          <w:sz w:val="24"/>
          <w:szCs w:val="24"/>
          <w:lang w:eastAsia="en-US"/>
        </w:rPr>
        <w:br w:type="page"/>
      </w:r>
      <w:r w:rsidR="00DB0D02" w:rsidRPr="00DB0D02">
        <w:rPr>
          <w:rFonts w:cs="Times New Roman"/>
          <w:b/>
          <w:i w:val="0"/>
          <w:iCs w:val="0"/>
          <w:color w:val="auto"/>
          <w:sz w:val="24"/>
          <w:szCs w:val="24"/>
          <w:lang w:eastAsia="en-US"/>
        </w:rPr>
        <w:lastRenderedPageBreak/>
        <w:t xml:space="preserve">Cuadro </w:t>
      </w:r>
      <w:r w:rsidR="00DB0D02" w:rsidRPr="00DB0D02">
        <w:rPr>
          <w:rFonts w:cs="Times New Roman"/>
          <w:b/>
          <w:i w:val="0"/>
          <w:iCs w:val="0"/>
          <w:color w:val="auto"/>
          <w:sz w:val="24"/>
          <w:szCs w:val="24"/>
          <w:lang w:eastAsia="en-US"/>
        </w:rPr>
        <w:fldChar w:fldCharType="begin"/>
      </w:r>
      <w:r w:rsidR="00DB0D02" w:rsidRPr="00DB0D02">
        <w:rPr>
          <w:rFonts w:cs="Times New Roman"/>
          <w:b/>
          <w:i w:val="0"/>
          <w:iCs w:val="0"/>
          <w:color w:val="auto"/>
          <w:sz w:val="24"/>
          <w:szCs w:val="24"/>
          <w:lang w:eastAsia="en-US"/>
        </w:rPr>
        <w:instrText xml:space="preserve"> SEQ Cuadro \* ARABIC </w:instrText>
      </w:r>
      <w:r w:rsidR="00DB0D02" w:rsidRPr="00DB0D02">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16</w:t>
      </w:r>
      <w:r w:rsidR="00DB0D02" w:rsidRPr="00DB0D02">
        <w:rPr>
          <w:rFonts w:cs="Times New Roman"/>
          <w:b/>
          <w:i w:val="0"/>
          <w:iCs w:val="0"/>
          <w:color w:val="auto"/>
          <w:sz w:val="24"/>
          <w:szCs w:val="24"/>
          <w:lang w:eastAsia="en-US"/>
        </w:rPr>
        <w:fldChar w:fldCharType="end"/>
      </w:r>
      <w:r w:rsidR="00DB0D02" w:rsidRPr="00DB0D02">
        <w:rPr>
          <w:rFonts w:cs="Times New Roman"/>
          <w:b/>
          <w:i w:val="0"/>
          <w:iCs w:val="0"/>
          <w:color w:val="auto"/>
          <w:sz w:val="24"/>
          <w:szCs w:val="24"/>
          <w:lang w:eastAsia="en-US"/>
        </w:rPr>
        <w:t>.</w:t>
      </w:r>
      <w:r w:rsidR="00DB0D02" w:rsidRPr="00DB0D02">
        <w:rPr>
          <w:rFonts w:cs="Times New Roman"/>
          <w:i w:val="0"/>
          <w:iCs w:val="0"/>
          <w:color w:val="auto"/>
          <w:sz w:val="24"/>
          <w:szCs w:val="24"/>
          <w:lang w:eastAsia="en-US"/>
        </w:rPr>
        <w:t xml:space="preserve"> Análisis de la Varianza (SC tipo I) y porcentaje de varianza para rendimiento de maíz suave en grano seco, evaluado en la provincia de Bolívar del 2006 al 2011.</w:t>
      </w:r>
      <w:bookmarkEnd w:id="1314"/>
    </w:p>
    <w:tbl>
      <w:tblPr>
        <w:tblW w:w="7933" w:type="dxa"/>
        <w:tblCellMar>
          <w:left w:w="70" w:type="dxa"/>
          <w:right w:w="70" w:type="dxa"/>
        </w:tblCellMar>
        <w:tblLook w:val="04A0" w:firstRow="1" w:lastRow="0" w:firstColumn="1" w:lastColumn="0" w:noHBand="0" w:noVBand="1"/>
      </w:tblPr>
      <w:tblGrid>
        <w:gridCol w:w="1838"/>
        <w:gridCol w:w="805"/>
        <w:gridCol w:w="896"/>
        <w:gridCol w:w="992"/>
        <w:gridCol w:w="993"/>
        <w:gridCol w:w="992"/>
        <w:gridCol w:w="1417"/>
      </w:tblGrid>
      <w:tr w:rsidR="007E253F" w:rsidRPr="007E253F" w14:paraId="787C7190" w14:textId="77777777" w:rsidTr="00C65C5B">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BC997"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F.V.</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4751A6F5"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SC</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227EDD92"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Gl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06F856"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CM</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E71F454"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4B7025F"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p-valor</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BE2D7C4"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Varianza %</w:t>
            </w:r>
          </w:p>
        </w:tc>
      </w:tr>
      <w:tr w:rsidR="007E253F" w:rsidRPr="007E253F" w14:paraId="6D1600C3"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91D88CA"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Modelo</w:t>
            </w:r>
          </w:p>
        </w:tc>
        <w:tc>
          <w:tcPr>
            <w:tcW w:w="805" w:type="dxa"/>
            <w:tcBorders>
              <w:top w:val="nil"/>
              <w:left w:val="nil"/>
              <w:bottom w:val="single" w:sz="4" w:space="0" w:color="auto"/>
              <w:right w:val="single" w:sz="4" w:space="0" w:color="auto"/>
            </w:tcBorders>
            <w:shd w:val="clear" w:color="auto" w:fill="auto"/>
            <w:noWrap/>
            <w:vAlign w:val="bottom"/>
            <w:hideMark/>
          </w:tcPr>
          <w:p w14:paraId="5D158160"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118,27</w:t>
            </w:r>
          </w:p>
        </w:tc>
        <w:tc>
          <w:tcPr>
            <w:tcW w:w="896" w:type="dxa"/>
            <w:tcBorders>
              <w:top w:val="nil"/>
              <w:left w:val="nil"/>
              <w:bottom w:val="single" w:sz="4" w:space="0" w:color="auto"/>
              <w:right w:val="single" w:sz="4" w:space="0" w:color="auto"/>
            </w:tcBorders>
            <w:shd w:val="clear" w:color="auto" w:fill="auto"/>
            <w:noWrap/>
            <w:vAlign w:val="bottom"/>
            <w:hideMark/>
          </w:tcPr>
          <w:p w14:paraId="1D113178"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w:t>
            </w:r>
          </w:p>
        </w:tc>
        <w:tc>
          <w:tcPr>
            <w:tcW w:w="992" w:type="dxa"/>
            <w:tcBorders>
              <w:top w:val="nil"/>
              <w:left w:val="nil"/>
              <w:bottom w:val="single" w:sz="4" w:space="0" w:color="auto"/>
              <w:right w:val="single" w:sz="4" w:space="0" w:color="auto"/>
            </w:tcBorders>
            <w:shd w:val="clear" w:color="auto" w:fill="auto"/>
            <w:noWrap/>
            <w:vAlign w:val="bottom"/>
            <w:hideMark/>
          </w:tcPr>
          <w:p w14:paraId="37A38A28"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8,45</w:t>
            </w:r>
          </w:p>
        </w:tc>
        <w:tc>
          <w:tcPr>
            <w:tcW w:w="993" w:type="dxa"/>
            <w:tcBorders>
              <w:top w:val="nil"/>
              <w:left w:val="nil"/>
              <w:bottom w:val="single" w:sz="4" w:space="0" w:color="auto"/>
              <w:right w:val="single" w:sz="4" w:space="0" w:color="auto"/>
            </w:tcBorders>
            <w:shd w:val="clear" w:color="auto" w:fill="auto"/>
            <w:noWrap/>
            <w:vAlign w:val="bottom"/>
            <w:hideMark/>
          </w:tcPr>
          <w:p w14:paraId="17F7F7E7"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9,33</w:t>
            </w:r>
          </w:p>
        </w:tc>
        <w:tc>
          <w:tcPr>
            <w:tcW w:w="992" w:type="dxa"/>
            <w:tcBorders>
              <w:top w:val="nil"/>
              <w:left w:val="nil"/>
              <w:bottom w:val="single" w:sz="4" w:space="0" w:color="auto"/>
              <w:right w:val="single" w:sz="4" w:space="0" w:color="auto"/>
            </w:tcBorders>
            <w:shd w:val="clear" w:color="auto" w:fill="auto"/>
            <w:noWrap/>
            <w:vAlign w:val="bottom"/>
            <w:hideMark/>
          </w:tcPr>
          <w:p w14:paraId="1EEE0474"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417" w:type="dxa"/>
            <w:tcBorders>
              <w:top w:val="nil"/>
              <w:left w:val="nil"/>
              <w:bottom w:val="single" w:sz="4" w:space="0" w:color="auto"/>
              <w:right w:val="single" w:sz="4" w:space="0" w:color="auto"/>
            </w:tcBorders>
            <w:shd w:val="clear" w:color="auto" w:fill="auto"/>
            <w:noWrap/>
            <w:vAlign w:val="bottom"/>
            <w:hideMark/>
          </w:tcPr>
          <w:p w14:paraId="2C2D9E1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63,52</w:t>
            </w:r>
          </w:p>
        </w:tc>
      </w:tr>
      <w:tr w:rsidR="007E253F" w:rsidRPr="007E253F" w14:paraId="448A6BEB"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0282C15"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Cantón</w:t>
            </w:r>
          </w:p>
        </w:tc>
        <w:tc>
          <w:tcPr>
            <w:tcW w:w="805" w:type="dxa"/>
            <w:tcBorders>
              <w:top w:val="nil"/>
              <w:left w:val="nil"/>
              <w:bottom w:val="single" w:sz="4" w:space="0" w:color="auto"/>
              <w:right w:val="single" w:sz="4" w:space="0" w:color="auto"/>
            </w:tcBorders>
            <w:shd w:val="clear" w:color="auto" w:fill="auto"/>
            <w:noWrap/>
            <w:vAlign w:val="bottom"/>
            <w:hideMark/>
          </w:tcPr>
          <w:p w14:paraId="202FE332"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4,47</w:t>
            </w:r>
          </w:p>
        </w:tc>
        <w:tc>
          <w:tcPr>
            <w:tcW w:w="896" w:type="dxa"/>
            <w:tcBorders>
              <w:top w:val="nil"/>
              <w:left w:val="nil"/>
              <w:bottom w:val="single" w:sz="4" w:space="0" w:color="auto"/>
              <w:right w:val="single" w:sz="4" w:space="0" w:color="auto"/>
            </w:tcBorders>
            <w:shd w:val="clear" w:color="auto" w:fill="auto"/>
            <w:noWrap/>
            <w:vAlign w:val="bottom"/>
            <w:hideMark/>
          </w:tcPr>
          <w:p w14:paraId="682BA62B"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992" w:type="dxa"/>
            <w:tcBorders>
              <w:top w:val="nil"/>
              <w:left w:val="nil"/>
              <w:bottom w:val="single" w:sz="4" w:space="0" w:color="auto"/>
              <w:right w:val="single" w:sz="4" w:space="0" w:color="auto"/>
            </w:tcBorders>
            <w:shd w:val="clear" w:color="auto" w:fill="auto"/>
            <w:noWrap/>
            <w:vAlign w:val="bottom"/>
            <w:hideMark/>
          </w:tcPr>
          <w:p w14:paraId="6D929FE7"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1,49</w:t>
            </w:r>
          </w:p>
        </w:tc>
        <w:tc>
          <w:tcPr>
            <w:tcW w:w="993" w:type="dxa"/>
            <w:tcBorders>
              <w:top w:val="nil"/>
              <w:left w:val="nil"/>
              <w:bottom w:val="single" w:sz="4" w:space="0" w:color="auto"/>
              <w:right w:val="single" w:sz="4" w:space="0" w:color="auto"/>
            </w:tcBorders>
            <w:shd w:val="clear" w:color="auto" w:fill="auto"/>
            <w:noWrap/>
            <w:vAlign w:val="bottom"/>
            <w:hideMark/>
          </w:tcPr>
          <w:p w14:paraId="2D0D4A6B"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1,65</w:t>
            </w:r>
          </w:p>
        </w:tc>
        <w:tc>
          <w:tcPr>
            <w:tcW w:w="992" w:type="dxa"/>
            <w:tcBorders>
              <w:top w:val="nil"/>
              <w:left w:val="nil"/>
              <w:bottom w:val="single" w:sz="4" w:space="0" w:color="auto"/>
              <w:right w:val="single" w:sz="4" w:space="0" w:color="auto"/>
            </w:tcBorders>
            <w:shd w:val="clear" w:color="auto" w:fill="auto"/>
            <w:noWrap/>
            <w:vAlign w:val="bottom"/>
            <w:hideMark/>
          </w:tcPr>
          <w:p w14:paraId="71ECBB1E"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0,1857</w:t>
            </w:r>
          </w:p>
        </w:tc>
        <w:tc>
          <w:tcPr>
            <w:tcW w:w="1417" w:type="dxa"/>
            <w:tcBorders>
              <w:top w:val="nil"/>
              <w:left w:val="nil"/>
              <w:bottom w:val="single" w:sz="4" w:space="0" w:color="auto"/>
              <w:right w:val="single" w:sz="4" w:space="0" w:color="auto"/>
            </w:tcBorders>
            <w:shd w:val="clear" w:color="auto" w:fill="auto"/>
            <w:noWrap/>
            <w:vAlign w:val="bottom"/>
            <w:hideMark/>
          </w:tcPr>
          <w:p w14:paraId="21D35C58"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2,40</w:t>
            </w:r>
          </w:p>
        </w:tc>
      </w:tr>
      <w:tr w:rsidR="007E253F" w:rsidRPr="007E253F" w14:paraId="55E2567F"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D5AE8F2"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w:t>
            </w:r>
          </w:p>
        </w:tc>
        <w:tc>
          <w:tcPr>
            <w:tcW w:w="805" w:type="dxa"/>
            <w:tcBorders>
              <w:top w:val="nil"/>
              <w:left w:val="nil"/>
              <w:bottom w:val="single" w:sz="4" w:space="0" w:color="auto"/>
              <w:right w:val="single" w:sz="4" w:space="0" w:color="auto"/>
            </w:tcBorders>
            <w:shd w:val="clear" w:color="auto" w:fill="auto"/>
            <w:noWrap/>
            <w:vAlign w:val="bottom"/>
            <w:hideMark/>
          </w:tcPr>
          <w:p w14:paraId="73A745D5"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77,42</w:t>
            </w:r>
          </w:p>
        </w:tc>
        <w:tc>
          <w:tcPr>
            <w:tcW w:w="896" w:type="dxa"/>
            <w:tcBorders>
              <w:top w:val="nil"/>
              <w:left w:val="nil"/>
              <w:bottom w:val="single" w:sz="4" w:space="0" w:color="auto"/>
              <w:right w:val="single" w:sz="4" w:space="0" w:color="auto"/>
            </w:tcBorders>
            <w:shd w:val="clear" w:color="auto" w:fill="auto"/>
            <w:noWrap/>
            <w:vAlign w:val="bottom"/>
            <w:hideMark/>
          </w:tcPr>
          <w:p w14:paraId="732EE5E0"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992" w:type="dxa"/>
            <w:tcBorders>
              <w:top w:val="nil"/>
              <w:left w:val="nil"/>
              <w:bottom w:val="single" w:sz="4" w:space="0" w:color="auto"/>
              <w:right w:val="single" w:sz="4" w:space="0" w:color="auto"/>
            </w:tcBorders>
            <w:shd w:val="clear" w:color="auto" w:fill="auto"/>
            <w:noWrap/>
            <w:vAlign w:val="bottom"/>
            <w:hideMark/>
          </w:tcPr>
          <w:p w14:paraId="6935B8FC"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25,81</w:t>
            </w:r>
          </w:p>
        </w:tc>
        <w:tc>
          <w:tcPr>
            <w:tcW w:w="993" w:type="dxa"/>
            <w:tcBorders>
              <w:top w:val="nil"/>
              <w:left w:val="nil"/>
              <w:bottom w:val="single" w:sz="4" w:space="0" w:color="auto"/>
              <w:right w:val="single" w:sz="4" w:space="0" w:color="auto"/>
            </w:tcBorders>
            <w:shd w:val="clear" w:color="auto" w:fill="auto"/>
            <w:noWrap/>
            <w:vAlign w:val="bottom"/>
            <w:hideMark/>
          </w:tcPr>
          <w:p w14:paraId="4D068A11"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28,5</w:t>
            </w:r>
          </w:p>
        </w:tc>
        <w:tc>
          <w:tcPr>
            <w:tcW w:w="992" w:type="dxa"/>
            <w:tcBorders>
              <w:top w:val="nil"/>
              <w:left w:val="nil"/>
              <w:bottom w:val="single" w:sz="4" w:space="0" w:color="auto"/>
              <w:right w:val="single" w:sz="4" w:space="0" w:color="auto"/>
            </w:tcBorders>
            <w:shd w:val="clear" w:color="auto" w:fill="auto"/>
            <w:noWrap/>
            <w:vAlign w:val="bottom"/>
            <w:hideMark/>
          </w:tcPr>
          <w:p w14:paraId="0EEB84F2"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417" w:type="dxa"/>
            <w:tcBorders>
              <w:top w:val="nil"/>
              <w:left w:val="nil"/>
              <w:bottom w:val="single" w:sz="4" w:space="0" w:color="auto"/>
              <w:right w:val="single" w:sz="4" w:space="0" w:color="auto"/>
            </w:tcBorders>
            <w:shd w:val="clear" w:color="auto" w:fill="auto"/>
            <w:noWrap/>
            <w:vAlign w:val="bottom"/>
            <w:hideMark/>
          </w:tcPr>
          <w:p w14:paraId="7C57F86D"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41,58</w:t>
            </w:r>
          </w:p>
        </w:tc>
      </w:tr>
      <w:tr w:rsidR="007E253F" w:rsidRPr="007E253F" w14:paraId="64809F39"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71D2B5D"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P</w:t>
            </w:r>
          </w:p>
        </w:tc>
        <w:tc>
          <w:tcPr>
            <w:tcW w:w="805" w:type="dxa"/>
            <w:tcBorders>
              <w:top w:val="nil"/>
              <w:left w:val="nil"/>
              <w:bottom w:val="single" w:sz="4" w:space="0" w:color="auto"/>
              <w:right w:val="single" w:sz="4" w:space="0" w:color="auto"/>
            </w:tcBorders>
            <w:shd w:val="clear" w:color="auto" w:fill="auto"/>
            <w:noWrap/>
            <w:vAlign w:val="bottom"/>
            <w:hideMark/>
          </w:tcPr>
          <w:p w14:paraId="651577D5"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14,84</w:t>
            </w:r>
          </w:p>
        </w:tc>
        <w:tc>
          <w:tcPr>
            <w:tcW w:w="896" w:type="dxa"/>
            <w:tcBorders>
              <w:top w:val="nil"/>
              <w:left w:val="nil"/>
              <w:bottom w:val="single" w:sz="4" w:space="0" w:color="auto"/>
              <w:right w:val="single" w:sz="4" w:space="0" w:color="auto"/>
            </w:tcBorders>
            <w:shd w:val="clear" w:color="auto" w:fill="auto"/>
            <w:noWrap/>
            <w:vAlign w:val="bottom"/>
            <w:hideMark/>
          </w:tcPr>
          <w:p w14:paraId="03A3198C"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w:t>
            </w:r>
          </w:p>
        </w:tc>
        <w:tc>
          <w:tcPr>
            <w:tcW w:w="992" w:type="dxa"/>
            <w:tcBorders>
              <w:top w:val="nil"/>
              <w:left w:val="nil"/>
              <w:bottom w:val="single" w:sz="4" w:space="0" w:color="auto"/>
              <w:right w:val="single" w:sz="4" w:space="0" w:color="auto"/>
            </w:tcBorders>
            <w:shd w:val="clear" w:color="auto" w:fill="auto"/>
            <w:noWrap/>
            <w:vAlign w:val="bottom"/>
            <w:hideMark/>
          </w:tcPr>
          <w:p w14:paraId="2317CA4E"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7,42</w:t>
            </w:r>
          </w:p>
        </w:tc>
        <w:tc>
          <w:tcPr>
            <w:tcW w:w="993" w:type="dxa"/>
            <w:tcBorders>
              <w:top w:val="nil"/>
              <w:left w:val="nil"/>
              <w:bottom w:val="single" w:sz="4" w:space="0" w:color="auto"/>
              <w:right w:val="single" w:sz="4" w:space="0" w:color="auto"/>
            </w:tcBorders>
            <w:shd w:val="clear" w:color="auto" w:fill="auto"/>
            <w:noWrap/>
            <w:vAlign w:val="bottom"/>
            <w:hideMark/>
          </w:tcPr>
          <w:p w14:paraId="62B8DFE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8,2</w:t>
            </w:r>
          </w:p>
        </w:tc>
        <w:tc>
          <w:tcPr>
            <w:tcW w:w="992" w:type="dxa"/>
            <w:tcBorders>
              <w:top w:val="nil"/>
              <w:left w:val="nil"/>
              <w:bottom w:val="single" w:sz="4" w:space="0" w:color="auto"/>
              <w:right w:val="single" w:sz="4" w:space="0" w:color="auto"/>
            </w:tcBorders>
            <w:shd w:val="clear" w:color="auto" w:fill="auto"/>
            <w:noWrap/>
            <w:vAlign w:val="bottom"/>
            <w:hideMark/>
          </w:tcPr>
          <w:p w14:paraId="6971E13A"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0,0006</w:t>
            </w:r>
          </w:p>
        </w:tc>
        <w:tc>
          <w:tcPr>
            <w:tcW w:w="1417" w:type="dxa"/>
            <w:tcBorders>
              <w:top w:val="nil"/>
              <w:left w:val="nil"/>
              <w:bottom w:val="single" w:sz="4" w:space="0" w:color="auto"/>
              <w:right w:val="single" w:sz="4" w:space="0" w:color="auto"/>
            </w:tcBorders>
            <w:shd w:val="clear" w:color="auto" w:fill="auto"/>
            <w:noWrap/>
            <w:vAlign w:val="bottom"/>
            <w:hideMark/>
          </w:tcPr>
          <w:p w14:paraId="50DA5F2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7,97</w:t>
            </w:r>
          </w:p>
        </w:tc>
      </w:tr>
      <w:tr w:rsidR="007E253F" w:rsidRPr="007E253F" w14:paraId="16582492"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56941EC"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K</w:t>
            </w:r>
          </w:p>
        </w:tc>
        <w:tc>
          <w:tcPr>
            <w:tcW w:w="805" w:type="dxa"/>
            <w:tcBorders>
              <w:top w:val="nil"/>
              <w:left w:val="nil"/>
              <w:bottom w:val="single" w:sz="4" w:space="0" w:color="auto"/>
              <w:right w:val="single" w:sz="4" w:space="0" w:color="auto"/>
            </w:tcBorders>
            <w:shd w:val="clear" w:color="auto" w:fill="auto"/>
            <w:noWrap/>
            <w:vAlign w:val="bottom"/>
            <w:hideMark/>
          </w:tcPr>
          <w:p w14:paraId="2212CA0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10,23</w:t>
            </w:r>
          </w:p>
        </w:tc>
        <w:tc>
          <w:tcPr>
            <w:tcW w:w="896" w:type="dxa"/>
            <w:tcBorders>
              <w:top w:val="nil"/>
              <w:left w:val="nil"/>
              <w:bottom w:val="single" w:sz="4" w:space="0" w:color="auto"/>
              <w:right w:val="single" w:sz="4" w:space="0" w:color="auto"/>
            </w:tcBorders>
            <w:shd w:val="clear" w:color="auto" w:fill="auto"/>
            <w:noWrap/>
            <w:vAlign w:val="bottom"/>
            <w:hideMark/>
          </w:tcPr>
          <w:p w14:paraId="45DC8F4F"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992" w:type="dxa"/>
            <w:tcBorders>
              <w:top w:val="nil"/>
              <w:left w:val="nil"/>
              <w:bottom w:val="single" w:sz="4" w:space="0" w:color="auto"/>
              <w:right w:val="single" w:sz="4" w:space="0" w:color="auto"/>
            </w:tcBorders>
            <w:shd w:val="clear" w:color="auto" w:fill="auto"/>
            <w:noWrap/>
            <w:vAlign w:val="bottom"/>
            <w:hideMark/>
          </w:tcPr>
          <w:p w14:paraId="3972A8B6"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3,41</w:t>
            </w:r>
          </w:p>
        </w:tc>
        <w:tc>
          <w:tcPr>
            <w:tcW w:w="993" w:type="dxa"/>
            <w:tcBorders>
              <w:top w:val="nil"/>
              <w:left w:val="nil"/>
              <w:bottom w:val="single" w:sz="4" w:space="0" w:color="auto"/>
              <w:right w:val="single" w:sz="4" w:space="0" w:color="auto"/>
            </w:tcBorders>
            <w:shd w:val="clear" w:color="auto" w:fill="auto"/>
            <w:noWrap/>
            <w:vAlign w:val="bottom"/>
            <w:hideMark/>
          </w:tcPr>
          <w:p w14:paraId="7EBF0DE1"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3,77</w:t>
            </w:r>
          </w:p>
        </w:tc>
        <w:tc>
          <w:tcPr>
            <w:tcW w:w="992" w:type="dxa"/>
            <w:tcBorders>
              <w:top w:val="nil"/>
              <w:left w:val="nil"/>
              <w:bottom w:val="single" w:sz="4" w:space="0" w:color="auto"/>
              <w:right w:val="single" w:sz="4" w:space="0" w:color="auto"/>
            </w:tcBorders>
            <w:shd w:val="clear" w:color="auto" w:fill="auto"/>
            <w:noWrap/>
            <w:vAlign w:val="bottom"/>
            <w:hideMark/>
          </w:tcPr>
          <w:p w14:paraId="028460AF"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0,0142</w:t>
            </w:r>
          </w:p>
        </w:tc>
        <w:tc>
          <w:tcPr>
            <w:tcW w:w="1417" w:type="dxa"/>
            <w:tcBorders>
              <w:top w:val="nil"/>
              <w:left w:val="nil"/>
              <w:bottom w:val="single" w:sz="4" w:space="0" w:color="auto"/>
              <w:right w:val="single" w:sz="4" w:space="0" w:color="auto"/>
            </w:tcBorders>
            <w:shd w:val="clear" w:color="auto" w:fill="auto"/>
            <w:noWrap/>
            <w:vAlign w:val="bottom"/>
            <w:hideMark/>
          </w:tcPr>
          <w:p w14:paraId="2B7DDB70"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5,49</w:t>
            </w:r>
          </w:p>
        </w:tc>
      </w:tr>
      <w:tr w:rsidR="007E253F" w:rsidRPr="007E253F" w14:paraId="033FE6D9"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E7FA717"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S</w:t>
            </w:r>
          </w:p>
        </w:tc>
        <w:tc>
          <w:tcPr>
            <w:tcW w:w="805" w:type="dxa"/>
            <w:tcBorders>
              <w:top w:val="nil"/>
              <w:left w:val="nil"/>
              <w:bottom w:val="single" w:sz="4" w:space="0" w:color="auto"/>
              <w:right w:val="single" w:sz="4" w:space="0" w:color="auto"/>
            </w:tcBorders>
            <w:shd w:val="clear" w:color="auto" w:fill="auto"/>
            <w:noWrap/>
            <w:vAlign w:val="bottom"/>
            <w:hideMark/>
          </w:tcPr>
          <w:p w14:paraId="123A0416"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1,12</w:t>
            </w:r>
          </w:p>
        </w:tc>
        <w:tc>
          <w:tcPr>
            <w:tcW w:w="896" w:type="dxa"/>
            <w:tcBorders>
              <w:top w:val="nil"/>
              <w:left w:val="nil"/>
              <w:bottom w:val="single" w:sz="4" w:space="0" w:color="auto"/>
              <w:right w:val="single" w:sz="4" w:space="0" w:color="auto"/>
            </w:tcBorders>
            <w:shd w:val="clear" w:color="auto" w:fill="auto"/>
            <w:noWrap/>
            <w:vAlign w:val="bottom"/>
            <w:hideMark/>
          </w:tcPr>
          <w:p w14:paraId="56BB7497"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992" w:type="dxa"/>
            <w:tcBorders>
              <w:top w:val="nil"/>
              <w:left w:val="nil"/>
              <w:bottom w:val="single" w:sz="4" w:space="0" w:color="auto"/>
              <w:right w:val="single" w:sz="4" w:space="0" w:color="auto"/>
            </w:tcBorders>
            <w:shd w:val="clear" w:color="auto" w:fill="auto"/>
            <w:noWrap/>
            <w:vAlign w:val="bottom"/>
            <w:hideMark/>
          </w:tcPr>
          <w:p w14:paraId="7074B25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1,12</w:t>
            </w:r>
          </w:p>
        </w:tc>
        <w:tc>
          <w:tcPr>
            <w:tcW w:w="993" w:type="dxa"/>
            <w:tcBorders>
              <w:top w:val="nil"/>
              <w:left w:val="nil"/>
              <w:bottom w:val="single" w:sz="4" w:space="0" w:color="auto"/>
              <w:right w:val="single" w:sz="4" w:space="0" w:color="auto"/>
            </w:tcBorders>
            <w:shd w:val="clear" w:color="auto" w:fill="auto"/>
            <w:noWrap/>
            <w:vAlign w:val="bottom"/>
            <w:hideMark/>
          </w:tcPr>
          <w:p w14:paraId="47EA0274"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1,24</w:t>
            </w:r>
          </w:p>
        </w:tc>
        <w:tc>
          <w:tcPr>
            <w:tcW w:w="992" w:type="dxa"/>
            <w:tcBorders>
              <w:top w:val="nil"/>
              <w:left w:val="nil"/>
              <w:bottom w:val="single" w:sz="4" w:space="0" w:color="auto"/>
              <w:right w:val="single" w:sz="4" w:space="0" w:color="auto"/>
            </w:tcBorders>
            <w:shd w:val="clear" w:color="auto" w:fill="auto"/>
            <w:noWrap/>
            <w:vAlign w:val="bottom"/>
            <w:hideMark/>
          </w:tcPr>
          <w:p w14:paraId="776CEFFB"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0,2688</w:t>
            </w:r>
          </w:p>
        </w:tc>
        <w:tc>
          <w:tcPr>
            <w:tcW w:w="1417" w:type="dxa"/>
            <w:tcBorders>
              <w:top w:val="nil"/>
              <w:left w:val="nil"/>
              <w:bottom w:val="single" w:sz="4" w:space="0" w:color="auto"/>
              <w:right w:val="single" w:sz="4" w:space="0" w:color="auto"/>
            </w:tcBorders>
            <w:shd w:val="clear" w:color="auto" w:fill="auto"/>
            <w:noWrap/>
            <w:vAlign w:val="bottom"/>
            <w:hideMark/>
          </w:tcPr>
          <w:p w14:paraId="293F7A34"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0,60</w:t>
            </w:r>
          </w:p>
        </w:tc>
      </w:tr>
      <w:tr w:rsidR="007E253F" w:rsidRPr="007E253F" w14:paraId="0329A72C"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587D106"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Mg</w:t>
            </w:r>
          </w:p>
        </w:tc>
        <w:tc>
          <w:tcPr>
            <w:tcW w:w="805" w:type="dxa"/>
            <w:tcBorders>
              <w:top w:val="nil"/>
              <w:left w:val="nil"/>
              <w:bottom w:val="single" w:sz="4" w:space="0" w:color="auto"/>
              <w:right w:val="single" w:sz="4" w:space="0" w:color="auto"/>
            </w:tcBorders>
            <w:shd w:val="clear" w:color="auto" w:fill="auto"/>
            <w:noWrap/>
            <w:vAlign w:val="bottom"/>
            <w:hideMark/>
          </w:tcPr>
          <w:p w14:paraId="066AA3E2"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1,23</w:t>
            </w:r>
          </w:p>
        </w:tc>
        <w:tc>
          <w:tcPr>
            <w:tcW w:w="896" w:type="dxa"/>
            <w:tcBorders>
              <w:top w:val="nil"/>
              <w:left w:val="nil"/>
              <w:bottom w:val="single" w:sz="4" w:space="0" w:color="auto"/>
              <w:right w:val="single" w:sz="4" w:space="0" w:color="auto"/>
            </w:tcBorders>
            <w:shd w:val="clear" w:color="auto" w:fill="auto"/>
            <w:noWrap/>
            <w:vAlign w:val="bottom"/>
            <w:hideMark/>
          </w:tcPr>
          <w:p w14:paraId="441DD145"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992" w:type="dxa"/>
            <w:tcBorders>
              <w:top w:val="nil"/>
              <w:left w:val="nil"/>
              <w:bottom w:val="single" w:sz="4" w:space="0" w:color="auto"/>
              <w:right w:val="single" w:sz="4" w:space="0" w:color="auto"/>
            </w:tcBorders>
            <w:shd w:val="clear" w:color="auto" w:fill="auto"/>
            <w:noWrap/>
            <w:vAlign w:val="bottom"/>
            <w:hideMark/>
          </w:tcPr>
          <w:p w14:paraId="46F21870"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1,23</w:t>
            </w:r>
          </w:p>
        </w:tc>
        <w:tc>
          <w:tcPr>
            <w:tcW w:w="993" w:type="dxa"/>
            <w:tcBorders>
              <w:top w:val="nil"/>
              <w:left w:val="nil"/>
              <w:bottom w:val="single" w:sz="4" w:space="0" w:color="auto"/>
              <w:right w:val="single" w:sz="4" w:space="0" w:color="auto"/>
            </w:tcBorders>
            <w:shd w:val="clear" w:color="auto" w:fill="auto"/>
            <w:noWrap/>
            <w:vAlign w:val="bottom"/>
            <w:hideMark/>
          </w:tcPr>
          <w:p w14:paraId="50A04865"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1,35</w:t>
            </w:r>
          </w:p>
        </w:tc>
        <w:tc>
          <w:tcPr>
            <w:tcW w:w="992" w:type="dxa"/>
            <w:tcBorders>
              <w:top w:val="nil"/>
              <w:left w:val="nil"/>
              <w:bottom w:val="single" w:sz="4" w:space="0" w:color="auto"/>
              <w:right w:val="single" w:sz="4" w:space="0" w:color="auto"/>
            </w:tcBorders>
            <w:shd w:val="clear" w:color="auto" w:fill="auto"/>
            <w:noWrap/>
            <w:vAlign w:val="bottom"/>
            <w:hideMark/>
          </w:tcPr>
          <w:p w14:paraId="30061E0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0,2483</w:t>
            </w:r>
          </w:p>
        </w:tc>
        <w:tc>
          <w:tcPr>
            <w:tcW w:w="1417" w:type="dxa"/>
            <w:tcBorders>
              <w:top w:val="nil"/>
              <w:left w:val="nil"/>
              <w:bottom w:val="single" w:sz="4" w:space="0" w:color="auto"/>
              <w:right w:val="single" w:sz="4" w:space="0" w:color="auto"/>
            </w:tcBorders>
            <w:shd w:val="clear" w:color="auto" w:fill="auto"/>
            <w:noWrap/>
            <w:vAlign w:val="bottom"/>
            <w:hideMark/>
          </w:tcPr>
          <w:p w14:paraId="75BA3254"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0,66</w:t>
            </w:r>
          </w:p>
        </w:tc>
      </w:tr>
      <w:tr w:rsidR="007E253F" w:rsidRPr="007E253F" w14:paraId="2B4FB7DB"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FFEF0C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N*Dosis P</w:t>
            </w:r>
          </w:p>
        </w:tc>
        <w:tc>
          <w:tcPr>
            <w:tcW w:w="805" w:type="dxa"/>
            <w:tcBorders>
              <w:top w:val="nil"/>
              <w:left w:val="nil"/>
              <w:bottom w:val="single" w:sz="4" w:space="0" w:color="auto"/>
              <w:right w:val="single" w:sz="4" w:space="0" w:color="auto"/>
            </w:tcBorders>
            <w:shd w:val="clear" w:color="auto" w:fill="auto"/>
            <w:noWrap/>
            <w:vAlign w:val="bottom"/>
            <w:hideMark/>
          </w:tcPr>
          <w:p w14:paraId="2267685F"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8,96</w:t>
            </w:r>
          </w:p>
        </w:tc>
        <w:tc>
          <w:tcPr>
            <w:tcW w:w="896" w:type="dxa"/>
            <w:tcBorders>
              <w:top w:val="nil"/>
              <w:left w:val="nil"/>
              <w:bottom w:val="single" w:sz="4" w:space="0" w:color="auto"/>
              <w:right w:val="single" w:sz="4" w:space="0" w:color="auto"/>
            </w:tcBorders>
            <w:shd w:val="clear" w:color="auto" w:fill="auto"/>
            <w:noWrap/>
            <w:vAlign w:val="bottom"/>
            <w:hideMark/>
          </w:tcPr>
          <w:p w14:paraId="741BD4E8"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992" w:type="dxa"/>
            <w:tcBorders>
              <w:top w:val="nil"/>
              <w:left w:val="nil"/>
              <w:bottom w:val="single" w:sz="4" w:space="0" w:color="auto"/>
              <w:right w:val="single" w:sz="4" w:space="0" w:color="auto"/>
            </w:tcBorders>
            <w:shd w:val="clear" w:color="auto" w:fill="auto"/>
            <w:noWrap/>
            <w:vAlign w:val="bottom"/>
            <w:hideMark/>
          </w:tcPr>
          <w:p w14:paraId="6AC3C4A9"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8,96</w:t>
            </w:r>
          </w:p>
        </w:tc>
        <w:tc>
          <w:tcPr>
            <w:tcW w:w="993" w:type="dxa"/>
            <w:tcBorders>
              <w:top w:val="nil"/>
              <w:left w:val="nil"/>
              <w:bottom w:val="single" w:sz="4" w:space="0" w:color="auto"/>
              <w:right w:val="single" w:sz="4" w:space="0" w:color="auto"/>
            </w:tcBorders>
            <w:shd w:val="clear" w:color="auto" w:fill="auto"/>
            <w:noWrap/>
            <w:vAlign w:val="bottom"/>
            <w:hideMark/>
          </w:tcPr>
          <w:p w14:paraId="735C7550"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9,9</w:t>
            </w:r>
          </w:p>
        </w:tc>
        <w:tc>
          <w:tcPr>
            <w:tcW w:w="992" w:type="dxa"/>
            <w:tcBorders>
              <w:top w:val="nil"/>
              <w:left w:val="nil"/>
              <w:bottom w:val="single" w:sz="4" w:space="0" w:color="auto"/>
              <w:right w:val="single" w:sz="4" w:space="0" w:color="auto"/>
            </w:tcBorders>
            <w:shd w:val="clear" w:color="auto" w:fill="auto"/>
            <w:noWrap/>
            <w:vAlign w:val="bottom"/>
            <w:hideMark/>
          </w:tcPr>
          <w:p w14:paraId="3D0D69CF"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0,0024</w:t>
            </w:r>
          </w:p>
        </w:tc>
        <w:tc>
          <w:tcPr>
            <w:tcW w:w="1417" w:type="dxa"/>
            <w:tcBorders>
              <w:top w:val="nil"/>
              <w:left w:val="nil"/>
              <w:bottom w:val="single" w:sz="4" w:space="0" w:color="auto"/>
              <w:right w:val="single" w:sz="4" w:space="0" w:color="auto"/>
            </w:tcBorders>
            <w:shd w:val="clear" w:color="auto" w:fill="auto"/>
            <w:noWrap/>
            <w:vAlign w:val="bottom"/>
            <w:hideMark/>
          </w:tcPr>
          <w:p w14:paraId="46A10BD5"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4,81</w:t>
            </w:r>
          </w:p>
        </w:tc>
      </w:tr>
      <w:tr w:rsidR="007E253F" w:rsidRPr="007E253F" w14:paraId="445C4F14"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C4D1F5B"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Error</w:t>
            </w:r>
          </w:p>
        </w:tc>
        <w:tc>
          <w:tcPr>
            <w:tcW w:w="805" w:type="dxa"/>
            <w:tcBorders>
              <w:top w:val="nil"/>
              <w:left w:val="nil"/>
              <w:bottom w:val="single" w:sz="4" w:space="0" w:color="auto"/>
              <w:right w:val="single" w:sz="4" w:space="0" w:color="auto"/>
            </w:tcBorders>
            <w:shd w:val="clear" w:color="auto" w:fill="auto"/>
            <w:noWrap/>
            <w:vAlign w:val="bottom"/>
            <w:hideMark/>
          </w:tcPr>
          <w:p w14:paraId="25B8B4E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67,91</w:t>
            </w:r>
          </w:p>
        </w:tc>
        <w:tc>
          <w:tcPr>
            <w:tcW w:w="896" w:type="dxa"/>
            <w:tcBorders>
              <w:top w:val="nil"/>
              <w:left w:val="nil"/>
              <w:bottom w:val="single" w:sz="4" w:space="0" w:color="auto"/>
              <w:right w:val="single" w:sz="4" w:space="0" w:color="auto"/>
            </w:tcBorders>
            <w:shd w:val="clear" w:color="auto" w:fill="auto"/>
            <w:noWrap/>
            <w:vAlign w:val="bottom"/>
            <w:hideMark/>
          </w:tcPr>
          <w:p w14:paraId="3A001F3D"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75</w:t>
            </w:r>
          </w:p>
        </w:tc>
        <w:tc>
          <w:tcPr>
            <w:tcW w:w="992" w:type="dxa"/>
            <w:tcBorders>
              <w:top w:val="nil"/>
              <w:left w:val="nil"/>
              <w:bottom w:val="single" w:sz="4" w:space="0" w:color="auto"/>
              <w:right w:val="single" w:sz="4" w:space="0" w:color="auto"/>
            </w:tcBorders>
            <w:shd w:val="clear" w:color="auto" w:fill="auto"/>
            <w:noWrap/>
            <w:vAlign w:val="bottom"/>
            <w:hideMark/>
          </w:tcPr>
          <w:p w14:paraId="31BB3889"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0,91</w:t>
            </w:r>
          </w:p>
        </w:tc>
        <w:tc>
          <w:tcPr>
            <w:tcW w:w="993" w:type="dxa"/>
            <w:tcBorders>
              <w:top w:val="nil"/>
              <w:left w:val="nil"/>
              <w:bottom w:val="single" w:sz="4" w:space="0" w:color="auto"/>
              <w:right w:val="single" w:sz="4" w:space="0" w:color="auto"/>
            </w:tcBorders>
            <w:shd w:val="clear" w:color="auto" w:fill="auto"/>
            <w:noWrap/>
            <w:vAlign w:val="bottom"/>
            <w:hideMark/>
          </w:tcPr>
          <w:p w14:paraId="76749D48" w14:textId="77777777" w:rsidR="007E253F" w:rsidRPr="007E253F" w:rsidRDefault="007E253F" w:rsidP="006C3F2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72C2D83A" w14:textId="77777777" w:rsidR="007E253F" w:rsidRPr="007E253F" w:rsidRDefault="007E253F" w:rsidP="006C3F27">
            <w:pPr>
              <w:spacing w:after="0" w:line="240" w:lineRule="auto"/>
              <w:jc w:val="center"/>
              <w:rPr>
                <w:rFonts w:eastAsia="Times New Roman" w:cs="Times New Roman"/>
                <w:color w:val="000000"/>
                <w:szCs w:val="24"/>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14:paraId="37EE19B0"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36,48</w:t>
            </w:r>
          </w:p>
        </w:tc>
      </w:tr>
      <w:tr w:rsidR="007E253F" w:rsidRPr="007E253F" w14:paraId="2C32CEC5" w14:textId="77777777" w:rsidTr="00C65C5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452797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Total</w:t>
            </w:r>
          </w:p>
        </w:tc>
        <w:tc>
          <w:tcPr>
            <w:tcW w:w="805" w:type="dxa"/>
            <w:tcBorders>
              <w:top w:val="nil"/>
              <w:left w:val="nil"/>
              <w:bottom w:val="single" w:sz="4" w:space="0" w:color="auto"/>
              <w:right w:val="single" w:sz="4" w:space="0" w:color="auto"/>
            </w:tcBorders>
            <w:shd w:val="clear" w:color="auto" w:fill="auto"/>
            <w:noWrap/>
            <w:vAlign w:val="bottom"/>
            <w:hideMark/>
          </w:tcPr>
          <w:p w14:paraId="0B09F9B0"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186,18</w:t>
            </w:r>
          </w:p>
        </w:tc>
        <w:tc>
          <w:tcPr>
            <w:tcW w:w="896" w:type="dxa"/>
            <w:tcBorders>
              <w:top w:val="nil"/>
              <w:left w:val="nil"/>
              <w:bottom w:val="single" w:sz="4" w:space="0" w:color="auto"/>
              <w:right w:val="single" w:sz="4" w:space="0" w:color="auto"/>
            </w:tcBorders>
            <w:shd w:val="clear" w:color="auto" w:fill="auto"/>
            <w:noWrap/>
            <w:vAlign w:val="bottom"/>
            <w:hideMark/>
          </w:tcPr>
          <w:p w14:paraId="18BC7E4D"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w:t>
            </w:r>
          </w:p>
        </w:tc>
        <w:tc>
          <w:tcPr>
            <w:tcW w:w="992" w:type="dxa"/>
            <w:tcBorders>
              <w:top w:val="nil"/>
              <w:left w:val="nil"/>
              <w:bottom w:val="single" w:sz="4" w:space="0" w:color="auto"/>
              <w:right w:val="single" w:sz="4" w:space="0" w:color="auto"/>
            </w:tcBorders>
            <w:shd w:val="clear" w:color="auto" w:fill="auto"/>
            <w:noWrap/>
            <w:vAlign w:val="bottom"/>
            <w:hideMark/>
          </w:tcPr>
          <w:p w14:paraId="12460DA4" w14:textId="77777777" w:rsidR="007E253F" w:rsidRPr="007E253F" w:rsidRDefault="007E253F" w:rsidP="006C3F27">
            <w:pPr>
              <w:spacing w:after="0" w:line="240" w:lineRule="auto"/>
              <w:jc w:val="center"/>
              <w:rPr>
                <w:rFonts w:eastAsia="Times New Roman" w:cs="Times New Roman"/>
                <w:color w:val="000000"/>
                <w:szCs w:val="24"/>
                <w:lang w:eastAsia="es-EC"/>
              </w:rPr>
            </w:pPr>
          </w:p>
        </w:tc>
        <w:tc>
          <w:tcPr>
            <w:tcW w:w="993" w:type="dxa"/>
            <w:tcBorders>
              <w:top w:val="nil"/>
              <w:left w:val="nil"/>
              <w:bottom w:val="single" w:sz="4" w:space="0" w:color="auto"/>
              <w:right w:val="single" w:sz="4" w:space="0" w:color="auto"/>
            </w:tcBorders>
            <w:shd w:val="clear" w:color="auto" w:fill="auto"/>
            <w:noWrap/>
            <w:vAlign w:val="bottom"/>
            <w:hideMark/>
          </w:tcPr>
          <w:p w14:paraId="248612DD" w14:textId="77777777" w:rsidR="007E253F" w:rsidRPr="007E253F" w:rsidRDefault="007E253F" w:rsidP="006C3F2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468E6A4C" w14:textId="77777777" w:rsidR="007E253F" w:rsidRPr="007E253F" w:rsidRDefault="007E253F" w:rsidP="006C3F27">
            <w:pPr>
              <w:spacing w:after="0" w:line="240" w:lineRule="auto"/>
              <w:jc w:val="center"/>
              <w:rPr>
                <w:rFonts w:eastAsia="Times New Roman" w:cs="Times New Roman"/>
                <w:color w:val="000000"/>
                <w:szCs w:val="24"/>
                <w:lang w:eastAsia="es-EC"/>
              </w:rPr>
            </w:pPr>
          </w:p>
        </w:tc>
        <w:tc>
          <w:tcPr>
            <w:tcW w:w="1417" w:type="dxa"/>
            <w:tcBorders>
              <w:top w:val="nil"/>
              <w:left w:val="nil"/>
              <w:bottom w:val="single" w:sz="4" w:space="0" w:color="auto"/>
              <w:right w:val="single" w:sz="4" w:space="0" w:color="auto"/>
            </w:tcBorders>
            <w:shd w:val="clear" w:color="auto" w:fill="auto"/>
            <w:noWrap/>
            <w:vAlign w:val="bottom"/>
            <w:hideMark/>
          </w:tcPr>
          <w:p w14:paraId="6090C06C" w14:textId="77777777" w:rsidR="007E253F" w:rsidRPr="007E253F" w:rsidRDefault="007E253F" w:rsidP="006C3F27">
            <w:pPr>
              <w:spacing w:after="0" w:line="240" w:lineRule="auto"/>
              <w:jc w:val="center"/>
              <w:rPr>
                <w:rFonts w:eastAsia="Times New Roman" w:cs="Times New Roman"/>
                <w:color w:val="000000"/>
                <w:szCs w:val="24"/>
                <w:lang w:eastAsia="es-EC"/>
              </w:rPr>
            </w:pPr>
          </w:p>
        </w:tc>
      </w:tr>
    </w:tbl>
    <w:p w14:paraId="343325BF" w14:textId="33804CCE" w:rsidR="007E253F" w:rsidRPr="007E253F" w:rsidRDefault="007E253F" w:rsidP="006C3F27">
      <w:pPr>
        <w:autoSpaceDE w:val="0"/>
        <w:autoSpaceDN w:val="0"/>
        <w:adjustRightInd w:val="0"/>
        <w:spacing w:before="360" w:after="360" w:line="360" w:lineRule="auto"/>
        <w:rPr>
          <w:rFonts w:cs="Times New Roman"/>
          <w:bCs/>
          <w:szCs w:val="24"/>
        </w:rPr>
      </w:pPr>
      <w:r w:rsidRPr="007E253F">
        <w:rPr>
          <w:rFonts w:cs="Times New Roman"/>
          <w:bCs/>
          <w:szCs w:val="24"/>
        </w:rPr>
        <w:t>El modelo estadístico establecido explicó el 63,52% de la variación observada en los datos; siendo nitrógeno el nutriente más importante que explicó el 41,58% de la variación observada. El fósforo y el potasio explicaron el 7,97% y 5,49% del rendimiento, respectivamente. Un 36,48% de la variación se les atribuyó a efectos aleatorios que el modelo no pudo explicar (error). El resto de nutrientes y la interacción explicaron menos del 5% del rendimiento (</w:t>
      </w:r>
      <w:r w:rsidR="00912B23">
        <w:rPr>
          <w:rFonts w:cs="Times New Roman"/>
          <w:bCs/>
          <w:szCs w:val="24"/>
        </w:rPr>
        <w:t>Cuadro</w:t>
      </w:r>
      <w:r w:rsidRPr="007E253F">
        <w:rPr>
          <w:rFonts w:cs="Times New Roman"/>
          <w:bCs/>
          <w:szCs w:val="24"/>
        </w:rPr>
        <w:t xml:space="preserve"> 15).  </w:t>
      </w:r>
    </w:p>
    <w:p w14:paraId="7F191F74" w14:textId="0CCF33D6" w:rsidR="00DB0D02" w:rsidRDefault="007E253F" w:rsidP="00DB0D02">
      <w:pPr>
        <w:autoSpaceDE w:val="0"/>
        <w:autoSpaceDN w:val="0"/>
        <w:adjustRightInd w:val="0"/>
        <w:spacing w:after="0" w:line="360" w:lineRule="auto"/>
        <w:rPr>
          <w:rFonts w:cs="Times New Roman"/>
          <w:bCs/>
          <w:szCs w:val="24"/>
        </w:rPr>
      </w:pPr>
      <w:r w:rsidRPr="007E253F">
        <w:rPr>
          <w:rFonts w:cs="Times New Roman"/>
          <w:bCs/>
          <w:szCs w:val="24"/>
        </w:rPr>
        <w:t>En l</w:t>
      </w:r>
      <w:r w:rsidR="00912B23">
        <w:rPr>
          <w:rFonts w:cs="Times New Roman"/>
          <w:bCs/>
          <w:szCs w:val="24"/>
        </w:rPr>
        <w:t>o</w:t>
      </w:r>
      <w:r w:rsidRPr="007E253F">
        <w:rPr>
          <w:rFonts w:cs="Times New Roman"/>
          <w:bCs/>
          <w:szCs w:val="24"/>
        </w:rPr>
        <w:t xml:space="preserve">s </w:t>
      </w:r>
      <w:r w:rsidR="005A6120">
        <w:rPr>
          <w:rFonts w:cs="Times New Roman"/>
          <w:bCs/>
          <w:szCs w:val="24"/>
        </w:rPr>
        <w:t>c</w:t>
      </w:r>
      <w:r w:rsidRPr="007E253F">
        <w:rPr>
          <w:rFonts w:cs="Times New Roman"/>
          <w:bCs/>
          <w:szCs w:val="24"/>
        </w:rPr>
        <w:t xml:space="preserve">uadros 17, 18, 19, 20, 21 y 22 se presentan los promedios y el error estándar de rendimiento por efecto de las localidades (cantón) y los niveles de nitrógeno, fósforo, potasio, azufre, magnesio con su respectiva prueba de Lsd Fisher (alfa=0,05).  </w:t>
      </w:r>
      <w:bookmarkStart w:id="1315" w:name="_Toc72703988"/>
      <w:bookmarkStart w:id="1316" w:name="_Toc72704512"/>
      <w:bookmarkStart w:id="1317" w:name="_Toc72705576"/>
      <w:bookmarkStart w:id="1318" w:name="_Toc72706215"/>
      <w:bookmarkStart w:id="1319" w:name="_Toc72741165"/>
      <w:bookmarkStart w:id="1320" w:name="_Toc72741963"/>
      <w:bookmarkStart w:id="1321" w:name="_Toc72881135"/>
      <w:bookmarkStart w:id="1322" w:name="_Toc72882588"/>
      <w:bookmarkStart w:id="1323" w:name="_Toc75606380"/>
      <w:bookmarkStart w:id="1324" w:name="_Toc75612705"/>
      <w:bookmarkStart w:id="1325" w:name="_Toc75679860"/>
      <w:bookmarkStart w:id="1326" w:name="_Toc75702102"/>
      <w:bookmarkStart w:id="1327" w:name="_Toc75702468"/>
    </w:p>
    <w:p w14:paraId="06537E35" w14:textId="68B5411E" w:rsidR="00DB0D02" w:rsidRPr="006C3F27" w:rsidRDefault="00DB0D02" w:rsidP="006C3F27">
      <w:pPr>
        <w:pStyle w:val="Sinespaciado"/>
        <w:spacing w:before="360" w:after="120"/>
        <w:jc w:val="both"/>
        <w:rPr>
          <w:rFonts w:ascii="Times New Roman" w:hAnsi="Times New Roman" w:cs="Times New Roman"/>
          <w:sz w:val="24"/>
          <w:szCs w:val="24"/>
        </w:rPr>
      </w:pPr>
      <w:bookmarkStart w:id="1328" w:name="_Toc79314009"/>
      <w:bookmarkEnd w:id="1315"/>
      <w:bookmarkEnd w:id="1316"/>
      <w:bookmarkEnd w:id="1317"/>
      <w:bookmarkEnd w:id="1318"/>
      <w:bookmarkEnd w:id="1319"/>
      <w:bookmarkEnd w:id="1320"/>
      <w:bookmarkEnd w:id="1321"/>
      <w:bookmarkEnd w:id="1322"/>
      <w:bookmarkEnd w:id="1323"/>
      <w:bookmarkEnd w:id="1324"/>
      <w:bookmarkEnd w:id="1325"/>
      <w:bookmarkEnd w:id="1326"/>
      <w:bookmarkEnd w:id="1327"/>
      <w:r w:rsidRPr="006C3F27">
        <w:rPr>
          <w:rFonts w:ascii="Times New Roman" w:hAnsi="Times New Roman" w:cs="Times New Roman"/>
          <w:b/>
          <w:sz w:val="24"/>
          <w:szCs w:val="24"/>
        </w:rPr>
        <w:t xml:space="preserve">Cuadro </w:t>
      </w:r>
      <w:r w:rsidRPr="006C3F27">
        <w:rPr>
          <w:rFonts w:ascii="Times New Roman" w:hAnsi="Times New Roman" w:cs="Times New Roman"/>
          <w:b/>
          <w:i/>
          <w:iCs/>
          <w:sz w:val="24"/>
          <w:szCs w:val="24"/>
        </w:rPr>
        <w:fldChar w:fldCharType="begin"/>
      </w:r>
      <w:r w:rsidRPr="006C3F27">
        <w:rPr>
          <w:rFonts w:ascii="Times New Roman" w:hAnsi="Times New Roman" w:cs="Times New Roman"/>
          <w:b/>
          <w:sz w:val="24"/>
          <w:szCs w:val="24"/>
        </w:rPr>
        <w:instrText xml:space="preserve"> SEQ Cuadro \* ARABIC </w:instrText>
      </w:r>
      <w:r w:rsidRPr="006C3F27">
        <w:rPr>
          <w:rFonts w:ascii="Times New Roman" w:hAnsi="Times New Roman" w:cs="Times New Roman"/>
          <w:b/>
          <w:i/>
          <w:iCs/>
          <w:sz w:val="24"/>
          <w:szCs w:val="24"/>
        </w:rPr>
        <w:fldChar w:fldCharType="separate"/>
      </w:r>
      <w:r w:rsidR="000D1F55">
        <w:rPr>
          <w:rFonts w:ascii="Times New Roman" w:hAnsi="Times New Roman" w:cs="Times New Roman"/>
          <w:b/>
          <w:noProof/>
          <w:sz w:val="24"/>
          <w:szCs w:val="24"/>
        </w:rPr>
        <w:t>17</w:t>
      </w:r>
      <w:r w:rsidRPr="006C3F27">
        <w:rPr>
          <w:rFonts w:ascii="Times New Roman" w:hAnsi="Times New Roman" w:cs="Times New Roman"/>
          <w:b/>
          <w:i/>
          <w:iCs/>
          <w:sz w:val="24"/>
          <w:szCs w:val="24"/>
        </w:rPr>
        <w:fldChar w:fldCharType="end"/>
      </w:r>
      <w:r w:rsidRPr="006C3F27">
        <w:rPr>
          <w:rFonts w:ascii="Times New Roman" w:hAnsi="Times New Roman" w:cs="Times New Roman"/>
          <w:b/>
          <w:sz w:val="24"/>
          <w:szCs w:val="24"/>
        </w:rPr>
        <w:t>.</w:t>
      </w:r>
      <w:r w:rsidRPr="006C3F27">
        <w:rPr>
          <w:rFonts w:ascii="Times New Roman" w:hAnsi="Times New Roman" w:cs="Times New Roman"/>
          <w:sz w:val="24"/>
          <w:szCs w:val="24"/>
        </w:rPr>
        <w:t xml:space="preserve"> Rendimiento de maíz suave en grano seco, evaluado por cantones en la provincia de Bolívar del 2006 al 2011.</w:t>
      </w:r>
      <w:bookmarkEnd w:id="1328"/>
    </w:p>
    <w:tbl>
      <w:tblPr>
        <w:tblW w:w="5380" w:type="dxa"/>
        <w:jc w:val="center"/>
        <w:tblCellMar>
          <w:left w:w="70" w:type="dxa"/>
          <w:right w:w="70" w:type="dxa"/>
        </w:tblCellMar>
        <w:tblLook w:val="04A0" w:firstRow="1" w:lastRow="0" w:firstColumn="1" w:lastColumn="0" w:noHBand="0" w:noVBand="1"/>
      </w:tblPr>
      <w:tblGrid>
        <w:gridCol w:w="1780"/>
        <w:gridCol w:w="1200"/>
        <w:gridCol w:w="701"/>
        <w:gridCol w:w="1699"/>
      </w:tblGrid>
      <w:tr w:rsidR="007E253F" w:rsidRPr="007E253F" w14:paraId="69EB25ED" w14:textId="77777777" w:rsidTr="006C3F27">
        <w:trPr>
          <w:trHeight w:val="265"/>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DCCFF"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Cantón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3AE2AFB"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1BB39895"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699" w:type="dxa"/>
            <w:tcBorders>
              <w:top w:val="single" w:sz="4" w:space="0" w:color="auto"/>
              <w:left w:val="nil"/>
              <w:bottom w:val="single" w:sz="4" w:space="0" w:color="auto"/>
              <w:right w:val="single" w:sz="4" w:space="0" w:color="auto"/>
            </w:tcBorders>
            <w:shd w:val="clear" w:color="auto" w:fill="auto"/>
            <w:noWrap/>
            <w:vAlign w:val="bottom"/>
            <w:hideMark/>
          </w:tcPr>
          <w:p w14:paraId="53F144D9" w14:textId="77777777" w:rsidR="007E253F" w:rsidRPr="007E253F" w:rsidRDefault="007E253F" w:rsidP="006C3F2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75D08CF9" w14:textId="77777777" w:rsidTr="00912B23">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D1AE0EB"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Chillanes </w:t>
            </w:r>
          </w:p>
        </w:tc>
        <w:tc>
          <w:tcPr>
            <w:tcW w:w="1200" w:type="dxa"/>
            <w:tcBorders>
              <w:top w:val="nil"/>
              <w:left w:val="nil"/>
              <w:bottom w:val="single" w:sz="4" w:space="0" w:color="auto"/>
              <w:right w:val="single" w:sz="4" w:space="0" w:color="auto"/>
            </w:tcBorders>
            <w:shd w:val="clear" w:color="auto" w:fill="auto"/>
            <w:noWrap/>
            <w:vAlign w:val="bottom"/>
            <w:hideMark/>
          </w:tcPr>
          <w:p w14:paraId="0B337FD3"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3,39</w:t>
            </w:r>
          </w:p>
        </w:tc>
        <w:tc>
          <w:tcPr>
            <w:tcW w:w="701" w:type="dxa"/>
            <w:tcBorders>
              <w:top w:val="nil"/>
              <w:left w:val="nil"/>
              <w:bottom w:val="single" w:sz="4" w:space="0" w:color="auto"/>
              <w:right w:val="single" w:sz="4" w:space="0" w:color="auto"/>
            </w:tcBorders>
            <w:shd w:val="clear" w:color="auto" w:fill="auto"/>
            <w:noWrap/>
            <w:vAlign w:val="bottom"/>
            <w:hideMark/>
          </w:tcPr>
          <w:p w14:paraId="51BB7D38"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w:t>
            </w:r>
          </w:p>
        </w:tc>
        <w:tc>
          <w:tcPr>
            <w:tcW w:w="1699" w:type="dxa"/>
            <w:tcBorders>
              <w:top w:val="nil"/>
              <w:left w:val="nil"/>
              <w:bottom w:val="single" w:sz="4" w:space="0" w:color="auto"/>
              <w:right w:val="single" w:sz="4" w:space="0" w:color="auto"/>
            </w:tcBorders>
            <w:shd w:val="clear" w:color="auto" w:fill="auto"/>
            <w:noWrap/>
            <w:vAlign w:val="bottom"/>
            <w:hideMark/>
          </w:tcPr>
          <w:p w14:paraId="20BFB6B2"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0,20</w:t>
            </w:r>
          </w:p>
        </w:tc>
      </w:tr>
      <w:tr w:rsidR="007E253F" w:rsidRPr="007E253F" w14:paraId="6B92EBCE" w14:textId="77777777" w:rsidTr="00912B23">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CBD2324"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San Miguel</w:t>
            </w:r>
          </w:p>
        </w:tc>
        <w:tc>
          <w:tcPr>
            <w:tcW w:w="1200" w:type="dxa"/>
            <w:tcBorders>
              <w:top w:val="nil"/>
              <w:left w:val="nil"/>
              <w:bottom w:val="single" w:sz="4" w:space="0" w:color="auto"/>
              <w:right w:val="single" w:sz="4" w:space="0" w:color="auto"/>
            </w:tcBorders>
            <w:shd w:val="clear" w:color="auto" w:fill="auto"/>
            <w:noWrap/>
            <w:vAlign w:val="bottom"/>
            <w:hideMark/>
          </w:tcPr>
          <w:p w14:paraId="5EFA117D"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3,63</w:t>
            </w:r>
          </w:p>
        </w:tc>
        <w:tc>
          <w:tcPr>
            <w:tcW w:w="701" w:type="dxa"/>
            <w:tcBorders>
              <w:top w:val="nil"/>
              <w:left w:val="nil"/>
              <w:bottom w:val="single" w:sz="4" w:space="0" w:color="auto"/>
              <w:right w:val="single" w:sz="4" w:space="0" w:color="auto"/>
            </w:tcBorders>
            <w:shd w:val="clear" w:color="auto" w:fill="auto"/>
            <w:noWrap/>
            <w:vAlign w:val="bottom"/>
            <w:hideMark/>
          </w:tcPr>
          <w:p w14:paraId="3A7DDA74"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1699" w:type="dxa"/>
            <w:tcBorders>
              <w:top w:val="nil"/>
              <w:left w:val="nil"/>
              <w:bottom w:val="single" w:sz="4" w:space="0" w:color="auto"/>
              <w:right w:val="single" w:sz="4" w:space="0" w:color="auto"/>
            </w:tcBorders>
            <w:shd w:val="clear" w:color="auto" w:fill="auto"/>
            <w:noWrap/>
            <w:vAlign w:val="bottom"/>
            <w:hideMark/>
          </w:tcPr>
          <w:p w14:paraId="09325927"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0,24</w:t>
            </w:r>
          </w:p>
        </w:tc>
      </w:tr>
      <w:tr w:rsidR="007E253F" w:rsidRPr="007E253F" w14:paraId="7B8CC50F" w14:textId="77777777" w:rsidTr="00912B23">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E6D3857"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Guaranda  </w:t>
            </w:r>
          </w:p>
        </w:tc>
        <w:tc>
          <w:tcPr>
            <w:tcW w:w="1200" w:type="dxa"/>
            <w:tcBorders>
              <w:top w:val="nil"/>
              <w:left w:val="nil"/>
              <w:bottom w:val="single" w:sz="4" w:space="0" w:color="auto"/>
              <w:right w:val="single" w:sz="4" w:space="0" w:color="auto"/>
            </w:tcBorders>
            <w:shd w:val="clear" w:color="auto" w:fill="auto"/>
            <w:noWrap/>
            <w:vAlign w:val="bottom"/>
            <w:hideMark/>
          </w:tcPr>
          <w:p w14:paraId="3F176135"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3,68</w:t>
            </w:r>
          </w:p>
        </w:tc>
        <w:tc>
          <w:tcPr>
            <w:tcW w:w="701" w:type="dxa"/>
            <w:tcBorders>
              <w:top w:val="nil"/>
              <w:left w:val="nil"/>
              <w:bottom w:val="single" w:sz="4" w:space="0" w:color="auto"/>
              <w:right w:val="single" w:sz="4" w:space="0" w:color="auto"/>
            </w:tcBorders>
            <w:shd w:val="clear" w:color="auto" w:fill="auto"/>
            <w:noWrap/>
            <w:vAlign w:val="bottom"/>
            <w:hideMark/>
          </w:tcPr>
          <w:p w14:paraId="7EF914FA"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699" w:type="dxa"/>
            <w:tcBorders>
              <w:top w:val="nil"/>
              <w:left w:val="nil"/>
              <w:bottom w:val="single" w:sz="4" w:space="0" w:color="auto"/>
              <w:right w:val="single" w:sz="4" w:space="0" w:color="auto"/>
            </w:tcBorders>
            <w:shd w:val="clear" w:color="auto" w:fill="auto"/>
            <w:noWrap/>
            <w:vAlign w:val="bottom"/>
            <w:hideMark/>
          </w:tcPr>
          <w:p w14:paraId="34A6BC26"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0,27</w:t>
            </w:r>
          </w:p>
        </w:tc>
      </w:tr>
      <w:tr w:rsidR="007E253F" w:rsidRPr="007E253F" w14:paraId="07CA945F" w14:textId="77777777" w:rsidTr="00912B23">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270C6AF"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Chimbo    </w:t>
            </w:r>
          </w:p>
        </w:tc>
        <w:tc>
          <w:tcPr>
            <w:tcW w:w="1200" w:type="dxa"/>
            <w:tcBorders>
              <w:top w:val="nil"/>
              <w:left w:val="nil"/>
              <w:bottom w:val="single" w:sz="4" w:space="0" w:color="auto"/>
              <w:right w:val="single" w:sz="4" w:space="0" w:color="auto"/>
            </w:tcBorders>
            <w:shd w:val="clear" w:color="auto" w:fill="auto"/>
            <w:noWrap/>
            <w:vAlign w:val="bottom"/>
            <w:hideMark/>
          </w:tcPr>
          <w:p w14:paraId="1B8319B1"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3,98</w:t>
            </w:r>
          </w:p>
        </w:tc>
        <w:tc>
          <w:tcPr>
            <w:tcW w:w="701" w:type="dxa"/>
            <w:tcBorders>
              <w:top w:val="nil"/>
              <w:left w:val="nil"/>
              <w:bottom w:val="single" w:sz="4" w:space="0" w:color="auto"/>
              <w:right w:val="single" w:sz="4" w:space="0" w:color="auto"/>
            </w:tcBorders>
            <w:shd w:val="clear" w:color="auto" w:fill="auto"/>
            <w:noWrap/>
            <w:vAlign w:val="bottom"/>
            <w:hideMark/>
          </w:tcPr>
          <w:p w14:paraId="0F7D6748"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w:t>
            </w:r>
          </w:p>
        </w:tc>
        <w:tc>
          <w:tcPr>
            <w:tcW w:w="1699" w:type="dxa"/>
            <w:tcBorders>
              <w:top w:val="nil"/>
              <w:left w:val="nil"/>
              <w:bottom w:val="single" w:sz="4" w:space="0" w:color="auto"/>
              <w:right w:val="single" w:sz="4" w:space="0" w:color="auto"/>
            </w:tcBorders>
            <w:shd w:val="clear" w:color="auto" w:fill="auto"/>
            <w:noWrap/>
            <w:vAlign w:val="bottom"/>
            <w:hideMark/>
          </w:tcPr>
          <w:p w14:paraId="58EFEFAD" w14:textId="77777777" w:rsidR="007E253F" w:rsidRPr="007E253F" w:rsidRDefault="007E253F" w:rsidP="006C3F2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0,23</w:t>
            </w:r>
          </w:p>
        </w:tc>
      </w:tr>
    </w:tbl>
    <w:p w14:paraId="51EEB299" w14:textId="5270335A" w:rsidR="00DB0D02" w:rsidRPr="00DB0D02" w:rsidRDefault="007E253F" w:rsidP="006C3F27">
      <w:pPr>
        <w:autoSpaceDE w:val="0"/>
        <w:autoSpaceDN w:val="0"/>
        <w:adjustRightInd w:val="0"/>
        <w:spacing w:before="360" w:after="360" w:line="360" w:lineRule="auto"/>
        <w:rPr>
          <w:rFonts w:cs="Times New Roman"/>
          <w:bCs/>
          <w:szCs w:val="24"/>
        </w:rPr>
      </w:pPr>
      <w:bookmarkStart w:id="1329" w:name="_Hlk57565589"/>
      <w:r w:rsidRPr="007E253F">
        <w:rPr>
          <w:rFonts w:cs="Times New Roman"/>
          <w:bCs/>
          <w:szCs w:val="24"/>
        </w:rPr>
        <w:t>El efecto de nutrientes para rendimiento de maíz suave, obtuvo el mayor promedio el cantón Chimbo con un 3,98 t ha</w:t>
      </w:r>
      <w:r w:rsidRPr="007E253F">
        <w:rPr>
          <w:rFonts w:cs="Times New Roman"/>
          <w:bCs/>
          <w:szCs w:val="24"/>
          <w:vertAlign w:val="superscript"/>
        </w:rPr>
        <w:t>-1</w:t>
      </w:r>
      <w:r w:rsidRPr="007E253F">
        <w:rPr>
          <w:rFonts w:cs="Times New Roman"/>
          <w:bCs/>
          <w:szCs w:val="24"/>
        </w:rPr>
        <w:t xml:space="preserve">, que no difiere estadísticamente al rendimiento </w:t>
      </w:r>
      <w:r w:rsidRPr="007E253F">
        <w:rPr>
          <w:rFonts w:cs="Times New Roman"/>
          <w:bCs/>
          <w:szCs w:val="24"/>
        </w:rPr>
        <w:lastRenderedPageBreak/>
        <w:t>obtenido en Guaranda con 3,68 t ha</w:t>
      </w:r>
      <w:r w:rsidRPr="007E253F">
        <w:rPr>
          <w:rFonts w:cs="Times New Roman"/>
          <w:bCs/>
          <w:szCs w:val="24"/>
          <w:vertAlign w:val="superscript"/>
        </w:rPr>
        <w:t>-1</w:t>
      </w:r>
      <w:r w:rsidRPr="007E253F">
        <w:rPr>
          <w:rFonts w:cs="Times New Roman"/>
          <w:bCs/>
          <w:szCs w:val="24"/>
        </w:rPr>
        <w:t xml:space="preserve">, San Miguel con </w:t>
      </w:r>
      <w:r w:rsidRPr="007E253F">
        <w:rPr>
          <w:rFonts w:eastAsia="Times New Roman" w:cs="Times New Roman"/>
          <w:color w:val="000000"/>
          <w:szCs w:val="24"/>
          <w:lang w:eastAsia="es-EC"/>
        </w:rPr>
        <w:t>3,63</w:t>
      </w:r>
      <w:r w:rsidRPr="007E253F">
        <w:rPr>
          <w:rFonts w:cs="Times New Roman"/>
          <w:bCs/>
          <w:szCs w:val="24"/>
        </w:rPr>
        <w:t xml:space="preserve"> t/ ha</w:t>
      </w:r>
      <w:r w:rsidRPr="007E253F">
        <w:rPr>
          <w:rFonts w:cs="Times New Roman"/>
          <w:bCs/>
          <w:szCs w:val="24"/>
          <w:vertAlign w:val="superscript"/>
        </w:rPr>
        <w:t>-1,</w:t>
      </w:r>
      <w:r w:rsidRPr="007E253F">
        <w:rPr>
          <w:rFonts w:cs="Times New Roman"/>
          <w:bCs/>
          <w:szCs w:val="24"/>
        </w:rPr>
        <w:t xml:space="preserve"> Chillanes, con 3,39 t/ ha</w:t>
      </w:r>
      <w:r w:rsidRPr="007E253F">
        <w:rPr>
          <w:rFonts w:cs="Times New Roman"/>
          <w:bCs/>
          <w:szCs w:val="24"/>
          <w:vertAlign w:val="superscript"/>
        </w:rPr>
        <w:t>-1</w:t>
      </w:r>
      <w:r w:rsidRPr="007E253F">
        <w:rPr>
          <w:rFonts w:cs="Times New Roman"/>
          <w:bCs/>
          <w:szCs w:val="24"/>
        </w:rPr>
        <w:t xml:space="preserve"> (</w:t>
      </w:r>
      <w:r w:rsidR="00912B23">
        <w:rPr>
          <w:rFonts w:cs="Times New Roman"/>
          <w:bCs/>
          <w:szCs w:val="24"/>
        </w:rPr>
        <w:t>Cuadros</w:t>
      </w:r>
      <w:r w:rsidR="006760D1">
        <w:rPr>
          <w:rFonts w:cs="Times New Roman"/>
          <w:bCs/>
          <w:szCs w:val="24"/>
        </w:rPr>
        <w:t xml:space="preserve"> </w:t>
      </w:r>
      <w:r w:rsidRPr="007E253F">
        <w:rPr>
          <w:rFonts w:cs="Times New Roman"/>
          <w:bCs/>
          <w:szCs w:val="24"/>
        </w:rPr>
        <w:t>16 y 17).</w:t>
      </w:r>
    </w:p>
    <w:p w14:paraId="61A17FB2" w14:textId="3A18B69D" w:rsidR="00DB0D02" w:rsidRPr="00DB0D02" w:rsidRDefault="00DB0D02" w:rsidP="00732357">
      <w:pPr>
        <w:pStyle w:val="Descripcin"/>
        <w:keepNext/>
        <w:spacing w:before="360"/>
        <w:rPr>
          <w:rFonts w:cs="Times New Roman"/>
          <w:bCs/>
          <w:i w:val="0"/>
          <w:iCs w:val="0"/>
          <w:color w:val="auto"/>
          <w:sz w:val="24"/>
          <w:szCs w:val="24"/>
          <w:lang w:eastAsia="en-US"/>
        </w:rPr>
      </w:pPr>
      <w:bookmarkStart w:id="1330" w:name="_Toc79314010"/>
      <w:r w:rsidRPr="00DB0D02">
        <w:rPr>
          <w:rFonts w:cs="Times New Roman"/>
          <w:b/>
          <w:bCs/>
          <w:i w:val="0"/>
          <w:iCs w:val="0"/>
          <w:color w:val="auto"/>
          <w:sz w:val="24"/>
          <w:szCs w:val="24"/>
          <w:lang w:eastAsia="en-US"/>
        </w:rPr>
        <w:t xml:space="preserve">Cuadro </w:t>
      </w:r>
      <w:r w:rsidRPr="00DB0D02">
        <w:rPr>
          <w:rFonts w:cs="Times New Roman"/>
          <w:b/>
          <w:bCs/>
          <w:i w:val="0"/>
          <w:iCs w:val="0"/>
          <w:color w:val="auto"/>
          <w:sz w:val="24"/>
          <w:szCs w:val="24"/>
          <w:lang w:eastAsia="en-US"/>
        </w:rPr>
        <w:fldChar w:fldCharType="begin"/>
      </w:r>
      <w:r w:rsidRPr="00DB0D02">
        <w:rPr>
          <w:rFonts w:cs="Times New Roman"/>
          <w:b/>
          <w:bCs/>
          <w:i w:val="0"/>
          <w:iCs w:val="0"/>
          <w:color w:val="auto"/>
          <w:sz w:val="24"/>
          <w:szCs w:val="24"/>
          <w:lang w:eastAsia="en-US"/>
        </w:rPr>
        <w:instrText xml:space="preserve"> SEQ Cuadro \* ARABIC </w:instrText>
      </w:r>
      <w:r w:rsidRPr="00DB0D02">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18</w:t>
      </w:r>
      <w:r w:rsidRPr="00DB0D02">
        <w:rPr>
          <w:rFonts w:cs="Times New Roman"/>
          <w:b/>
          <w:bCs/>
          <w:i w:val="0"/>
          <w:iCs w:val="0"/>
          <w:color w:val="auto"/>
          <w:sz w:val="24"/>
          <w:szCs w:val="24"/>
          <w:lang w:eastAsia="en-US"/>
        </w:rPr>
        <w:fldChar w:fldCharType="end"/>
      </w:r>
      <w:r w:rsidRPr="00DB0D02">
        <w:rPr>
          <w:rFonts w:cs="Times New Roman"/>
          <w:b/>
          <w:bCs/>
          <w:i w:val="0"/>
          <w:iCs w:val="0"/>
          <w:color w:val="auto"/>
          <w:sz w:val="24"/>
          <w:szCs w:val="24"/>
          <w:lang w:eastAsia="en-US"/>
        </w:rPr>
        <w:t>.</w:t>
      </w:r>
      <w:r w:rsidRPr="00DB0D02">
        <w:rPr>
          <w:rFonts w:cs="Times New Roman"/>
          <w:bCs/>
          <w:i w:val="0"/>
          <w:iCs w:val="0"/>
          <w:color w:val="auto"/>
          <w:sz w:val="24"/>
          <w:szCs w:val="24"/>
          <w:lang w:eastAsia="en-US"/>
        </w:rPr>
        <w:t xml:space="preserve"> Rendimiento de maíz suave en grano seco para diversas dosis de nitrógeno evaluadas en la provincia de Bolívar del 2006 al 2011.</w:t>
      </w:r>
      <w:bookmarkEnd w:id="1330"/>
    </w:p>
    <w:tbl>
      <w:tblPr>
        <w:tblW w:w="7508" w:type="dxa"/>
        <w:jc w:val="center"/>
        <w:tblCellMar>
          <w:left w:w="70" w:type="dxa"/>
          <w:right w:w="70" w:type="dxa"/>
        </w:tblCellMar>
        <w:tblLook w:val="04A0" w:firstRow="1" w:lastRow="0" w:firstColumn="1" w:lastColumn="0" w:noHBand="0" w:noVBand="1"/>
      </w:tblPr>
      <w:tblGrid>
        <w:gridCol w:w="1996"/>
        <w:gridCol w:w="1035"/>
        <w:gridCol w:w="508"/>
        <w:gridCol w:w="2306"/>
        <w:gridCol w:w="813"/>
        <w:gridCol w:w="850"/>
      </w:tblGrid>
      <w:tr w:rsidR="007E253F" w:rsidRPr="007E253F" w14:paraId="62868319" w14:textId="77777777" w:rsidTr="00732357">
        <w:trPr>
          <w:trHeight w:val="235"/>
          <w:jc w:val="center"/>
        </w:trPr>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329"/>
          <w:p w14:paraId="717F0ADE"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N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31D0DAB7"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14:paraId="34635FE5"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2306" w:type="dxa"/>
            <w:tcBorders>
              <w:top w:val="single" w:sz="4" w:space="0" w:color="auto"/>
              <w:left w:val="nil"/>
              <w:bottom w:val="single" w:sz="4" w:space="0" w:color="auto"/>
              <w:right w:val="single" w:sz="4" w:space="0" w:color="auto"/>
            </w:tcBorders>
            <w:shd w:val="clear" w:color="auto" w:fill="auto"/>
            <w:noWrap/>
            <w:vAlign w:val="bottom"/>
            <w:hideMark/>
          </w:tcPr>
          <w:p w14:paraId="63629D9F"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6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45B6E6"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Lsd 0,05</w:t>
            </w:r>
          </w:p>
        </w:tc>
      </w:tr>
      <w:tr w:rsidR="007E253F" w:rsidRPr="007E253F" w14:paraId="67F22277" w14:textId="77777777" w:rsidTr="00732357">
        <w:trPr>
          <w:trHeight w:val="300"/>
          <w:jc w:val="center"/>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5D604559"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1035" w:type="dxa"/>
            <w:tcBorders>
              <w:top w:val="nil"/>
              <w:left w:val="nil"/>
              <w:bottom w:val="single" w:sz="4" w:space="0" w:color="auto"/>
              <w:right w:val="single" w:sz="4" w:space="0" w:color="auto"/>
            </w:tcBorders>
            <w:shd w:val="clear" w:color="auto" w:fill="auto"/>
            <w:noWrap/>
            <w:vAlign w:val="bottom"/>
            <w:hideMark/>
          </w:tcPr>
          <w:p w14:paraId="51515D6B"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2,04</w:t>
            </w:r>
          </w:p>
        </w:tc>
        <w:tc>
          <w:tcPr>
            <w:tcW w:w="508" w:type="dxa"/>
            <w:tcBorders>
              <w:top w:val="nil"/>
              <w:left w:val="nil"/>
              <w:bottom w:val="single" w:sz="4" w:space="0" w:color="auto"/>
              <w:right w:val="single" w:sz="4" w:space="0" w:color="auto"/>
            </w:tcBorders>
            <w:shd w:val="clear" w:color="auto" w:fill="auto"/>
            <w:noWrap/>
            <w:vAlign w:val="bottom"/>
            <w:hideMark/>
          </w:tcPr>
          <w:p w14:paraId="3979B5E7"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w:t>
            </w:r>
          </w:p>
        </w:tc>
        <w:tc>
          <w:tcPr>
            <w:tcW w:w="2306" w:type="dxa"/>
            <w:tcBorders>
              <w:top w:val="nil"/>
              <w:left w:val="nil"/>
              <w:bottom w:val="single" w:sz="4" w:space="0" w:color="auto"/>
              <w:right w:val="single" w:sz="4" w:space="0" w:color="auto"/>
            </w:tcBorders>
            <w:shd w:val="clear" w:color="auto" w:fill="auto"/>
            <w:noWrap/>
            <w:vAlign w:val="bottom"/>
            <w:hideMark/>
          </w:tcPr>
          <w:p w14:paraId="0D442534"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0,28</w:t>
            </w:r>
          </w:p>
        </w:tc>
        <w:tc>
          <w:tcPr>
            <w:tcW w:w="813" w:type="dxa"/>
            <w:tcBorders>
              <w:top w:val="nil"/>
              <w:left w:val="nil"/>
              <w:bottom w:val="single" w:sz="4" w:space="0" w:color="auto"/>
              <w:right w:val="single" w:sz="4" w:space="0" w:color="auto"/>
            </w:tcBorders>
            <w:shd w:val="clear" w:color="auto" w:fill="auto"/>
            <w:noWrap/>
            <w:vAlign w:val="bottom"/>
            <w:hideMark/>
          </w:tcPr>
          <w:p w14:paraId="0A53FDE8"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850" w:type="dxa"/>
            <w:tcBorders>
              <w:top w:val="nil"/>
              <w:left w:val="nil"/>
              <w:bottom w:val="single" w:sz="4" w:space="0" w:color="auto"/>
              <w:right w:val="single" w:sz="4" w:space="0" w:color="auto"/>
            </w:tcBorders>
            <w:shd w:val="clear" w:color="auto" w:fill="auto"/>
            <w:noWrap/>
            <w:vAlign w:val="bottom"/>
            <w:hideMark/>
          </w:tcPr>
          <w:p w14:paraId="534061BB"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679B63B1" w14:textId="77777777" w:rsidTr="00732357">
        <w:trPr>
          <w:trHeight w:val="300"/>
          <w:jc w:val="center"/>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F211FC6"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50</w:t>
            </w:r>
          </w:p>
        </w:tc>
        <w:tc>
          <w:tcPr>
            <w:tcW w:w="1035" w:type="dxa"/>
            <w:tcBorders>
              <w:top w:val="nil"/>
              <w:left w:val="nil"/>
              <w:bottom w:val="single" w:sz="4" w:space="0" w:color="auto"/>
              <w:right w:val="single" w:sz="4" w:space="0" w:color="auto"/>
            </w:tcBorders>
            <w:shd w:val="clear" w:color="auto" w:fill="auto"/>
            <w:noWrap/>
            <w:vAlign w:val="bottom"/>
            <w:hideMark/>
          </w:tcPr>
          <w:p w14:paraId="44CCC206"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3,74</w:t>
            </w:r>
          </w:p>
        </w:tc>
        <w:tc>
          <w:tcPr>
            <w:tcW w:w="508" w:type="dxa"/>
            <w:tcBorders>
              <w:top w:val="nil"/>
              <w:left w:val="nil"/>
              <w:bottom w:val="single" w:sz="4" w:space="0" w:color="auto"/>
              <w:right w:val="single" w:sz="4" w:space="0" w:color="auto"/>
            </w:tcBorders>
            <w:shd w:val="clear" w:color="auto" w:fill="auto"/>
            <w:noWrap/>
            <w:vAlign w:val="bottom"/>
            <w:hideMark/>
          </w:tcPr>
          <w:p w14:paraId="7E3C4AE0"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2306" w:type="dxa"/>
            <w:tcBorders>
              <w:top w:val="nil"/>
              <w:left w:val="nil"/>
              <w:bottom w:val="single" w:sz="4" w:space="0" w:color="auto"/>
              <w:right w:val="single" w:sz="4" w:space="0" w:color="auto"/>
            </w:tcBorders>
            <w:shd w:val="clear" w:color="auto" w:fill="auto"/>
            <w:noWrap/>
            <w:vAlign w:val="bottom"/>
            <w:hideMark/>
          </w:tcPr>
          <w:p w14:paraId="6A116663"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0,43</w:t>
            </w:r>
          </w:p>
        </w:tc>
        <w:tc>
          <w:tcPr>
            <w:tcW w:w="813" w:type="dxa"/>
            <w:tcBorders>
              <w:top w:val="nil"/>
              <w:left w:val="nil"/>
              <w:bottom w:val="single" w:sz="4" w:space="0" w:color="auto"/>
              <w:right w:val="single" w:sz="4" w:space="0" w:color="auto"/>
            </w:tcBorders>
            <w:shd w:val="clear" w:color="auto" w:fill="auto"/>
            <w:noWrap/>
            <w:vAlign w:val="bottom"/>
            <w:hideMark/>
          </w:tcPr>
          <w:p w14:paraId="3891DD46"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4EE2A33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r>
      <w:tr w:rsidR="007E253F" w:rsidRPr="007E253F" w14:paraId="0AEFC9F1" w14:textId="77777777" w:rsidTr="00732357">
        <w:trPr>
          <w:trHeight w:val="300"/>
          <w:jc w:val="center"/>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4F4C75C9"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120</w:t>
            </w:r>
          </w:p>
        </w:tc>
        <w:tc>
          <w:tcPr>
            <w:tcW w:w="1035" w:type="dxa"/>
            <w:tcBorders>
              <w:top w:val="nil"/>
              <w:left w:val="nil"/>
              <w:bottom w:val="single" w:sz="4" w:space="0" w:color="auto"/>
              <w:right w:val="single" w:sz="4" w:space="0" w:color="auto"/>
            </w:tcBorders>
            <w:shd w:val="clear" w:color="auto" w:fill="auto"/>
            <w:noWrap/>
            <w:vAlign w:val="bottom"/>
            <w:hideMark/>
          </w:tcPr>
          <w:p w14:paraId="434F7CDB"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3,97</w:t>
            </w:r>
          </w:p>
        </w:tc>
        <w:tc>
          <w:tcPr>
            <w:tcW w:w="508" w:type="dxa"/>
            <w:tcBorders>
              <w:top w:val="nil"/>
              <w:left w:val="nil"/>
              <w:bottom w:val="single" w:sz="4" w:space="0" w:color="auto"/>
              <w:right w:val="single" w:sz="4" w:space="0" w:color="auto"/>
            </w:tcBorders>
            <w:shd w:val="clear" w:color="auto" w:fill="auto"/>
            <w:noWrap/>
            <w:vAlign w:val="bottom"/>
            <w:hideMark/>
          </w:tcPr>
          <w:p w14:paraId="5B75B96B"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32</w:t>
            </w:r>
          </w:p>
        </w:tc>
        <w:tc>
          <w:tcPr>
            <w:tcW w:w="2306" w:type="dxa"/>
            <w:tcBorders>
              <w:top w:val="nil"/>
              <w:left w:val="nil"/>
              <w:bottom w:val="single" w:sz="4" w:space="0" w:color="auto"/>
              <w:right w:val="single" w:sz="4" w:space="0" w:color="auto"/>
            </w:tcBorders>
            <w:shd w:val="clear" w:color="auto" w:fill="auto"/>
            <w:noWrap/>
            <w:vAlign w:val="bottom"/>
            <w:hideMark/>
          </w:tcPr>
          <w:p w14:paraId="4E57323C"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0,19</w:t>
            </w:r>
          </w:p>
        </w:tc>
        <w:tc>
          <w:tcPr>
            <w:tcW w:w="813" w:type="dxa"/>
            <w:tcBorders>
              <w:top w:val="nil"/>
              <w:left w:val="nil"/>
              <w:bottom w:val="single" w:sz="4" w:space="0" w:color="auto"/>
              <w:right w:val="single" w:sz="4" w:space="0" w:color="auto"/>
            </w:tcBorders>
            <w:shd w:val="clear" w:color="auto" w:fill="auto"/>
            <w:noWrap/>
            <w:vAlign w:val="bottom"/>
            <w:hideMark/>
          </w:tcPr>
          <w:p w14:paraId="022F0503"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60DFF61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r>
      <w:tr w:rsidR="007E253F" w:rsidRPr="007E253F" w14:paraId="26D14A14" w14:textId="77777777" w:rsidTr="00732357">
        <w:trPr>
          <w:trHeight w:val="300"/>
          <w:jc w:val="center"/>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14:paraId="2C22CBEA"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140</w:t>
            </w:r>
          </w:p>
        </w:tc>
        <w:tc>
          <w:tcPr>
            <w:tcW w:w="1035" w:type="dxa"/>
            <w:tcBorders>
              <w:top w:val="nil"/>
              <w:left w:val="nil"/>
              <w:bottom w:val="single" w:sz="4" w:space="0" w:color="auto"/>
              <w:right w:val="single" w:sz="4" w:space="0" w:color="auto"/>
            </w:tcBorders>
            <w:shd w:val="clear" w:color="auto" w:fill="auto"/>
            <w:noWrap/>
            <w:vAlign w:val="bottom"/>
            <w:hideMark/>
          </w:tcPr>
          <w:p w14:paraId="4DF58DAC"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4,48</w:t>
            </w:r>
          </w:p>
        </w:tc>
        <w:tc>
          <w:tcPr>
            <w:tcW w:w="508" w:type="dxa"/>
            <w:tcBorders>
              <w:top w:val="nil"/>
              <w:left w:val="nil"/>
              <w:bottom w:val="single" w:sz="4" w:space="0" w:color="auto"/>
              <w:right w:val="single" w:sz="4" w:space="0" w:color="auto"/>
            </w:tcBorders>
            <w:shd w:val="clear" w:color="auto" w:fill="auto"/>
            <w:noWrap/>
            <w:vAlign w:val="bottom"/>
            <w:hideMark/>
          </w:tcPr>
          <w:p w14:paraId="6048EC2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w:t>
            </w:r>
          </w:p>
        </w:tc>
        <w:tc>
          <w:tcPr>
            <w:tcW w:w="2306" w:type="dxa"/>
            <w:tcBorders>
              <w:top w:val="nil"/>
              <w:left w:val="nil"/>
              <w:bottom w:val="single" w:sz="4" w:space="0" w:color="auto"/>
              <w:right w:val="single" w:sz="4" w:space="0" w:color="auto"/>
            </w:tcBorders>
            <w:shd w:val="clear" w:color="auto" w:fill="auto"/>
            <w:noWrap/>
            <w:vAlign w:val="bottom"/>
            <w:hideMark/>
          </w:tcPr>
          <w:p w14:paraId="6897965C"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0,19</w:t>
            </w:r>
          </w:p>
        </w:tc>
        <w:tc>
          <w:tcPr>
            <w:tcW w:w="813" w:type="dxa"/>
            <w:tcBorders>
              <w:top w:val="nil"/>
              <w:left w:val="nil"/>
              <w:bottom w:val="single" w:sz="4" w:space="0" w:color="auto"/>
              <w:right w:val="single" w:sz="4" w:space="0" w:color="auto"/>
            </w:tcBorders>
            <w:shd w:val="clear" w:color="auto" w:fill="auto"/>
            <w:noWrap/>
            <w:vAlign w:val="bottom"/>
            <w:hideMark/>
          </w:tcPr>
          <w:p w14:paraId="1A70489A"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609DF51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r>
    </w:tbl>
    <w:p w14:paraId="47D929EA" w14:textId="7BAF85A7" w:rsidR="007E253F" w:rsidRDefault="00732357" w:rsidP="00732357">
      <w:pPr>
        <w:autoSpaceDE w:val="0"/>
        <w:autoSpaceDN w:val="0"/>
        <w:adjustRightInd w:val="0"/>
        <w:spacing w:after="360" w:line="360" w:lineRule="auto"/>
        <w:rPr>
          <w:rFonts w:cs="Times New Roman"/>
          <w:szCs w:val="24"/>
        </w:rPr>
      </w:pPr>
      <w:r>
        <w:rPr>
          <w:rFonts w:cs="Times New Roman"/>
          <w:szCs w:val="24"/>
        </w:rPr>
        <w:t xml:space="preserve">   </w:t>
      </w:r>
      <w:r w:rsidR="007E253F" w:rsidRPr="007E253F">
        <w:rPr>
          <w:rFonts w:cs="Times New Roman"/>
          <w:szCs w:val="24"/>
        </w:rPr>
        <w:t>Medias con una letra común no son significativamente diferentes (p &gt; 0,05)</w:t>
      </w:r>
    </w:p>
    <w:p w14:paraId="138EE037" w14:textId="118973B1" w:rsidR="00DB0D02" w:rsidRPr="00DB0D02" w:rsidRDefault="00DB0D02" w:rsidP="00732357">
      <w:pPr>
        <w:pStyle w:val="Descripcin"/>
        <w:keepNext/>
        <w:spacing w:before="360"/>
        <w:rPr>
          <w:rFonts w:cs="Times New Roman"/>
          <w:i w:val="0"/>
          <w:iCs w:val="0"/>
          <w:color w:val="auto"/>
          <w:sz w:val="24"/>
          <w:szCs w:val="24"/>
          <w:lang w:eastAsia="en-US"/>
        </w:rPr>
      </w:pPr>
      <w:bookmarkStart w:id="1331" w:name="_Toc79314011"/>
      <w:r w:rsidRPr="00DB0D02">
        <w:rPr>
          <w:rFonts w:cs="Times New Roman"/>
          <w:b/>
          <w:i w:val="0"/>
          <w:iCs w:val="0"/>
          <w:color w:val="auto"/>
          <w:sz w:val="24"/>
          <w:szCs w:val="24"/>
          <w:lang w:eastAsia="en-US"/>
        </w:rPr>
        <w:t xml:space="preserve">Cuadro </w:t>
      </w:r>
      <w:r w:rsidRPr="00DB0D02">
        <w:rPr>
          <w:rFonts w:cs="Times New Roman"/>
          <w:b/>
          <w:i w:val="0"/>
          <w:iCs w:val="0"/>
          <w:color w:val="auto"/>
          <w:sz w:val="24"/>
          <w:szCs w:val="24"/>
          <w:lang w:eastAsia="en-US"/>
        </w:rPr>
        <w:fldChar w:fldCharType="begin"/>
      </w:r>
      <w:r w:rsidRPr="00DB0D02">
        <w:rPr>
          <w:rFonts w:cs="Times New Roman"/>
          <w:b/>
          <w:i w:val="0"/>
          <w:iCs w:val="0"/>
          <w:color w:val="auto"/>
          <w:sz w:val="24"/>
          <w:szCs w:val="24"/>
          <w:lang w:eastAsia="en-US"/>
        </w:rPr>
        <w:instrText xml:space="preserve"> SEQ Cuadro \* ARABIC </w:instrText>
      </w:r>
      <w:r w:rsidRPr="00DB0D02">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19</w:t>
      </w:r>
      <w:r w:rsidRPr="00DB0D02">
        <w:rPr>
          <w:rFonts w:cs="Times New Roman"/>
          <w:b/>
          <w:i w:val="0"/>
          <w:iCs w:val="0"/>
          <w:color w:val="auto"/>
          <w:sz w:val="24"/>
          <w:szCs w:val="24"/>
          <w:lang w:eastAsia="en-US"/>
        </w:rPr>
        <w:fldChar w:fldCharType="end"/>
      </w:r>
      <w:r w:rsidRPr="00DB0D02">
        <w:rPr>
          <w:rFonts w:cs="Times New Roman"/>
          <w:b/>
          <w:i w:val="0"/>
          <w:iCs w:val="0"/>
          <w:color w:val="auto"/>
          <w:sz w:val="24"/>
          <w:szCs w:val="24"/>
          <w:lang w:eastAsia="en-US"/>
        </w:rPr>
        <w:t>.</w:t>
      </w:r>
      <w:r w:rsidRPr="00DB0D02">
        <w:rPr>
          <w:rFonts w:cs="Times New Roman"/>
          <w:i w:val="0"/>
          <w:iCs w:val="0"/>
          <w:color w:val="auto"/>
          <w:sz w:val="24"/>
          <w:szCs w:val="24"/>
          <w:lang w:eastAsia="en-US"/>
        </w:rPr>
        <w:t xml:space="preserve"> Rendimiento de maíz suave en grano seco para diversas dosis de fósforo evaluadas en la provincia de Bolívar del 2006 al 2011.</w:t>
      </w:r>
      <w:bookmarkEnd w:id="1331"/>
    </w:p>
    <w:tbl>
      <w:tblPr>
        <w:tblW w:w="7225" w:type="dxa"/>
        <w:jc w:val="center"/>
        <w:tblCellMar>
          <w:left w:w="70" w:type="dxa"/>
          <w:right w:w="70" w:type="dxa"/>
        </w:tblCellMar>
        <w:tblLook w:val="04A0" w:firstRow="1" w:lastRow="0" w:firstColumn="1" w:lastColumn="0" w:noHBand="0" w:noVBand="1"/>
      </w:tblPr>
      <w:tblGrid>
        <w:gridCol w:w="1980"/>
        <w:gridCol w:w="1134"/>
        <w:gridCol w:w="709"/>
        <w:gridCol w:w="1886"/>
        <w:gridCol w:w="665"/>
        <w:gridCol w:w="851"/>
      </w:tblGrid>
      <w:tr w:rsidR="00732357" w:rsidRPr="007E253F" w14:paraId="6E9EAC2B" w14:textId="77777777" w:rsidTr="00486A09">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C8F3" w14:textId="77777777"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P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B0F1566" w14:textId="77777777"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CB4E576" w14:textId="77777777"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n </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14:paraId="02D3C001" w14:textId="77777777"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1BBCF" w14:textId="0948658A"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Lsd0,05</w:t>
            </w:r>
          </w:p>
        </w:tc>
      </w:tr>
      <w:tr w:rsidR="007E253F" w:rsidRPr="007E253F" w14:paraId="16AB5ECD" w14:textId="77777777" w:rsidTr="00486A0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83FE1C2"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1134" w:type="dxa"/>
            <w:tcBorders>
              <w:top w:val="nil"/>
              <w:left w:val="nil"/>
              <w:bottom w:val="single" w:sz="4" w:space="0" w:color="auto"/>
              <w:right w:val="single" w:sz="4" w:space="0" w:color="auto"/>
            </w:tcBorders>
            <w:shd w:val="clear" w:color="auto" w:fill="auto"/>
            <w:noWrap/>
            <w:vAlign w:val="bottom"/>
            <w:hideMark/>
          </w:tcPr>
          <w:p w14:paraId="25C4BE4C"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3,46</w:t>
            </w:r>
          </w:p>
        </w:tc>
        <w:tc>
          <w:tcPr>
            <w:tcW w:w="709" w:type="dxa"/>
            <w:tcBorders>
              <w:top w:val="nil"/>
              <w:left w:val="nil"/>
              <w:bottom w:val="single" w:sz="4" w:space="0" w:color="auto"/>
              <w:right w:val="single" w:sz="4" w:space="0" w:color="auto"/>
            </w:tcBorders>
            <w:shd w:val="clear" w:color="auto" w:fill="auto"/>
            <w:noWrap/>
            <w:vAlign w:val="bottom"/>
            <w:hideMark/>
          </w:tcPr>
          <w:p w14:paraId="07C535E4"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86" w:type="dxa"/>
            <w:tcBorders>
              <w:top w:val="nil"/>
              <w:left w:val="nil"/>
              <w:bottom w:val="single" w:sz="4" w:space="0" w:color="auto"/>
              <w:right w:val="single" w:sz="4" w:space="0" w:color="auto"/>
            </w:tcBorders>
            <w:shd w:val="clear" w:color="auto" w:fill="auto"/>
            <w:noWrap/>
            <w:vAlign w:val="bottom"/>
            <w:hideMark/>
          </w:tcPr>
          <w:p w14:paraId="33B11BDC"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2C868AF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08DB02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5AA30154" w14:textId="77777777" w:rsidTr="00486A0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608C67"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14:paraId="5DF7328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3,55</w:t>
            </w:r>
          </w:p>
        </w:tc>
        <w:tc>
          <w:tcPr>
            <w:tcW w:w="709" w:type="dxa"/>
            <w:tcBorders>
              <w:top w:val="nil"/>
              <w:left w:val="nil"/>
              <w:bottom w:val="single" w:sz="4" w:space="0" w:color="auto"/>
              <w:right w:val="single" w:sz="4" w:space="0" w:color="auto"/>
            </w:tcBorders>
            <w:shd w:val="clear" w:color="auto" w:fill="auto"/>
            <w:noWrap/>
            <w:vAlign w:val="bottom"/>
            <w:hideMark/>
          </w:tcPr>
          <w:p w14:paraId="6F59EFC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886" w:type="dxa"/>
            <w:tcBorders>
              <w:top w:val="nil"/>
              <w:left w:val="nil"/>
              <w:bottom w:val="single" w:sz="4" w:space="0" w:color="auto"/>
              <w:right w:val="single" w:sz="4" w:space="0" w:color="auto"/>
            </w:tcBorders>
            <w:shd w:val="clear" w:color="auto" w:fill="auto"/>
            <w:noWrap/>
            <w:vAlign w:val="bottom"/>
            <w:hideMark/>
          </w:tcPr>
          <w:p w14:paraId="684FBE57"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0,28</w:t>
            </w:r>
          </w:p>
        </w:tc>
        <w:tc>
          <w:tcPr>
            <w:tcW w:w="665" w:type="dxa"/>
            <w:tcBorders>
              <w:top w:val="nil"/>
              <w:left w:val="nil"/>
              <w:bottom w:val="single" w:sz="4" w:space="0" w:color="auto"/>
              <w:right w:val="single" w:sz="4" w:space="0" w:color="auto"/>
            </w:tcBorders>
            <w:shd w:val="clear" w:color="auto" w:fill="auto"/>
            <w:noWrap/>
            <w:vAlign w:val="bottom"/>
            <w:hideMark/>
          </w:tcPr>
          <w:p w14:paraId="5645F9E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851" w:type="dxa"/>
            <w:tcBorders>
              <w:top w:val="nil"/>
              <w:left w:val="nil"/>
              <w:bottom w:val="single" w:sz="4" w:space="0" w:color="auto"/>
              <w:right w:val="single" w:sz="4" w:space="0" w:color="auto"/>
            </w:tcBorders>
            <w:shd w:val="clear" w:color="auto" w:fill="auto"/>
            <w:noWrap/>
            <w:vAlign w:val="bottom"/>
            <w:hideMark/>
          </w:tcPr>
          <w:p w14:paraId="5591EFA2"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27BF5A6A" w14:textId="77777777" w:rsidTr="00486A0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A76C770"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134" w:type="dxa"/>
            <w:tcBorders>
              <w:top w:val="nil"/>
              <w:left w:val="nil"/>
              <w:bottom w:val="single" w:sz="4" w:space="0" w:color="auto"/>
              <w:right w:val="single" w:sz="4" w:space="0" w:color="auto"/>
            </w:tcBorders>
            <w:shd w:val="clear" w:color="auto" w:fill="auto"/>
            <w:noWrap/>
            <w:vAlign w:val="bottom"/>
            <w:hideMark/>
          </w:tcPr>
          <w:p w14:paraId="79CDD7F2"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3,74</w:t>
            </w:r>
          </w:p>
        </w:tc>
        <w:tc>
          <w:tcPr>
            <w:tcW w:w="709" w:type="dxa"/>
            <w:tcBorders>
              <w:top w:val="nil"/>
              <w:left w:val="nil"/>
              <w:bottom w:val="single" w:sz="4" w:space="0" w:color="auto"/>
              <w:right w:val="single" w:sz="4" w:space="0" w:color="auto"/>
            </w:tcBorders>
            <w:shd w:val="clear" w:color="auto" w:fill="auto"/>
            <w:noWrap/>
            <w:vAlign w:val="bottom"/>
            <w:hideMark/>
          </w:tcPr>
          <w:p w14:paraId="68E24AF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886" w:type="dxa"/>
            <w:tcBorders>
              <w:top w:val="nil"/>
              <w:left w:val="nil"/>
              <w:bottom w:val="single" w:sz="4" w:space="0" w:color="auto"/>
              <w:right w:val="single" w:sz="4" w:space="0" w:color="auto"/>
            </w:tcBorders>
            <w:shd w:val="clear" w:color="auto" w:fill="auto"/>
            <w:noWrap/>
            <w:vAlign w:val="bottom"/>
            <w:hideMark/>
          </w:tcPr>
          <w:p w14:paraId="4C629682"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0,43</w:t>
            </w:r>
          </w:p>
        </w:tc>
        <w:tc>
          <w:tcPr>
            <w:tcW w:w="665" w:type="dxa"/>
            <w:tcBorders>
              <w:top w:val="nil"/>
              <w:left w:val="nil"/>
              <w:bottom w:val="single" w:sz="4" w:space="0" w:color="auto"/>
              <w:right w:val="single" w:sz="4" w:space="0" w:color="auto"/>
            </w:tcBorders>
            <w:shd w:val="clear" w:color="auto" w:fill="auto"/>
            <w:noWrap/>
            <w:vAlign w:val="bottom"/>
            <w:hideMark/>
          </w:tcPr>
          <w:p w14:paraId="7D34DC94"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851" w:type="dxa"/>
            <w:tcBorders>
              <w:top w:val="nil"/>
              <w:left w:val="nil"/>
              <w:bottom w:val="single" w:sz="4" w:space="0" w:color="auto"/>
              <w:right w:val="single" w:sz="4" w:space="0" w:color="auto"/>
            </w:tcBorders>
            <w:shd w:val="clear" w:color="auto" w:fill="auto"/>
            <w:noWrap/>
            <w:vAlign w:val="bottom"/>
            <w:hideMark/>
          </w:tcPr>
          <w:p w14:paraId="6FFF146C"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r>
      <w:tr w:rsidR="007E253F" w:rsidRPr="007E253F" w14:paraId="65E5596E" w14:textId="77777777" w:rsidTr="00486A0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2FC4CA0"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w:t>
            </w:r>
          </w:p>
        </w:tc>
        <w:tc>
          <w:tcPr>
            <w:tcW w:w="1134" w:type="dxa"/>
            <w:tcBorders>
              <w:top w:val="nil"/>
              <w:left w:val="nil"/>
              <w:bottom w:val="single" w:sz="4" w:space="0" w:color="auto"/>
              <w:right w:val="single" w:sz="4" w:space="0" w:color="auto"/>
            </w:tcBorders>
            <w:shd w:val="clear" w:color="auto" w:fill="auto"/>
            <w:noWrap/>
            <w:vAlign w:val="bottom"/>
            <w:hideMark/>
          </w:tcPr>
          <w:p w14:paraId="54149833"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4,18</w:t>
            </w:r>
          </w:p>
        </w:tc>
        <w:tc>
          <w:tcPr>
            <w:tcW w:w="709" w:type="dxa"/>
            <w:tcBorders>
              <w:top w:val="nil"/>
              <w:left w:val="nil"/>
              <w:bottom w:val="single" w:sz="4" w:space="0" w:color="auto"/>
              <w:right w:val="single" w:sz="4" w:space="0" w:color="auto"/>
            </w:tcBorders>
            <w:shd w:val="clear" w:color="auto" w:fill="auto"/>
            <w:noWrap/>
            <w:vAlign w:val="bottom"/>
            <w:hideMark/>
          </w:tcPr>
          <w:p w14:paraId="351FC2F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38</w:t>
            </w:r>
          </w:p>
        </w:tc>
        <w:tc>
          <w:tcPr>
            <w:tcW w:w="1886" w:type="dxa"/>
            <w:tcBorders>
              <w:top w:val="nil"/>
              <w:left w:val="nil"/>
              <w:bottom w:val="single" w:sz="4" w:space="0" w:color="auto"/>
              <w:right w:val="single" w:sz="4" w:space="0" w:color="auto"/>
            </w:tcBorders>
            <w:shd w:val="clear" w:color="auto" w:fill="auto"/>
            <w:noWrap/>
            <w:vAlign w:val="bottom"/>
            <w:hideMark/>
          </w:tcPr>
          <w:p w14:paraId="1E86F019"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0,21</w:t>
            </w:r>
          </w:p>
        </w:tc>
        <w:tc>
          <w:tcPr>
            <w:tcW w:w="665" w:type="dxa"/>
            <w:tcBorders>
              <w:top w:val="nil"/>
              <w:left w:val="nil"/>
              <w:bottom w:val="single" w:sz="4" w:space="0" w:color="auto"/>
              <w:right w:val="single" w:sz="4" w:space="0" w:color="auto"/>
            </w:tcBorders>
            <w:shd w:val="clear" w:color="auto" w:fill="auto"/>
            <w:noWrap/>
            <w:vAlign w:val="bottom"/>
            <w:hideMark/>
          </w:tcPr>
          <w:p w14:paraId="39B5A050"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07D3DD8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r>
    </w:tbl>
    <w:p w14:paraId="01BCA80E" w14:textId="7049F43A" w:rsidR="009635E7" w:rsidRDefault="00732357" w:rsidP="00732357">
      <w:pPr>
        <w:autoSpaceDE w:val="0"/>
        <w:autoSpaceDN w:val="0"/>
        <w:adjustRightInd w:val="0"/>
        <w:spacing w:after="360" w:line="360" w:lineRule="auto"/>
        <w:rPr>
          <w:rFonts w:cs="Times New Roman"/>
          <w:szCs w:val="24"/>
        </w:rPr>
      </w:pPr>
      <w:r>
        <w:rPr>
          <w:rFonts w:cs="Times New Roman"/>
          <w:szCs w:val="24"/>
        </w:rPr>
        <w:t xml:space="preserve">    </w:t>
      </w:r>
      <w:r w:rsidR="007E253F" w:rsidRPr="007E253F">
        <w:rPr>
          <w:rFonts w:cs="Times New Roman"/>
          <w:szCs w:val="24"/>
        </w:rPr>
        <w:t xml:space="preserve">Medias con una letra común no son significativamente diferentes (p &gt; 0,05), </w:t>
      </w:r>
      <w:bookmarkStart w:id="1332" w:name="_Toc72703991"/>
      <w:bookmarkStart w:id="1333" w:name="_Toc72704515"/>
      <w:bookmarkStart w:id="1334" w:name="_Toc72705579"/>
      <w:bookmarkStart w:id="1335" w:name="_Toc72706218"/>
      <w:bookmarkStart w:id="1336" w:name="_Toc72741168"/>
      <w:bookmarkStart w:id="1337" w:name="_Toc72741966"/>
      <w:bookmarkStart w:id="1338" w:name="_Toc72881138"/>
      <w:bookmarkStart w:id="1339" w:name="_Toc72882591"/>
      <w:bookmarkStart w:id="1340" w:name="_Toc75606383"/>
      <w:bookmarkStart w:id="1341" w:name="_Toc75612708"/>
      <w:bookmarkStart w:id="1342" w:name="_Toc75679863"/>
      <w:bookmarkStart w:id="1343" w:name="_Toc75702105"/>
      <w:bookmarkStart w:id="1344" w:name="_Toc75702471"/>
    </w:p>
    <w:p w14:paraId="61F781A9" w14:textId="41D362AB" w:rsidR="009635E7" w:rsidRDefault="007E253F" w:rsidP="00732357">
      <w:pPr>
        <w:autoSpaceDE w:val="0"/>
        <w:autoSpaceDN w:val="0"/>
        <w:adjustRightInd w:val="0"/>
        <w:spacing w:before="360" w:after="0" w:line="360" w:lineRule="auto"/>
      </w:pPr>
      <w:r w:rsidRPr="0065080E">
        <w:rPr>
          <w:b/>
          <w:bCs/>
        </w:rPr>
        <w:t xml:space="preserve"> </w:t>
      </w:r>
      <w:bookmarkStart w:id="1345" w:name="_Toc79314012"/>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009635E7" w:rsidRPr="009635E7">
        <w:rPr>
          <w:b/>
        </w:rPr>
        <w:t xml:space="preserve">Cuadro </w:t>
      </w:r>
      <w:r w:rsidR="009635E7" w:rsidRPr="009635E7">
        <w:rPr>
          <w:b/>
        </w:rPr>
        <w:fldChar w:fldCharType="begin"/>
      </w:r>
      <w:r w:rsidR="009635E7" w:rsidRPr="009635E7">
        <w:rPr>
          <w:b/>
        </w:rPr>
        <w:instrText xml:space="preserve"> SEQ Cuadro \* ARABIC </w:instrText>
      </w:r>
      <w:r w:rsidR="009635E7" w:rsidRPr="009635E7">
        <w:rPr>
          <w:b/>
        </w:rPr>
        <w:fldChar w:fldCharType="separate"/>
      </w:r>
      <w:r w:rsidR="000D1F55">
        <w:rPr>
          <w:b/>
          <w:noProof/>
        </w:rPr>
        <w:t>20</w:t>
      </w:r>
      <w:r w:rsidR="009635E7" w:rsidRPr="009635E7">
        <w:rPr>
          <w:b/>
        </w:rPr>
        <w:fldChar w:fldCharType="end"/>
      </w:r>
      <w:r w:rsidR="009635E7" w:rsidRPr="009635E7">
        <w:rPr>
          <w:b/>
        </w:rPr>
        <w:t>.</w:t>
      </w:r>
      <w:r w:rsidR="009635E7">
        <w:t xml:space="preserve"> </w:t>
      </w:r>
      <w:r w:rsidR="009635E7" w:rsidRPr="00873EB5">
        <w:t>Rendimiento de maíz suave en grano seco para diversas dosis de potasio evaluadas en la provincia de Bolívar del 2006 al 2011.</w:t>
      </w:r>
      <w:bookmarkEnd w:id="1345"/>
    </w:p>
    <w:tbl>
      <w:tblPr>
        <w:tblW w:w="4557" w:type="pct"/>
        <w:jc w:val="center"/>
        <w:tblCellMar>
          <w:left w:w="70" w:type="dxa"/>
          <w:right w:w="70" w:type="dxa"/>
        </w:tblCellMar>
        <w:tblLook w:val="04A0" w:firstRow="1" w:lastRow="0" w:firstColumn="1" w:lastColumn="0" w:noHBand="0" w:noVBand="1"/>
      </w:tblPr>
      <w:tblGrid>
        <w:gridCol w:w="2060"/>
        <w:gridCol w:w="889"/>
        <w:gridCol w:w="452"/>
        <w:gridCol w:w="2128"/>
        <w:gridCol w:w="564"/>
        <w:gridCol w:w="564"/>
        <w:gridCol w:w="568"/>
      </w:tblGrid>
      <w:tr w:rsidR="00732357" w:rsidRPr="007E253F" w14:paraId="689D9CD1" w14:textId="77777777" w:rsidTr="00486A09">
        <w:trPr>
          <w:trHeight w:val="300"/>
          <w:jc w:val="center"/>
        </w:trPr>
        <w:tc>
          <w:tcPr>
            <w:tcW w:w="1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59A4A" w14:textId="77777777"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K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14:paraId="2D3D1021" w14:textId="77777777"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1AA09696" w14:textId="77777777"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n </w:t>
            </w:r>
          </w:p>
        </w:tc>
        <w:tc>
          <w:tcPr>
            <w:tcW w:w="1473" w:type="pct"/>
            <w:tcBorders>
              <w:top w:val="single" w:sz="4" w:space="0" w:color="auto"/>
              <w:left w:val="nil"/>
              <w:bottom w:val="single" w:sz="4" w:space="0" w:color="auto"/>
              <w:right w:val="single" w:sz="4" w:space="0" w:color="auto"/>
            </w:tcBorders>
            <w:shd w:val="clear" w:color="auto" w:fill="auto"/>
            <w:noWrap/>
            <w:vAlign w:val="bottom"/>
            <w:hideMark/>
          </w:tcPr>
          <w:p w14:paraId="1DBDAEBE" w14:textId="77777777"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1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AEEF2" w14:textId="2E78CF4B" w:rsidR="00732357" w:rsidRPr="007E253F" w:rsidRDefault="00732357"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Lsd 0,05</w:t>
            </w:r>
          </w:p>
        </w:tc>
      </w:tr>
      <w:tr w:rsidR="007E253F" w:rsidRPr="007E253F" w14:paraId="75A604E7" w14:textId="77777777" w:rsidTr="00486A09">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0195F524"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615" w:type="pct"/>
            <w:tcBorders>
              <w:top w:val="nil"/>
              <w:left w:val="nil"/>
              <w:bottom w:val="single" w:sz="4" w:space="0" w:color="auto"/>
              <w:right w:val="single" w:sz="4" w:space="0" w:color="auto"/>
            </w:tcBorders>
            <w:shd w:val="clear" w:color="auto" w:fill="auto"/>
            <w:noWrap/>
            <w:vAlign w:val="bottom"/>
            <w:hideMark/>
          </w:tcPr>
          <w:p w14:paraId="70EA192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3,15</w:t>
            </w:r>
          </w:p>
        </w:tc>
        <w:tc>
          <w:tcPr>
            <w:tcW w:w="313" w:type="pct"/>
            <w:tcBorders>
              <w:top w:val="nil"/>
              <w:left w:val="nil"/>
              <w:bottom w:val="single" w:sz="4" w:space="0" w:color="auto"/>
              <w:right w:val="single" w:sz="4" w:space="0" w:color="auto"/>
            </w:tcBorders>
            <w:shd w:val="clear" w:color="auto" w:fill="auto"/>
            <w:noWrap/>
            <w:vAlign w:val="bottom"/>
            <w:hideMark/>
          </w:tcPr>
          <w:p w14:paraId="5FD4CEE7"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473" w:type="pct"/>
            <w:tcBorders>
              <w:top w:val="nil"/>
              <w:left w:val="nil"/>
              <w:bottom w:val="single" w:sz="4" w:space="0" w:color="auto"/>
              <w:right w:val="single" w:sz="4" w:space="0" w:color="auto"/>
            </w:tcBorders>
            <w:shd w:val="clear" w:color="auto" w:fill="auto"/>
            <w:noWrap/>
            <w:vAlign w:val="bottom"/>
            <w:hideMark/>
          </w:tcPr>
          <w:p w14:paraId="02126D88"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0,47</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1800A65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6BF935D6"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52933D5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277AFC4E" w14:textId="77777777" w:rsidTr="00486A09">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7D17163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615" w:type="pct"/>
            <w:tcBorders>
              <w:top w:val="nil"/>
              <w:left w:val="nil"/>
              <w:bottom w:val="single" w:sz="4" w:space="0" w:color="auto"/>
              <w:right w:val="single" w:sz="4" w:space="0" w:color="auto"/>
            </w:tcBorders>
            <w:shd w:val="clear" w:color="auto" w:fill="auto"/>
            <w:noWrap/>
            <w:vAlign w:val="bottom"/>
            <w:hideMark/>
          </w:tcPr>
          <w:p w14:paraId="79BD19F8"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3,34</w:t>
            </w:r>
          </w:p>
        </w:tc>
        <w:tc>
          <w:tcPr>
            <w:tcW w:w="313" w:type="pct"/>
            <w:tcBorders>
              <w:top w:val="nil"/>
              <w:left w:val="nil"/>
              <w:bottom w:val="single" w:sz="4" w:space="0" w:color="auto"/>
              <w:right w:val="single" w:sz="4" w:space="0" w:color="auto"/>
            </w:tcBorders>
            <w:shd w:val="clear" w:color="auto" w:fill="auto"/>
            <w:noWrap/>
            <w:vAlign w:val="bottom"/>
            <w:hideMark/>
          </w:tcPr>
          <w:p w14:paraId="669A2A04"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473" w:type="pct"/>
            <w:tcBorders>
              <w:top w:val="nil"/>
              <w:left w:val="nil"/>
              <w:bottom w:val="single" w:sz="4" w:space="0" w:color="auto"/>
              <w:right w:val="single" w:sz="4" w:space="0" w:color="auto"/>
            </w:tcBorders>
            <w:shd w:val="clear" w:color="auto" w:fill="auto"/>
            <w:noWrap/>
            <w:vAlign w:val="bottom"/>
            <w:hideMark/>
          </w:tcPr>
          <w:p w14:paraId="434ABD16"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w:t>
            </w:r>
          </w:p>
        </w:tc>
        <w:tc>
          <w:tcPr>
            <w:tcW w:w="390" w:type="pct"/>
            <w:tcBorders>
              <w:top w:val="nil"/>
              <w:left w:val="nil"/>
              <w:bottom w:val="single" w:sz="4" w:space="0" w:color="auto"/>
              <w:right w:val="single" w:sz="4" w:space="0" w:color="auto"/>
            </w:tcBorders>
            <w:shd w:val="clear" w:color="auto" w:fill="auto"/>
            <w:noWrap/>
            <w:vAlign w:val="bottom"/>
            <w:hideMark/>
          </w:tcPr>
          <w:p w14:paraId="2544C278"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390" w:type="pct"/>
            <w:tcBorders>
              <w:top w:val="nil"/>
              <w:left w:val="nil"/>
              <w:bottom w:val="single" w:sz="4" w:space="0" w:color="auto"/>
              <w:right w:val="single" w:sz="4" w:space="0" w:color="auto"/>
            </w:tcBorders>
            <w:shd w:val="clear" w:color="auto" w:fill="auto"/>
            <w:noWrap/>
            <w:vAlign w:val="bottom"/>
            <w:hideMark/>
          </w:tcPr>
          <w:p w14:paraId="59E54863"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392" w:type="pct"/>
            <w:tcBorders>
              <w:top w:val="nil"/>
              <w:left w:val="nil"/>
              <w:bottom w:val="single" w:sz="4" w:space="0" w:color="auto"/>
              <w:right w:val="single" w:sz="4" w:space="0" w:color="auto"/>
            </w:tcBorders>
            <w:shd w:val="clear" w:color="auto" w:fill="auto"/>
            <w:noWrap/>
            <w:vAlign w:val="bottom"/>
            <w:hideMark/>
          </w:tcPr>
          <w:p w14:paraId="4C16F327"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04276DA9" w14:textId="77777777" w:rsidTr="00486A09">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342E0DB6"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615" w:type="pct"/>
            <w:tcBorders>
              <w:top w:val="nil"/>
              <w:left w:val="nil"/>
              <w:bottom w:val="single" w:sz="4" w:space="0" w:color="auto"/>
              <w:right w:val="single" w:sz="4" w:space="0" w:color="auto"/>
            </w:tcBorders>
            <w:shd w:val="clear" w:color="auto" w:fill="auto"/>
            <w:noWrap/>
            <w:vAlign w:val="bottom"/>
            <w:hideMark/>
          </w:tcPr>
          <w:p w14:paraId="65D0BCA2"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w:t>
            </w:r>
          </w:p>
        </w:tc>
        <w:tc>
          <w:tcPr>
            <w:tcW w:w="313" w:type="pct"/>
            <w:tcBorders>
              <w:top w:val="nil"/>
              <w:left w:val="nil"/>
              <w:bottom w:val="single" w:sz="4" w:space="0" w:color="auto"/>
              <w:right w:val="single" w:sz="4" w:space="0" w:color="auto"/>
            </w:tcBorders>
            <w:shd w:val="clear" w:color="auto" w:fill="auto"/>
            <w:noWrap/>
            <w:vAlign w:val="bottom"/>
            <w:hideMark/>
          </w:tcPr>
          <w:p w14:paraId="13E17190"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473" w:type="pct"/>
            <w:tcBorders>
              <w:top w:val="nil"/>
              <w:left w:val="nil"/>
              <w:bottom w:val="single" w:sz="4" w:space="0" w:color="auto"/>
              <w:right w:val="single" w:sz="4" w:space="0" w:color="auto"/>
            </w:tcBorders>
            <w:shd w:val="clear" w:color="auto" w:fill="auto"/>
            <w:noWrap/>
            <w:vAlign w:val="bottom"/>
            <w:hideMark/>
          </w:tcPr>
          <w:p w14:paraId="4ACE6B9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0,47</w:t>
            </w:r>
          </w:p>
        </w:tc>
        <w:tc>
          <w:tcPr>
            <w:tcW w:w="390" w:type="pct"/>
            <w:tcBorders>
              <w:top w:val="nil"/>
              <w:left w:val="nil"/>
              <w:bottom w:val="single" w:sz="4" w:space="0" w:color="auto"/>
              <w:right w:val="single" w:sz="4" w:space="0" w:color="auto"/>
            </w:tcBorders>
            <w:shd w:val="clear" w:color="auto" w:fill="auto"/>
            <w:noWrap/>
            <w:vAlign w:val="bottom"/>
            <w:hideMark/>
          </w:tcPr>
          <w:p w14:paraId="6C0173B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390" w:type="pct"/>
            <w:tcBorders>
              <w:top w:val="nil"/>
              <w:left w:val="nil"/>
              <w:bottom w:val="single" w:sz="4" w:space="0" w:color="auto"/>
              <w:right w:val="single" w:sz="4" w:space="0" w:color="auto"/>
            </w:tcBorders>
            <w:shd w:val="clear" w:color="auto" w:fill="auto"/>
            <w:noWrap/>
            <w:vAlign w:val="bottom"/>
            <w:hideMark/>
          </w:tcPr>
          <w:p w14:paraId="0EC2003E"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c>
          <w:tcPr>
            <w:tcW w:w="392" w:type="pct"/>
            <w:tcBorders>
              <w:top w:val="nil"/>
              <w:left w:val="nil"/>
              <w:bottom w:val="single" w:sz="4" w:space="0" w:color="auto"/>
              <w:right w:val="single" w:sz="4" w:space="0" w:color="auto"/>
            </w:tcBorders>
            <w:shd w:val="clear" w:color="auto" w:fill="auto"/>
            <w:noWrap/>
            <w:vAlign w:val="bottom"/>
            <w:hideMark/>
          </w:tcPr>
          <w:p w14:paraId="438FF143"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551417AC" w14:textId="77777777" w:rsidTr="00486A09">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77A6A97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615" w:type="pct"/>
            <w:tcBorders>
              <w:top w:val="nil"/>
              <w:left w:val="nil"/>
              <w:bottom w:val="single" w:sz="4" w:space="0" w:color="auto"/>
              <w:right w:val="single" w:sz="4" w:space="0" w:color="auto"/>
            </w:tcBorders>
            <w:shd w:val="clear" w:color="auto" w:fill="auto"/>
            <w:noWrap/>
            <w:vAlign w:val="bottom"/>
            <w:hideMark/>
          </w:tcPr>
          <w:p w14:paraId="4FBFEF2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4,14</w:t>
            </w:r>
          </w:p>
        </w:tc>
        <w:tc>
          <w:tcPr>
            <w:tcW w:w="313" w:type="pct"/>
            <w:tcBorders>
              <w:top w:val="nil"/>
              <w:left w:val="nil"/>
              <w:bottom w:val="single" w:sz="4" w:space="0" w:color="auto"/>
              <w:right w:val="single" w:sz="4" w:space="0" w:color="auto"/>
            </w:tcBorders>
            <w:shd w:val="clear" w:color="auto" w:fill="auto"/>
            <w:noWrap/>
            <w:vAlign w:val="bottom"/>
            <w:hideMark/>
          </w:tcPr>
          <w:p w14:paraId="1145A81F"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473" w:type="pct"/>
            <w:tcBorders>
              <w:top w:val="nil"/>
              <w:left w:val="nil"/>
              <w:bottom w:val="single" w:sz="4" w:space="0" w:color="auto"/>
              <w:right w:val="single" w:sz="4" w:space="0" w:color="auto"/>
            </w:tcBorders>
            <w:shd w:val="clear" w:color="auto" w:fill="auto"/>
            <w:noWrap/>
            <w:vAlign w:val="bottom"/>
            <w:hideMark/>
          </w:tcPr>
          <w:p w14:paraId="384F6CA7"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0,17</w:t>
            </w:r>
          </w:p>
        </w:tc>
        <w:tc>
          <w:tcPr>
            <w:tcW w:w="390" w:type="pct"/>
            <w:tcBorders>
              <w:top w:val="nil"/>
              <w:left w:val="nil"/>
              <w:bottom w:val="single" w:sz="4" w:space="0" w:color="auto"/>
              <w:right w:val="single" w:sz="4" w:space="0" w:color="auto"/>
            </w:tcBorders>
            <w:shd w:val="clear" w:color="auto" w:fill="auto"/>
            <w:noWrap/>
            <w:vAlign w:val="bottom"/>
            <w:hideMark/>
          </w:tcPr>
          <w:p w14:paraId="5A080FC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390" w:type="pct"/>
            <w:tcBorders>
              <w:top w:val="nil"/>
              <w:left w:val="nil"/>
              <w:bottom w:val="single" w:sz="4" w:space="0" w:color="auto"/>
              <w:right w:val="single" w:sz="4" w:space="0" w:color="auto"/>
            </w:tcBorders>
            <w:shd w:val="clear" w:color="auto" w:fill="auto"/>
            <w:noWrap/>
            <w:vAlign w:val="bottom"/>
            <w:hideMark/>
          </w:tcPr>
          <w:p w14:paraId="0251CEE3"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c>
          <w:tcPr>
            <w:tcW w:w="392" w:type="pct"/>
            <w:tcBorders>
              <w:top w:val="nil"/>
              <w:left w:val="nil"/>
              <w:bottom w:val="single" w:sz="4" w:space="0" w:color="auto"/>
              <w:right w:val="single" w:sz="4" w:space="0" w:color="auto"/>
            </w:tcBorders>
            <w:shd w:val="clear" w:color="auto" w:fill="auto"/>
            <w:noWrap/>
            <w:vAlign w:val="bottom"/>
            <w:hideMark/>
          </w:tcPr>
          <w:p w14:paraId="177A9789"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52A42C1D" w14:textId="77777777" w:rsidTr="00486A09">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7EDCF51A"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615" w:type="pct"/>
            <w:tcBorders>
              <w:top w:val="nil"/>
              <w:left w:val="nil"/>
              <w:bottom w:val="single" w:sz="4" w:space="0" w:color="auto"/>
              <w:right w:val="single" w:sz="4" w:space="0" w:color="auto"/>
            </w:tcBorders>
            <w:shd w:val="clear" w:color="auto" w:fill="auto"/>
            <w:noWrap/>
            <w:vAlign w:val="bottom"/>
            <w:hideMark/>
          </w:tcPr>
          <w:p w14:paraId="7DB3DB8E"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6,08</w:t>
            </w:r>
          </w:p>
        </w:tc>
        <w:tc>
          <w:tcPr>
            <w:tcW w:w="313" w:type="pct"/>
            <w:tcBorders>
              <w:top w:val="nil"/>
              <w:left w:val="nil"/>
              <w:bottom w:val="single" w:sz="4" w:space="0" w:color="auto"/>
              <w:right w:val="single" w:sz="4" w:space="0" w:color="auto"/>
            </w:tcBorders>
            <w:shd w:val="clear" w:color="auto" w:fill="auto"/>
            <w:noWrap/>
            <w:vAlign w:val="bottom"/>
            <w:hideMark/>
          </w:tcPr>
          <w:p w14:paraId="77FAD330"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473" w:type="pct"/>
            <w:tcBorders>
              <w:top w:val="nil"/>
              <w:left w:val="nil"/>
              <w:bottom w:val="single" w:sz="4" w:space="0" w:color="auto"/>
              <w:right w:val="single" w:sz="4" w:space="0" w:color="auto"/>
            </w:tcBorders>
            <w:shd w:val="clear" w:color="auto" w:fill="auto"/>
            <w:noWrap/>
            <w:vAlign w:val="bottom"/>
            <w:hideMark/>
          </w:tcPr>
          <w:p w14:paraId="6C84DB56"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1,04</w:t>
            </w:r>
          </w:p>
        </w:tc>
        <w:tc>
          <w:tcPr>
            <w:tcW w:w="390" w:type="pct"/>
            <w:tcBorders>
              <w:top w:val="nil"/>
              <w:left w:val="nil"/>
              <w:bottom w:val="single" w:sz="4" w:space="0" w:color="auto"/>
              <w:right w:val="single" w:sz="4" w:space="0" w:color="auto"/>
            </w:tcBorders>
            <w:shd w:val="clear" w:color="auto" w:fill="auto"/>
            <w:noWrap/>
            <w:vAlign w:val="bottom"/>
            <w:hideMark/>
          </w:tcPr>
          <w:p w14:paraId="3FDF58AB"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390" w:type="pct"/>
            <w:tcBorders>
              <w:top w:val="nil"/>
              <w:left w:val="nil"/>
              <w:bottom w:val="single" w:sz="4" w:space="0" w:color="auto"/>
              <w:right w:val="single" w:sz="4" w:space="0" w:color="auto"/>
            </w:tcBorders>
            <w:shd w:val="clear" w:color="auto" w:fill="auto"/>
            <w:noWrap/>
            <w:vAlign w:val="bottom"/>
            <w:hideMark/>
          </w:tcPr>
          <w:p w14:paraId="76597DA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392" w:type="pct"/>
            <w:tcBorders>
              <w:top w:val="nil"/>
              <w:left w:val="nil"/>
              <w:bottom w:val="single" w:sz="4" w:space="0" w:color="auto"/>
              <w:right w:val="single" w:sz="4" w:space="0" w:color="auto"/>
            </w:tcBorders>
            <w:shd w:val="clear" w:color="auto" w:fill="auto"/>
            <w:noWrap/>
            <w:vAlign w:val="bottom"/>
            <w:hideMark/>
          </w:tcPr>
          <w:p w14:paraId="623627D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 </w:t>
            </w:r>
          </w:p>
        </w:tc>
      </w:tr>
    </w:tbl>
    <w:p w14:paraId="6C8463E0" w14:textId="04FDFC00" w:rsidR="007E253F" w:rsidRPr="007E253F" w:rsidRDefault="00486A09" w:rsidP="007E253F">
      <w:pPr>
        <w:autoSpaceDE w:val="0"/>
        <w:autoSpaceDN w:val="0"/>
        <w:adjustRightInd w:val="0"/>
        <w:spacing w:after="0" w:line="360" w:lineRule="auto"/>
        <w:rPr>
          <w:rFonts w:cs="Times New Roman"/>
          <w:szCs w:val="24"/>
        </w:rPr>
      </w:pPr>
      <w:r>
        <w:rPr>
          <w:rFonts w:cs="Times New Roman"/>
          <w:szCs w:val="24"/>
        </w:rPr>
        <w:t xml:space="preserve">     </w:t>
      </w:r>
      <w:r w:rsidR="007E253F" w:rsidRPr="007E253F">
        <w:rPr>
          <w:rFonts w:cs="Times New Roman"/>
          <w:szCs w:val="24"/>
        </w:rPr>
        <w:t xml:space="preserve">Medias con una letra común no son significativamente diferentes (p &gt; 0,05). </w:t>
      </w:r>
    </w:p>
    <w:p w14:paraId="5C7F7244" w14:textId="4364C7C8" w:rsidR="009635E7" w:rsidRPr="009635E7" w:rsidRDefault="007E253F" w:rsidP="00732357">
      <w:pPr>
        <w:autoSpaceDE w:val="0"/>
        <w:autoSpaceDN w:val="0"/>
        <w:adjustRightInd w:val="0"/>
        <w:spacing w:before="360" w:after="360" w:line="360" w:lineRule="auto"/>
        <w:rPr>
          <w:rFonts w:cs="Times New Roman"/>
          <w:szCs w:val="24"/>
        </w:rPr>
      </w:pPr>
      <w:r w:rsidRPr="007E253F">
        <w:rPr>
          <w:rFonts w:cs="Times New Roman"/>
          <w:szCs w:val="24"/>
        </w:rPr>
        <w:t>Las dosis de fósforo y potasio no muestran una tendencia clara o beneficio de aplicarlo. Es posible que estos resultados correspondan al tipo de error estadístico 1, también denominado error de tipo alfa (α)</w:t>
      </w:r>
      <w:hyperlink r:id="rId15" w:anchor="cite_note-1" w:history="1">
        <w:r w:rsidRPr="007E253F">
          <w:rPr>
            <w:rFonts w:cs="Times New Roman"/>
            <w:szCs w:val="24"/>
          </w:rPr>
          <w:t>1</w:t>
        </w:r>
      </w:hyperlink>
      <w:r w:rsidRPr="007E253F">
        <w:rPr>
          <w:rFonts w:cs="Times New Roman"/>
          <w:szCs w:val="24"/>
        </w:rPr>
        <w:t xml:space="preserve">​ o falso positivo; que es el error que se comete cuando se  rechaza la </w:t>
      </w:r>
      <w:hyperlink r:id="rId16" w:tooltip="Hipótesis nula" w:history="1">
        <w:r w:rsidRPr="007E253F">
          <w:rPr>
            <w:rFonts w:cs="Times New Roman"/>
            <w:szCs w:val="24"/>
          </w:rPr>
          <w:t>hipótesis nula</w:t>
        </w:r>
      </w:hyperlink>
      <w:r w:rsidRPr="007E253F">
        <w:rPr>
          <w:rFonts w:cs="Times New Roman"/>
          <w:szCs w:val="24"/>
        </w:rPr>
        <w:t>, siendo esta verdadera. Es equivalente a encontrar un resultado falso positivo, porque el investigador llega a la conclusión de que existe una diferenci</w:t>
      </w:r>
      <w:r w:rsidR="009635E7">
        <w:rPr>
          <w:rFonts w:cs="Times New Roman"/>
          <w:szCs w:val="24"/>
        </w:rPr>
        <w:t>a cuando en realidad no existe.</w:t>
      </w:r>
    </w:p>
    <w:p w14:paraId="5D9D0C3F" w14:textId="1480590E" w:rsidR="009635E7" w:rsidRPr="009635E7" w:rsidRDefault="009635E7" w:rsidP="00732357">
      <w:pPr>
        <w:pStyle w:val="Descripcin"/>
        <w:keepNext/>
        <w:spacing w:before="360"/>
        <w:rPr>
          <w:rFonts w:cs="Times New Roman"/>
          <w:i w:val="0"/>
          <w:iCs w:val="0"/>
          <w:color w:val="auto"/>
          <w:sz w:val="24"/>
          <w:szCs w:val="24"/>
          <w:lang w:eastAsia="en-US"/>
        </w:rPr>
      </w:pPr>
      <w:bookmarkStart w:id="1346" w:name="_Toc79314013"/>
      <w:r w:rsidRPr="009635E7">
        <w:rPr>
          <w:rFonts w:cs="Times New Roman"/>
          <w:b/>
          <w:i w:val="0"/>
          <w:iCs w:val="0"/>
          <w:color w:val="auto"/>
          <w:sz w:val="24"/>
          <w:szCs w:val="24"/>
          <w:lang w:eastAsia="en-US"/>
        </w:rPr>
        <w:lastRenderedPageBreak/>
        <w:t xml:space="preserve">Cuadro </w:t>
      </w:r>
      <w:r w:rsidRPr="009635E7">
        <w:rPr>
          <w:rFonts w:cs="Times New Roman"/>
          <w:b/>
          <w:i w:val="0"/>
          <w:iCs w:val="0"/>
          <w:color w:val="auto"/>
          <w:sz w:val="24"/>
          <w:szCs w:val="24"/>
          <w:lang w:eastAsia="en-US"/>
        </w:rPr>
        <w:fldChar w:fldCharType="begin"/>
      </w:r>
      <w:r w:rsidRPr="009635E7">
        <w:rPr>
          <w:rFonts w:cs="Times New Roman"/>
          <w:b/>
          <w:i w:val="0"/>
          <w:iCs w:val="0"/>
          <w:color w:val="auto"/>
          <w:sz w:val="24"/>
          <w:szCs w:val="24"/>
          <w:lang w:eastAsia="en-US"/>
        </w:rPr>
        <w:instrText xml:space="preserve"> SEQ Cuadro \* ARABIC </w:instrText>
      </w:r>
      <w:r w:rsidRPr="009635E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21</w:t>
      </w:r>
      <w:r w:rsidRPr="009635E7">
        <w:rPr>
          <w:rFonts w:cs="Times New Roman"/>
          <w:b/>
          <w:i w:val="0"/>
          <w:iCs w:val="0"/>
          <w:color w:val="auto"/>
          <w:sz w:val="24"/>
          <w:szCs w:val="24"/>
          <w:lang w:eastAsia="en-US"/>
        </w:rPr>
        <w:fldChar w:fldCharType="end"/>
      </w:r>
      <w:r w:rsidRPr="009635E7">
        <w:rPr>
          <w:rFonts w:cs="Times New Roman"/>
          <w:b/>
          <w:i w:val="0"/>
          <w:iCs w:val="0"/>
          <w:color w:val="auto"/>
          <w:sz w:val="24"/>
          <w:szCs w:val="24"/>
          <w:lang w:eastAsia="en-US"/>
        </w:rPr>
        <w:t>.</w:t>
      </w:r>
      <w:r w:rsidRPr="009635E7">
        <w:rPr>
          <w:rFonts w:cs="Times New Roman"/>
          <w:i w:val="0"/>
          <w:iCs w:val="0"/>
          <w:color w:val="auto"/>
          <w:sz w:val="24"/>
          <w:szCs w:val="24"/>
          <w:lang w:eastAsia="en-US"/>
        </w:rPr>
        <w:t xml:space="preserve"> Rendimiento de maíz suave en grano seco para diversas dosis de azufre evaluadas en la provincia de Bolívar del 2006 al 2011.</w:t>
      </w:r>
      <w:bookmarkEnd w:id="1346"/>
    </w:p>
    <w:tbl>
      <w:tblPr>
        <w:tblW w:w="5409" w:type="dxa"/>
        <w:jc w:val="center"/>
        <w:tblCellMar>
          <w:left w:w="70" w:type="dxa"/>
          <w:right w:w="70" w:type="dxa"/>
        </w:tblCellMar>
        <w:tblLook w:val="04A0" w:firstRow="1" w:lastRow="0" w:firstColumn="1" w:lastColumn="0" w:noHBand="0" w:noVBand="1"/>
      </w:tblPr>
      <w:tblGrid>
        <w:gridCol w:w="2122"/>
        <w:gridCol w:w="887"/>
        <w:gridCol w:w="672"/>
        <w:gridCol w:w="1728"/>
      </w:tblGrid>
      <w:tr w:rsidR="007E253F" w:rsidRPr="007E253F" w14:paraId="59E0C219" w14:textId="77777777" w:rsidTr="00912B23">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AADB7"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S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0A071728"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4D100C8F"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7BBE982C" w14:textId="77777777" w:rsidR="007E253F" w:rsidRPr="007E253F" w:rsidRDefault="007E253F" w:rsidP="0073235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3787A667" w14:textId="77777777" w:rsidTr="00912B2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E832B80"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shd w:val="clear" w:color="auto" w:fill="auto"/>
            <w:noWrap/>
            <w:vAlign w:val="bottom"/>
            <w:hideMark/>
          </w:tcPr>
          <w:p w14:paraId="29288EF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3,34</w:t>
            </w:r>
          </w:p>
        </w:tc>
        <w:tc>
          <w:tcPr>
            <w:tcW w:w="672" w:type="dxa"/>
            <w:tcBorders>
              <w:top w:val="nil"/>
              <w:left w:val="nil"/>
              <w:bottom w:val="single" w:sz="4" w:space="0" w:color="auto"/>
              <w:right w:val="single" w:sz="4" w:space="0" w:color="auto"/>
            </w:tcBorders>
            <w:shd w:val="clear" w:color="auto" w:fill="auto"/>
            <w:noWrap/>
            <w:vAlign w:val="bottom"/>
            <w:hideMark/>
          </w:tcPr>
          <w:p w14:paraId="14025050"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shd w:val="clear" w:color="auto" w:fill="auto"/>
            <w:noWrap/>
            <w:vAlign w:val="bottom"/>
            <w:hideMark/>
          </w:tcPr>
          <w:p w14:paraId="37CFBCB8"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w:t>
            </w:r>
          </w:p>
        </w:tc>
      </w:tr>
      <w:tr w:rsidR="007E253F" w:rsidRPr="007E253F" w14:paraId="661CADD8" w14:textId="77777777" w:rsidTr="00912B2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A0782CD"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3D31D3F4"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3,72</w:t>
            </w:r>
          </w:p>
        </w:tc>
        <w:tc>
          <w:tcPr>
            <w:tcW w:w="672" w:type="dxa"/>
            <w:tcBorders>
              <w:top w:val="nil"/>
              <w:left w:val="nil"/>
              <w:bottom w:val="single" w:sz="4" w:space="0" w:color="auto"/>
              <w:right w:val="single" w:sz="4" w:space="0" w:color="auto"/>
            </w:tcBorders>
            <w:shd w:val="clear" w:color="auto" w:fill="auto"/>
            <w:noWrap/>
            <w:vAlign w:val="bottom"/>
            <w:hideMark/>
          </w:tcPr>
          <w:p w14:paraId="3B9D1D8B"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728" w:type="dxa"/>
            <w:tcBorders>
              <w:top w:val="nil"/>
              <w:left w:val="nil"/>
              <w:bottom w:val="single" w:sz="4" w:space="0" w:color="auto"/>
              <w:right w:val="single" w:sz="4" w:space="0" w:color="auto"/>
            </w:tcBorders>
            <w:shd w:val="clear" w:color="auto" w:fill="auto"/>
            <w:noWrap/>
            <w:vAlign w:val="bottom"/>
            <w:hideMark/>
          </w:tcPr>
          <w:p w14:paraId="15833889"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0,32</w:t>
            </w:r>
          </w:p>
        </w:tc>
      </w:tr>
      <w:tr w:rsidR="007E253F" w:rsidRPr="007E253F" w14:paraId="5B93521D" w14:textId="77777777" w:rsidTr="00912B2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5461BA5"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1D9F8387"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4,14</w:t>
            </w:r>
          </w:p>
        </w:tc>
        <w:tc>
          <w:tcPr>
            <w:tcW w:w="672" w:type="dxa"/>
            <w:tcBorders>
              <w:top w:val="nil"/>
              <w:left w:val="nil"/>
              <w:bottom w:val="single" w:sz="4" w:space="0" w:color="auto"/>
              <w:right w:val="single" w:sz="4" w:space="0" w:color="auto"/>
            </w:tcBorders>
            <w:shd w:val="clear" w:color="auto" w:fill="auto"/>
            <w:noWrap/>
            <w:vAlign w:val="bottom"/>
            <w:hideMark/>
          </w:tcPr>
          <w:p w14:paraId="0B858BD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728" w:type="dxa"/>
            <w:tcBorders>
              <w:top w:val="nil"/>
              <w:left w:val="nil"/>
              <w:bottom w:val="single" w:sz="4" w:space="0" w:color="auto"/>
              <w:right w:val="single" w:sz="4" w:space="0" w:color="auto"/>
            </w:tcBorders>
            <w:shd w:val="clear" w:color="auto" w:fill="auto"/>
            <w:noWrap/>
            <w:vAlign w:val="bottom"/>
            <w:hideMark/>
          </w:tcPr>
          <w:p w14:paraId="1D518621" w14:textId="77777777" w:rsidR="007E253F" w:rsidRPr="007E253F" w:rsidRDefault="007E253F" w:rsidP="0073235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0,17</w:t>
            </w:r>
          </w:p>
        </w:tc>
      </w:tr>
    </w:tbl>
    <w:p w14:paraId="58ADF390" w14:textId="77777777" w:rsidR="00486A09" w:rsidRDefault="007E253F" w:rsidP="00486A09">
      <w:pPr>
        <w:autoSpaceDE w:val="0"/>
        <w:autoSpaceDN w:val="0"/>
        <w:adjustRightInd w:val="0"/>
        <w:spacing w:before="360" w:after="360" w:line="360" w:lineRule="auto"/>
        <w:rPr>
          <w:rFonts w:cs="Times New Roman"/>
          <w:szCs w:val="24"/>
        </w:rPr>
      </w:pPr>
      <w:r w:rsidRPr="007E253F">
        <w:rPr>
          <w:rFonts w:cs="Times New Roman"/>
          <w:szCs w:val="24"/>
        </w:rPr>
        <w:t xml:space="preserve">Los promedios obtenidos no demuestran tener relación directa en cuanto a la dosis de azufre empleada. </w:t>
      </w:r>
      <w:bookmarkStart w:id="1347" w:name="_Toc79314014"/>
    </w:p>
    <w:p w14:paraId="6EC17C20" w14:textId="7C24F890" w:rsidR="009635E7" w:rsidRPr="00486A09" w:rsidRDefault="009635E7" w:rsidP="00486A09">
      <w:pPr>
        <w:autoSpaceDE w:val="0"/>
        <w:autoSpaceDN w:val="0"/>
        <w:adjustRightInd w:val="0"/>
        <w:spacing w:before="360" w:after="0" w:line="360" w:lineRule="auto"/>
        <w:rPr>
          <w:rFonts w:cs="Times New Roman"/>
          <w:szCs w:val="24"/>
        </w:rPr>
      </w:pPr>
      <w:r w:rsidRPr="009635E7">
        <w:rPr>
          <w:rFonts w:cs="Times New Roman"/>
          <w:b/>
          <w:szCs w:val="24"/>
        </w:rPr>
        <w:t xml:space="preserve">Cuadro </w:t>
      </w:r>
      <w:r w:rsidRPr="009635E7">
        <w:rPr>
          <w:rFonts w:cs="Times New Roman"/>
          <w:b/>
          <w:i/>
          <w:iCs/>
          <w:szCs w:val="24"/>
        </w:rPr>
        <w:fldChar w:fldCharType="begin"/>
      </w:r>
      <w:r w:rsidRPr="009635E7">
        <w:rPr>
          <w:rFonts w:cs="Times New Roman"/>
          <w:b/>
          <w:szCs w:val="24"/>
        </w:rPr>
        <w:instrText xml:space="preserve"> SEQ Cuadro \* ARABIC </w:instrText>
      </w:r>
      <w:r w:rsidRPr="009635E7">
        <w:rPr>
          <w:rFonts w:cs="Times New Roman"/>
          <w:b/>
          <w:i/>
          <w:iCs/>
          <w:szCs w:val="24"/>
        </w:rPr>
        <w:fldChar w:fldCharType="separate"/>
      </w:r>
      <w:r w:rsidR="000D1F55">
        <w:rPr>
          <w:rFonts w:cs="Times New Roman"/>
          <w:b/>
          <w:noProof/>
          <w:szCs w:val="24"/>
        </w:rPr>
        <w:t>22</w:t>
      </w:r>
      <w:r w:rsidRPr="009635E7">
        <w:rPr>
          <w:rFonts w:cs="Times New Roman"/>
          <w:b/>
          <w:i/>
          <w:iCs/>
          <w:szCs w:val="24"/>
        </w:rPr>
        <w:fldChar w:fldCharType="end"/>
      </w:r>
      <w:r w:rsidRPr="009635E7">
        <w:rPr>
          <w:rFonts w:cs="Times New Roman"/>
          <w:b/>
          <w:szCs w:val="24"/>
        </w:rPr>
        <w:t xml:space="preserve">. </w:t>
      </w:r>
      <w:r w:rsidRPr="009635E7">
        <w:rPr>
          <w:rFonts w:cs="Times New Roman"/>
          <w:szCs w:val="24"/>
        </w:rPr>
        <w:t>Rendimiento de maíz suave en grano seco para diversas dosis de magnesio evaluadas en la provincia de Bolívar del 2006 al 2011.</w:t>
      </w:r>
      <w:bookmarkEnd w:id="1347"/>
    </w:p>
    <w:tbl>
      <w:tblPr>
        <w:tblW w:w="5409" w:type="dxa"/>
        <w:jc w:val="center"/>
        <w:tblCellMar>
          <w:left w:w="70" w:type="dxa"/>
          <w:right w:w="70" w:type="dxa"/>
        </w:tblCellMar>
        <w:tblLook w:val="04A0" w:firstRow="1" w:lastRow="0" w:firstColumn="1" w:lastColumn="0" w:noHBand="0" w:noVBand="1"/>
      </w:tblPr>
      <w:tblGrid>
        <w:gridCol w:w="2122"/>
        <w:gridCol w:w="887"/>
        <w:gridCol w:w="672"/>
        <w:gridCol w:w="1728"/>
      </w:tblGrid>
      <w:tr w:rsidR="007E253F" w:rsidRPr="007E253F" w14:paraId="22563989" w14:textId="77777777" w:rsidTr="00912B23">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45C16"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Mg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72D968D"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0AF581E8"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07855D3A"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31A8C0B8" w14:textId="77777777" w:rsidTr="00912B2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0EA10D6"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0E94DA4E"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3,31</w:t>
            </w:r>
          </w:p>
        </w:tc>
        <w:tc>
          <w:tcPr>
            <w:tcW w:w="672" w:type="dxa"/>
            <w:tcBorders>
              <w:top w:val="nil"/>
              <w:left w:val="nil"/>
              <w:bottom w:val="single" w:sz="4" w:space="0" w:color="auto"/>
              <w:right w:val="single" w:sz="4" w:space="0" w:color="auto"/>
            </w:tcBorders>
            <w:shd w:val="clear" w:color="auto" w:fill="auto"/>
            <w:noWrap/>
            <w:vAlign w:val="bottom"/>
            <w:hideMark/>
          </w:tcPr>
          <w:p w14:paraId="7F879FC6"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shd w:val="clear" w:color="auto" w:fill="auto"/>
            <w:noWrap/>
            <w:vAlign w:val="bottom"/>
            <w:hideMark/>
          </w:tcPr>
          <w:p w14:paraId="11096D0A"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w:t>
            </w:r>
          </w:p>
        </w:tc>
      </w:tr>
      <w:tr w:rsidR="007E253F" w:rsidRPr="007E253F" w14:paraId="26D5C126" w14:textId="77777777" w:rsidTr="00912B2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1F63381"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4D229B7A"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3,78</w:t>
            </w:r>
          </w:p>
        </w:tc>
        <w:tc>
          <w:tcPr>
            <w:tcW w:w="672" w:type="dxa"/>
            <w:tcBorders>
              <w:top w:val="nil"/>
              <w:left w:val="nil"/>
              <w:bottom w:val="single" w:sz="4" w:space="0" w:color="auto"/>
              <w:right w:val="single" w:sz="4" w:space="0" w:color="auto"/>
            </w:tcBorders>
            <w:shd w:val="clear" w:color="auto" w:fill="auto"/>
            <w:noWrap/>
            <w:vAlign w:val="bottom"/>
            <w:hideMark/>
          </w:tcPr>
          <w:p w14:paraId="43B37954"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728" w:type="dxa"/>
            <w:tcBorders>
              <w:top w:val="nil"/>
              <w:left w:val="nil"/>
              <w:bottom w:val="single" w:sz="4" w:space="0" w:color="auto"/>
              <w:right w:val="single" w:sz="4" w:space="0" w:color="auto"/>
            </w:tcBorders>
            <w:shd w:val="clear" w:color="auto" w:fill="auto"/>
            <w:noWrap/>
            <w:vAlign w:val="bottom"/>
            <w:hideMark/>
          </w:tcPr>
          <w:p w14:paraId="57425578"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0,32</w:t>
            </w:r>
          </w:p>
        </w:tc>
      </w:tr>
      <w:tr w:rsidR="007E253F" w:rsidRPr="007E253F" w14:paraId="62C39D55" w14:textId="77777777" w:rsidTr="00912B2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15F9F80"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shd w:val="clear" w:color="auto" w:fill="auto"/>
            <w:noWrap/>
            <w:vAlign w:val="bottom"/>
            <w:hideMark/>
          </w:tcPr>
          <w:p w14:paraId="7C76E363"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4,14</w:t>
            </w:r>
          </w:p>
        </w:tc>
        <w:tc>
          <w:tcPr>
            <w:tcW w:w="672" w:type="dxa"/>
            <w:tcBorders>
              <w:top w:val="nil"/>
              <w:left w:val="nil"/>
              <w:bottom w:val="single" w:sz="4" w:space="0" w:color="auto"/>
              <w:right w:val="single" w:sz="4" w:space="0" w:color="auto"/>
            </w:tcBorders>
            <w:shd w:val="clear" w:color="auto" w:fill="auto"/>
            <w:noWrap/>
            <w:vAlign w:val="bottom"/>
            <w:hideMark/>
          </w:tcPr>
          <w:p w14:paraId="77FE50C3"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728" w:type="dxa"/>
            <w:tcBorders>
              <w:top w:val="nil"/>
              <w:left w:val="nil"/>
              <w:bottom w:val="single" w:sz="4" w:space="0" w:color="auto"/>
              <w:right w:val="single" w:sz="4" w:space="0" w:color="auto"/>
            </w:tcBorders>
            <w:shd w:val="clear" w:color="auto" w:fill="auto"/>
            <w:noWrap/>
            <w:vAlign w:val="bottom"/>
            <w:hideMark/>
          </w:tcPr>
          <w:p w14:paraId="726D3628"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0,17</w:t>
            </w:r>
          </w:p>
        </w:tc>
      </w:tr>
    </w:tbl>
    <w:p w14:paraId="7DC4BADF" w14:textId="77777777" w:rsidR="00B81476" w:rsidRDefault="00912B23" w:rsidP="00486A09">
      <w:pPr>
        <w:autoSpaceDE w:val="0"/>
        <w:autoSpaceDN w:val="0"/>
        <w:adjustRightInd w:val="0"/>
        <w:spacing w:before="360" w:after="360" w:line="360" w:lineRule="auto"/>
        <w:rPr>
          <w:rFonts w:cs="Times New Roman"/>
          <w:szCs w:val="24"/>
        </w:rPr>
      </w:pPr>
      <w:r>
        <w:rPr>
          <w:rFonts w:cs="Times New Roman"/>
          <w:szCs w:val="24"/>
        </w:rPr>
        <w:t>El cuadro</w:t>
      </w:r>
      <w:r w:rsidR="007E253F" w:rsidRPr="007E253F">
        <w:rPr>
          <w:rFonts w:cs="Times New Roman"/>
          <w:szCs w:val="24"/>
        </w:rPr>
        <w:t xml:space="preserve"> 22 muestra como los promedios en cuanto a las dosis de magnesio empleadas, no tienen relación directa con las cantidades del micro elemento aplicado.</w:t>
      </w:r>
      <w:r w:rsidR="006760D1">
        <w:rPr>
          <w:rFonts w:cs="Times New Roman"/>
          <w:szCs w:val="24"/>
        </w:rPr>
        <w:t xml:space="preserve"> </w:t>
      </w:r>
    </w:p>
    <w:p w14:paraId="69D4CDF9" w14:textId="119074FC" w:rsidR="009635E7" w:rsidRDefault="007E253F" w:rsidP="00486A09">
      <w:pPr>
        <w:autoSpaceDE w:val="0"/>
        <w:autoSpaceDN w:val="0"/>
        <w:adjustRightInd w:val="0"/>
        <w:spacing w:before="360" w:after="360" w:line="360" w:lineRule="auto"/>
        <w:rPr>
          <w:rFonts w:cs="Times New Roman"/>
          <w:bCs/>
          <w:szCs w:val="24"/>
        </w:rPr>
      </w:pPr>
      <w:r w:rsidRPr="007E253F">
        <w:rPr>
          <w:rFonts w:cs="Times New Roman"/>
          <w:bCs/>
          <w:szCs w:val="24"/>
        </w:rPr>
        <w:t xml:space="preserve">El efecto </w:t>
      </w:r>
      <w:r w:rsidR="00B81476">
        <w:rPr>
          <w:rFonts w:cs="Times New Roman"/>
          <w:bCs/>
          <w:szCs w:val="24"/>
        </w:rPr>
        <w:t>lineal y</w:t>
      </w:r>
      <w:r w:rsidR="006A4468">
        <w:rPr>
          <w:rFonts w:cs="Times New Roman"/>
          <w:bCs/>
          <w:szCs w:val="24"/>
        </w:rPr>
        <w:t>/o</w:t>
      </w:r>
      <w:r w:rsidR="00B81476">
        <w:rPr>
          <w:rFonts w:cs="Times New Roman"/>
          <w:bCs/>
          <w:szCs w:val="24"/>
        </w:rPr>
        <w:t xml:space="preserve"> cuadrático </w:t>
      </w:r>
      <w:r w:rsidRPr="007E253F">
        <w:rPr>
          <w:rFonts w:cs="Times New Roman"/>
          <w:bCs/>
          <w:szCs w:val="24"/>
        </w:rPr>
        <w:t>de los nutrientes que fueron significativos p</w:t>
      </w:r>
      <w:r w:rsidRPr="007E253F">
        <w:rPr>
          <w:rFonts w:cs="Times New Roman"/>
          <w:color w:val="202124"/>
          <w:shd w:val="clear" w:color="auto" w:fill="FFFFFF"/>
        </w:rPr>
        <w:t xml:space="preserve"> &gt;</w:t>
      </w:r>
      <w:r w:rsidRPr="007E253F">
        <w:rPr>
          <w:rFonts w:eastAsia="Times New Roman" w:cs="Times New Roman"/>
          <w:color w:val="000000"/>
          <w:szCs w:val="24"/>
          <w:lang w:eastAsia="es-EC"/>
        </w:rPr>
        <w:t>0,0001</w:t>
      </w:r>
      <w:r w:rsidRPr="007E253F">
        <w:rPr>
          <w:rFonts w:cs="Times New Roman"/>
          <w:bCs/>
          <w:szCs w:val="24"/>
        </w:rPr>
        <w:t xml:space="preserve">sobre el rendimiento de maíz en la provincia de Bolívar se observa en </w:t>
      </w:r>
      <w:r w:rsidR="006A4468">
        <w:rPr>
          <w:rFonts w:cs="Times New Roman"/>
          <w:bCs/>
          <w:szCs w:val="24"/>
        </w:rPr>
        <w:t>los</w:t>
      </w:r>
      <w:r w:rsidRPr="007E253F">
        <w:rPr>
          <w:rFonts w:cs="Times New Roman"/>
          <w:bCs/>
          <w:szCs w:val="24"/>
        </w:rPr>
        <w:t xml:space="preserve"> siguiente</w:t>
      </w:r>
      <w:r w:rsidR="006A4468">
        <w:rPr>
          <w:rFonts w:cs="Times New Roman"/>
          <w:bCs/>
          <w:szCs w:val="24"/>
        </w:rPr>
        <w:t>s</w:t>
      </w:r>
      <w:r w:rsidRPr="007E253F">
        <w:rPr>
          <w:rFonts w:cs="Times New Roman"/>
          <w:bCs/>
          <w:szCs w:val="24"/>
        </w:rPr>
        <w:t xml:space="preserve"> gráfico</w:t>
      </w:r>
      <w:r w:rsidR="006A4468">
        <w:rPr>
          <w:rFonts w:cs="Times New Roman"/>
          <w:bCs/>
          <w:szCs w:val="24"/>
        </w:rPr>
        <w:t>s:</w:t>
      </w:r>
      <w:r w:rsidR="00B81476">
        <w:rPr>
          <w:rFonts w:cs="Times New Roman"/>
          <w:bCs/>
          <w:szCs w:val="24"/>
        </w:rPr>
        <w:t xml:space="preserve"> </w:t>
      </w:r>
      <w:r w:rsidRPr="007E253F">
        <w:rPr>
          <w:rFonts w:cs="Times New Roman"/>
          <w:bCs/>
          <w:szCs w:val="24"/>
        </w:rPr>
        <w:t xml:space="preserve"> </w:t>
      </w:r>
    </w:p>
    <w:p w14:paraId="1E0F16CA" w14:textId="67B641A3" w:rsidR="007E253F" w:rsidRPr="00486A09" w:rsidRDefault="00486A09" w:rsidP="00486A09">
      <w:pPr>
        <w:pStyle w:val="Ttulo1"/>
        <w:numPr>
          <w:ilvl w:val="0"/>
          <w:numId w:val="22"/>
        </w:numPr>
        <w:spacing w:before="360" w:after="360"/>
        <w:rPr>
          <w:b w:val="0"/>
          <w:bCs w:val="0"/>
          <w:szCs w:val="24"/>
        </w:rPr>
      </w:pPr>
      <w:bookmarkStart w:id="1348" w:name="_Toc72703994"/>
      <w:bookmarkStart w:id="1349" w:name="_Toc72704518"/>
      <w:bookmarkStart w:id="1350" w:name="_Toc72705582"/>
      <w:bookmarkStart w:id="1351" w:name="_Toc72706221"/>
      <w:bookmarkStart w:id="1352" w:name="_Toc72741171"/>
      <w:bookmarkStart w:id="1353" w:name="_Toc72742767"/>
      <w:bookmarkStart w:id="1354" w:name="_Toc72881141"/>
      <w:bookmarkStart w:id="1355" w:name="_Toc72881512"/>
      <w:bookmarkStart w:id="1356" w:name="_Toc75606386"/>
      <w:bookmarkStart w:id="1357" w:name="_Toc75608939"/>
      <w:bookmarkStart w:id="1358" w:name="_Toc75611865"/>
      <w:bookmarkStart w:id="1359" w:name="_Toc75612711"/>
      <w:bookmarkStart w:id="1360" w:name="_Toc75679866"/>
      <w:bookmarkStart w:id="1361" w:name="_Toc75702108"/>
      <w:bookmarkStart w:id="1362" w:name="_Toc75702474"/>
      <w:bookmarkStart w:id="1363" w:name="_Toc79313215"/>
      <w:bookmarkStart w:id="1364" w:name="_Toc80008414"/>
      <w:bookmarkStart w:id="1365" w:name="_Toc80312307"/>
      <w:r w:rsidRPr="007E253F">
        <w:rPr>
          <w:noProof/>
          <w:lang w:val="es-EC" w:eastAsia="es-EC"/>
        </w:rPr>
        <w:drawing>
          <wp:anchor distT="0" distB="0" distL="114300" distR="114300" simplePos="0" relativeHeight="251670528" behindDoc="0" locked="0" layoutInCell="1" allowOverlap="1" wp14:anchorId="478EB6C5" wp14:editId="4577ADFF">
            <wp:simplePos x="0" y="0"/>
            <wp:positionH relativeFrom="margin">
              <wp:posOffset>716867</wp:posOffset>
            </wp:positionH>
            <wp:positionV relativeFrom="paragraph">
              <wp:posOffset>291270</wp:posOffset>
            </wp:positionV>
            <wp:extent cx="3511062" cy="1840523"/>
            <wp:effectExtent l="0" t="0" r="13335" b="7620"/>
            <wp:wrapNone/>
            <wp:docPr id="1" name="Gráfico 1">
              <a:extLst xmlns:a="http://schemas.openxmlformats.org/drawingml/2006/main">
                <a:ext uri="{FF2B5EF4-FFF2-40B4-BE49-F238E27FC236}">
                  <a16:creationId xmlns:a16="http://schemas.microsoft.com/office/drawing/2014/main" id="{3760FA54-4E25-4DA5-BEB7-6CF0F5739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6760D1">
        <w:rPr>
          <w:b w:val="0"/>
          <w:bCs w:val="0"/>
        </w:rPr>
        <w:t>Nitrógeno</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43E9F356" w14:textId="77777777" w:rsidR="007E253F" w:rsidRPr="007E253F" w:rsidRDefault="007E253F" w:rsidP="007E253F">
      <w:pPr>
        <w:spacing w:line="360" w:lineRule="auto"/>
        <w:jc w:val="center"/>
        <w:rPr>
          <w:rFonts w:cs="Times New Roman"/>
          <w:b/>
          <w:bCs/>
          <w:szCs w:val="24"/>
        </w:rPr>
      </w:pPr>
    </w:p>
    <w:p w14:paraId="01290DAD" w14:textId="77777777" w:rsidR="007E253F" w:rsidRPr="007E253F" w:rsidRDefault="007E253F" w:rsidP="007E253F">
      <w:pPr>
        <w:spacing w:line="360" w:lineRule="auto"/>
        <w:jc w:val="center"/>
        <w:rPr>
          <w:rFonts w:cs="Times New Roman"/>
          <w:b/>
          <w:bCs/>
          <w:szCs w:val="24"/>
        </w:rPr>
      </w:pPr>
    </w:p>
    <w:p w14:paraId="1EFE5AC0" w14:textId="77777777" w:rsidR="007E253F" w:rsidRPr="007E253F" w:rsidRDefault="007E253F" w:rsidP="007E253F">
      <w:pPr>
        <w:spacing w:line="360" w:lineRule="auto"/>
        <w:jc w:val="center"/>
        <w:rPr>
          <w:rFonts w:cs="Times New Roman"/>
          <w:b/>
          <w:bCs/>
          <w:szCs w:val="24"/>
        </w:rPr>
      </w:pPr>
    </w:p>
    <w:p w14:paraId="1EEC345F" w14:textId="77777777" w:rsidR="007E253F" w:rsidRPr="007E253F" w:rsidRDefault="007E253F" w:rsidP="007E253F">
      <w:pPr>
        <w:spacing w:line="360" w:lineRule="auto"/>
        <w:jc w:val="center"/>
        <w:rPr>
          <w:rFonts w:cs="Times New Roman"/>
          <w:b/>
          <w:bCs/>
          <w:szCs w:val="24"/>
        </w:rPr>
      </w:pPr>
    </w:p>
    <w:p w14:paraId="66A1DD77" w14:textId="77777777" w:rsidR="007E253F" w:rsidRPr="007E253F" w:rsidRDefault="007E253F" w:rsidP="007E253F">
      <w:pPr>
        <w:spacing w:line="360" w:lineRule="auto"/>
        <w:jc w:val="center"/>
        <w:rPr>
          <w:rFonts w:cs="Times New Roman"/>
          <w:b/>
          <w:bCs/>
          <w:szCs w:val="24"/>
        </w:rPr>
      </w:pPr>
    </w:p>
    <w:p w14:paraId="0C6A380B" w14:textId="77777777" w:rsidR="007E253F" w:rsidRDefault="007E253F" w:rsidP="008A49A0">
      <w:pPr>
        <w:spacing w:line="360" w:lineRule="auto"/>
        <w:jc w:val="right"/>
        <w:rPr>
          <w:rFonts w:cs="Times New Roman"/>
          <w:b/>
          <w:bCs/>
          <w:szCs w:val="24"/>
        </w:rPr>
      </w:pPr>
    </w:p>
    <w:p w14:paraId="47001241" w14:textId="5E3F7A14" w:rsidR="008A49A0" w:rsidRPr="008A4A9F" w:rsidRDefault="008A49A0" w:rsidP="00486A09">
      <w:pPr>
        <w:pStyle w:val="Prrafodelista"/>
        <w:numPr>
          <w:ilvl w:val="0"/>
          <w:numId w:val="22"/>
        </w:numPr>
        <w:spacing w:after="0" w:line="360" w:lineRule="auto"/>
        <w:ind w:left="1077" w:hanging="357"/>
        <w:jc w:val="left"/>
        <w:rPr>
          <w:rFonts w:cs="Times New Roman"/>
          <w:b/>
          <w:bCs/>
          <w:szCs w:val="24"/>
        </w:rPr>
      </w:pPr>
      <w:r w:rsidRPr="008A4A9F">
        <w:rPr>
          <w:rFonts w:cs="Times New Roman"/>
          <w:b/>
          <w:bCs/>
          <w:szCs w:val="24"/>
        </w:rPr>
        <w:lastRenderedPageBreak/>
        <w:t>F</w:t>
      </w:r>
      <w:r w:rsidR="000265F1">
        <w:rPr>
          <w:rFonts w:cs="Times New Roman"/>
          <w:b/>
          <w:bCs/>
          <w:szCs w:val="24"/>
        </w:rPr>
        <w:t>ó</w:t>
      </w:r>
      <w:r w:rsidRPr="008A4A9F">
        <w:rPr>
          <w:rFonts w:cs="Times New Roman"/>
          <w:b/>
          <w:bCs/>
          <w:szCs w:val="24"/>
        </w:rPr>
        <w:t xml:space="preserve">sforo </w:t>
      </w:r>
    </w:p>
    <w:p w14:paraId="7CF41AB9" w14:textId="4708488D" w:rsidR="007E253F" w:rsidRPr="006760D1" w:rsidRDefault="00FA6594" w:rsidP="00DE3875">
      <w:pPr>
        <w:pStyle w:val="Ttulo1"/>
        <w:numPr>
          <w:ilvl w:val="0"/>
          <w:numId w:val="0"/>
        </w:numPr>
        <w:spacing w:after="0"/>
        <w:ind w:left="720" w:hanging="360"/>
        <w:rPr>
          <w:b w:val="0"/>
          <w:bCs w:val="0"/>
        </w:rPr>
      </w:pPr>
      <w:bookmarkStart w:id="1366" w:name="_Toc75679867"/>
      <w:bookmarkStart w:id="1367" w:name="_Toc75702109"/>
      <w:bookmarkStart w:id="1368" w:name="_Toc75702475"/>
      <w:bookmarkStart w:id="1369" w:name="_Toc79313216"/>
      <w:bookmarkStart w:id="1370" w:name="_Toc80008415"/>
      <w:bookmarkStart w:id="1371" w:name="_Toc80312308"/>
      <w:r w:rsidRPr="00076B4A">
        <w:rPr>
          <w:noProof/>
          <w:szCs w:val="24"/>
          <w:lang w:val="es-EC" w:eastAsia="es-EC"/>
        </w:rPr>
        <w:drawing>
          <wp:anchor distT="0" distB="0" distL="114300" distR="114300" simplePos="0" relativeHeight="251659776" behindDoc="0" locked="0" layoutInCell="1" allowOverlap="1" wp14:anchorId="23D42490" wp14:editId="79615AD1">
            <wp:simplePos x="0" y="0"/>
            <wp:positionH relativeFrom="margin">
              <wp:posOffset>760730</wp:posOffset>
            </wp:positionH>
            <wp:positionV relativeFrom="paragraph">
              <wp:posOffset>163971</wp:posOffset>
            </wp:positionV>
            <wp:extent cx="3860800" cy="1884680"/>
            <wp:effectExtent l="0" t="0" r="6350" b="1270"/>
            <wp:wrapSquare wrapText="bothSides"/>
            <wp:docPr id="36" name="Gráfico 36">
              <a:extLst xmlns:a="http://schemas.openxmlformats.org/drawingml/2006/main">
                <a:ext uri="{FF2B5EF4-FFF2-40B4-BE49-F238E27FC236}">
                  <a16:creationId xmlns:a16="http://schemas.microsoft.com/office/drawing/2014/main" id="{8FD3F6DE-C0AB-42B7-AE15-28C457D57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bookmarkEnd w:id="1366"/>
      <w:bookmarkEnd w:id="1367"/>
      <w:bookmarkEnd w:id="1368"/>
      <w:bookmarkEnd w:id="1369"/>
      <w:bookmarkEnd w:id="1370"/>
      <w:bookmarkEnd w:id="1371"/>
    </w:p>
    <w:p w14:paraId="3BB21921" w14:textId="77777777" w:rsidR="007E253F" w:rsidRPr="007E253F" w:rsidRDefault="007E253F" w:rsidP="007E253F">
      <w:pPr>
        <w:spacing w:line="360" w:lineRule="auto"/>
        <w:jc w:val="center"/>
        <w:rPr>
          <w:rFonts w:cs="Times New Roman"/>
          <w:b/>
          <w:bCs/>
          <w:szCs w:val="24"/>
        </w:rPr>
      </w:pPr>
    </w:p>
    <w:p w14:paraId="3A7ACC73" w14:textId="77777777" w:rsidR="007E253F" w:rsidRPr="007E253F" w:rsidRDefault="007E253F" w:rsidP="007E253F">
      <w:pPr>
        <w:spacing w:line="360" w:lineRule="auto"/>
        <w:rPr>
          <w:rFonts w:cs="Times New Roman"/>
          <w:b/>
          <w:bCs/>
          <w:szCs w:val="24"/>
        </w:rPr>
      </w:pPr>
    </w:p>
    <w:p w14:paraId="140219DE" w14:textId="77777777" w:rsidR="007E253F" w:rsidRPr="007E253F" w:rsidRDefault="007E253F" w:rsidP="007E253F">
      <w:pPr>
        <w:spacing w:line="360" w:lineRule="auto"/>
        <w:jc w:val="center"/>
        <w:rPr>
          <w:rFonts w:cs="Times New Roman"/>
          <w:b/>
          <w:bCs/>
          <w:szCs w:val="24"/>
        </w:rPr>
      </w:pPr>
    </w:p>
    <w:p w14:paraId="39980793" w14:textId="77777777" w:rsidR="006A4468" w:rsidRDefault="006A4468" w:rsidP="007E253F">
      <w:pPr>
        <w:spacing w:line="360" w:lineRule="auto"/>
        <w:rPr>
          <w:rFonts w:cs="Times New Roman"/>
          <w:szCs w:val="24"/>
        </w:rPr>
      </w:pPr>
    </w:p>
    <w:p w14:paraId="0A7E3F12" w14:textId="3DE63EB5" w:rsidR="007E253F" w:rsidRPr="007E253F" w:rsidRDefault="007E253F" w:rsidP="00F619ED">
      <w:pPr>
        <w:pStyle w:val="Ttulo3"/>
        <w:spacing w:before="360" w:after="360"/>
      </w:pPr>
      <w:bookmarkStart w:id="1372" w:name="_Toc80312309"/>
      <w:r w:rsidRPr="007E253F">
        <w:t>Absorción de nitrógeno (Kg</w:t>
      </w:r>
      <w:r w:rsidRPr="007E253F">
        <w:rPr>
          <w:rFonts w:eastAsia="Times New Roman"/>
          <w:color w:val="000000"/>
          <w:lang w:eastAsia="es-EC"/>
        </w:rPr>
        <w:t>/</w:t>
      </w:r>
      <w:r w:rsidRPr="007E253F">
        <w:t xml:space="preserve"> ha</w:t>
      </w:r>
      <w:r w:rsidRPr="007E253F">
        <w:rPr>
          <w:vertAlign w:val="superscript"/>
        </w:rPr>
        <w:t>-1</w:t>
      </w:r>
      <w:r w:rsidRPr="007E253F">
        <w:t>)</w:t>
      </w:r>
      <w:bookmarkEnd w:id="1372"/>
    </w:p>
    <w:p w14:paraId="1D147467" w14:textId="2BF7FEAD" w:rsidR="007E253F" w:rsidRDefault="007E253F" w:rsidP="009635E7">
      <w:pPr>
        <w:autoSpaceDE w:val="0"/>
        <w:autoSpaceDN w:val="0"/>
        <w:adjustRightInd w:val="0"/>
        <w:spacing w:after="360" w:line="360" w:lineRule="auto"/>
        <w:rPr>
          <w:rFonts w:cs="Times New Roman"/>
          <w:b/>
          <w:bCs/>
          <w:color w:val="0000FF"/>
        </w:rPr>
      </w:pPr>
      <w:r w:rsidRPr="007E253F">
        <w:rPr>
          <w:rFonts w:cs="Times New Roman"/>
          <w:szCs w:val="24"/>
        </w:rPr>
        <w:t>Al utilizar el modelo estadístico para la absorción total de nitrógeno (en toda la planta, incluidos tallos, hojas y mazorca), se detectaron diferencias estadísticas significativas (p &lt;0,05) para las fuentes de variación de nitrógeno y fósforo, mientras que no fueron significativos para dosis de potasio, azufre, magnesio y la interacción entre las dosis. (</w:t>
      </w:r>
      <w:r w:rsidR="0072752C">
        <w:rPr>
          <w:rFonts w:cs="Times New Roman"/>
          <w:szCs w:val="24"/>
        </w:rPr>
        <w:t>Cuadro</w:t>
      </w:r>
      <w:r w:rsidRPr="007E253F">
        <w:rPr>
          <w:rFonts w:cs="Times New Roman"/>
          <w:szCs w:val="24"/>
        </w:rPr>
        <w:t xml:space="preserve"> 18 - 22). Por lo tanto, las dosis de los fertilizantes con nitrógeno y fósforo afectaron a la a</w:t>
      </w:r>
      <w:r w:rsidR="005F2CA6">
        <w:rPr>
          <w:rFonts w:cs="Times New Roman"/>
          <w:szCs w:val="24"/>
        </w:rPr>
        <w:t>b</w:t>
      </w:r>
      <w:r w:rsidRPr="007E253F">
        <w:rPr>
          <w:rFonts w:cs="Times New Roman"/>
          <w:szCs w:val="24"/>
        </w:rPr>
        <w:t>sorción de nitrógeno. Existió un efecto significativo del cantón, causado posiblemente por los efectos ambientales de dichas localidades. El promedio general de la absorción total de nitrógeno fue 102,36 Kg/ha</w:t>
      </w:r>
      <w:r w:rsidRPr="007E253F">
        <w:rPr>
          <w:rFonts w:cs="Times New Roman"/>
          <w:szCs w:val="24"/>
          <w:vertAlign w:val="superscript"/>
        </w:rPr>
        <w:t>-1</w:t>
      </w:r>
      <w:r w:rsidRPr="007E253F">
        <w:rPr>
          <w:rFonts w:cs="Times New Roman"/>
          <w:szCs w:val="24"/>
        </w:rPr>
        <w:t>; con un R</w:t>
      </w:r>
      <w:r w:rsidRPr="007E253F">
        <w:rPr>
          <w:rFonts w:cs="Times New Roman"/>
          <w:szCs w:val="24"/>
          <w:vertAlign w:val="superscript"/>
        </w:rPr>
        <w:t>2</w:t>
      </w:r>
      <w:r w:rsidRPr="007E253F">
        <w:rPr>
          <w:rFonts w:cs="Times New Roman"/>
          <w:szCs w:val="24"/>
        </w:rPr>
        <w:t xml:space="preserve"> de 0,65 y un coeficiente de variación fue de 25,88%</w:t>
      </w:r>
      <w:r w:rsidR="009635E7">
        <w:rPr>
          <w:rFonts w:cs="Times New Roman"/>
          <w:b/>
          <w:bCs/>
          <w:color w:val="0000FF"/>
        </w:rPr>
        <w:t>.</w:t>
      </w:r>
    </w:p>
    <w:p w14:paraId="10E4C634" w14:textId="68F3A650" w:rsidR="009635E7" w:rsidRPr="009635E7" w:rsidRDefault="009635E7" w:rsidP="00486A09">
      <w:pPr>
        <w:pStyle w:val="Descripcin"/>
        <w:keepNext/>
        <w:spacing w:before="360"/>
        <w:rPr>
          <w:rFonts w:cs="Times New Roman"/>
          <w:i w:val="0"/>
          <w:iCs w:val="0"/>
          <w:color w:val="auto"/>
          <w:sz w:val="24"/>
          <w:szCs w:val="24"/>
          <w:lang w:eastAsia="en-US"/>
        </w:rPr>
      </w:pPr>
      <w:bookmarkStart w:id="1373" w:name="_Toc79314015"/>
      <w:r w:rsidRPr="009635E7">
        <w:rPr>
          <w:rFonts w:cs="Times New Roman"/>
          <w:b/>
          <w:i w:val="0"/>
          <w:iCs w:val="0"/>
          <w:color w:val="auto"/>
          <w:sz w:val="24"/>
          <w:szCs w:val="24"/>
          <w:lang w:eastAsia="en-US"/>
        </w:rPr>
        <w:t xml:space="preserve">Cuadro </w:t>
      </w:r>
      <w:r w:rsidRPr="009635E7">
        <w:rPr>
          <w:rFonts w:cs="Times New Roman"/>
          <w:b/>
          <w:i w:val="0"/>
          <w:iCs w:val="0"/>
          <w:color w:val="auto"/>
          <w:sz w:val="24"/>
          <w:szCs w:val="24"/>
          <w:lang w:eastAsia="en-US"/>
        </w:rPr>
        <w:fldChar w:fldCharType="begin"/>
      </w:r>
      <w:r w:rsidRPr="009635E7">
        <w:rPr>
          <w:rFonts w:cs="Times New Roman"/>
          <w:b/>
          <w:i w:val="0"/>
          <w:iCs w:val="0"/>
          <w:color w:val="auto"/>
          <w:sz w:val="24"/>
          <w:szCs w:val="24"/>
          <w:lang w:eastAsia="en-US"/>
        </w:rPr>
        <w:instrText xml:space="preserve"> SEQ Cuadro \* ARABIC </w:instrText>
      </w:r>
      <w:r w:rsidRPr="009635E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23</w:t>
      </w:r>
      <w:r w:rsidRPr="009635E7">
        <w:rPr>
          <w:rFonts w:cs="Times New Roman"/>
          <w:b/>
          <w:i w:val="0"/>
          <w:iCs w:val="0"/>
          <w:color w:val="auto"/>
          <w:sz w:val="24"/>
          <w:szCs w:val="24"/>
          <w:lang w:eastAsia="en-US"/>
        </w:rPr>
        <w:fldChar w:fldCharType="end"/>
      </w:r>
      <w:r w:rsidRPr="009635E7">
        <w:rPr>
          <w:rFonts w:cs="Times New Roman"/>
          <w:b/>
          <w:i w:val="0"/>
          <w:iCs w:val="0"/>
          <w:color w:val="auto"/>
          <w:sz w:val="24"/>
          <w:szCs w:val="24"/>
          <w:lang w:eastAsia="en-US"/>
        </w:rPr>
        <w:t>.</w:t>
      </w:r>
      <w:r w:rsidRPr="009635E7">
        <w:rPr>
          <w:rFonts w:cs="Times New Roman"/>
          <w:i w:val="0"/>
          <w:iCs w:val="0"/>
          <w:color w:val="auto"/>
          <w:sz w:val="24"/>
          <w:szCs w:val="24"/>
          <w:lang w:eastAsia="en-US"/>
        </w:rPr>
        <w:t xml:space="preserve"> Análisis de la Varianza (SC tipo I) y porcentaje de varianza para Absorción total de nitrógeno evaluado en la provincia Bolívar del 2006 al 2011.</w:t>
      </w:r>
      <w:bookmarkEnd w:id="1373"/>
    </w:p>
    <w:tbl>
      <w:tblPr>
        <w:tblW w:w="7792" w:type="dxa"/>
        <w:tblCellMar>
          <w:left w:w="70" w:type="dxa"/>
          <w:right w:w="70" w:type="dxa"/>
        </w:tblCellMar>
        <w:tblLook w:val="04A0" w:firstRow="1" w:lastRow="0" w:firstColumn="1" w:lastColumn="0" w:noHBand="0" w:noVBand="1"/>
      </w:tblPr>
      <w:tblGrid>
        <w:gridCol w:w="1838"/>
        <w:gridCol w:w="1040"/>
        <w:gridCol w:w="700"/>
        <w:gridCol w:w="920"/>
        <w:gridCol w:w="680"/>
        <w:gridCol w:w="936"/>
        <w:gridCol w:w="1678"/>
      </w:tblGrid>
      <w:tr w:rsidR="007E253F" w:rsidRPr="007E253F" w14:paraId="3AB9A934" w14:textId="77777777" w:rsidTr="00A05F3F">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26611"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F.V.</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0D25B11"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SC</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0FC5A31" w14:textId="62C86898" w:rsidR="007E253F" w:rsidRPr="007E253F" w:rsidRDefault="00313B1A"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G</w:t>
            </w:r>
            <w:r w:rsidR="007E253F" w:rsidRPr="007E253F">
              <w:rPr>
                <w:rFonts w:eastAsia="Times New Roman" w:cs="Times New Roman"/>
                <w:b/>
                <w:bCs/>
                <w:color w:val="000000"/>
                <w:szCs w:val="24"/>
                <w:lang w:eastAsia="es-EC"/>
              </w:rPr>
              <w:t>l</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2C1CDA6D"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CM</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69F44C28"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5C1A7C16"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p-valor</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14:paraId="7F1744DC" w14:textId="77777777" w:rsidR="007E253F" w:rsidRPr="007E253F" w:rsidRDefault="007E253F" w:rsidP="00486A0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Varianza %</w:t>
            </w:r>
          </w:p>
        </w:tc>
      </w:tr>
      <w:tr w:rsidR="007E253F" w:rsidRPr="007E253F" w14:paraId="17D08853"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F9CFE56"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Modelo</w:t>
            </w:r>
          </w:p>
        </w:tc>
        <w:tc>
          <w:tcPr>
            <w:tcW w:w="1040" w:type="dxa"/>
            <w:tcBorders>
              <w:top w:val="nil"/>
              <w:left w:val="nil"/>
              <w:bottom w:val="single" w:sz="4" w:space="0" w:color="auto"/>
              <w:right w:val="single" w:sz="4" w:space="0" w:color="auto"/>
            </w:tcBorders>
            <w:shd w:val="clear" w:color="auto" w:fill="auto"/>
            <w:noWrap/>
            <w:vAlign w:val="bottom"/>
            <w:hideMark/>
          </w:tcPr>
          <w:p w14:paraId="44D63043"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96061,6</w:t>
            </w:r>
          </w:p>
        </w:tc>
        <w:tc>
          <w:tcPr>
            <w:tcW w:w="700" w:type="dxa"/>
            <w:tcBorders>
              <w:top w:val="nil"/>
              <w:left w:val="nil"/>
              <w:bottom w:val="single" w:sz="4" w:space="0" w:color="auto"/>
              <w:right w:val="single" w:sz="4" w:space="0" w:color="auto"/>
            </w:tcBorders>
            <w:shd w:val="clear" w:color="auto" w:fill="auto"/>
            <w:noWrap/>
            <w:vAlign w:val="bottom"/>
            <w:hideMark/>
          </w:tcPr>
          <w:p w14:paraId="68066077"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w:t>
            </w:r>
          </w:p>
        </w:tc>
        <w:tc>
          <w:tcPr>
            <w:tcW w:w="920" w:type="dxa"/>
            <w:tcBorders>
              <w:top w:val="nil"/>
              <w:left w:val="nil"/>
              <w:bottom w:val="single" w:sz="4" w:space="0" w:color="auto"/>
              <w:right w:val="single" w:sz="4" w:space="0" w:color="auto"/>
            </w:tcBorders>
            <w:shd w:val="clear" w:color="auto" w:fill="auto"/>
            <w:noWrap/>
            <w:vAlign w:val="bottom"/>
            <w:hideMark/>
          </w:tcPr>
          <w:p w14:paraId="57AFA52C"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6861,54</w:t>
            </w:r>
          </w:p>
        </w:tc>
        <w:tc>
          <w:tcPr>
            <w:tcW w:w="680" w:type="dxa"/>
            <w:tcBorders>
              <w:top w:val="nil"/>
              <w:left w:val="nil"/>
              <w:bottom w:val="single" w:sz="4" w:space="0" w:color="auto"/>
              <w:right w:val="single" w:sz="4" w:space="0" w:color="auto"/>
            </w:tcBorders>
            <w:shd w:val="clear" w:color="auto" w:fill="auto"/>
            <w:noWrap/>
            <w:vAlign w:val="bottom"/>
            <w:hideMark/>
          </w:tcPr>
          <w:p w14:paraId="08607110"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9,77</w:t>
            </w:r>
          </w:p>
        </w:tc>
        <w:tc>
          <w:tcPr>
            <w:tcW w:w="936" w:type="dxa"/>
            <w:tcBorders>
              <w:top w:val="nil"/>
              <w:left w:val="nil"/>
              <w:bottom w:val="single" w:sz="4" w:space="0" w:color="auto"/>
              <w:right w:val="single" w:sz="4" w:space="0" w:color="auto"/>
            </w:tcBorders>
            <w:shd w:val="clear" w:color="auto" w:fill="auto"/>
            <w:noWrap/>
            <w:vAlign w:val="bottom"/>
            <w:hideMark/>
          </w:tcPr>
          <w:p w14:paraId="76DE31C0"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678" w:type="dxa"/>
            <w:tcBorders>
              <w:top w:val="nil"/>
              <w:left w:val="nil"/>
              <w:bottom w:val="single" w:sz="4" w:space="0" w:color="auto"/>
              <w:right w:val="single" w:sz="4" w:space="0" w:color="auto"/>
            </w:tcBorders>
            <w:shd w:val="clear" w:color="auto" w:fill="auto"/>
            <w:noWrap/>
            <w:vAlign w:val="bottom"/>
            <w:hideMark/>
          </w:tcPr>
          <w:p w14:paraId="452782C5"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64,60</w:t>
            </w:r>
          </w:p>
        </w:tc>
      </w:tr>
      <w:tr w:rsidR="007E253F" w:rsidRPr="007E253F" w14:paraId="241654ED"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60A99F1"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Cantón</w:t>
            </w:r>
          </w:p>
        </w:tc>
        <w:tc>
          <w:tcPr>
            <w:tcW w:w="1040" w:type="dxa"/>
            <w:tcBorders>
              <w:top w:val="nil"/>
              <w:left w:val="nil"/>
              <w:bottom w:val="single" w:sz="4" w:space="0" w:color="auto"/>
              <w:right w:val="single" w:sz="4" w:space="0" w:color="auto"/>
            </w:tcBorders>
            <w:shd w:val="clear" w:color="auto" w:fill="auto"/>
            <w:noWrap/>
            <w:vAlign w:val="bottom"/>
            <w:hideMark/>
          </w:tcPr>
          <w:p w14:paraId="4FC07875"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24535,93</w:t>
            </w:r>
          </w:p>
        </w:tc>
        <w:tc>
          <w:tcPr>
            <w:tcW w:w="700" w:type="dxa"/>
            <w:tcBorders>
              <w:top w:val="nil"/>
              <w:left w:val="nil"/>
              <w:bottom w:val="single" w:sz="4" w:space="0" w:color="auto"/>
              <w:right w:val="single" w:sz="4" w:space="0" w:color="auto"/>
            </w:tcBorders>
            <w:shd w:val="clear" w:color="auto" w:fill="auto"/>
            <w:noWrap/>
            <w:vAlign w:val="bottom"/>
            <w:hideMark/>
          </w:tcPr>
          <w:p w14:paraId="25DA0C67"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920" w:type="dxa"/>
            <w:tcBorders>
              <w:top w:val="nil"/>
              <w:left w:val="nil"/>
              <w:bottom w:val="single" w:sz="4" w:space="0" w:color="auto"/>
              <w:right w:val="single" w:sz="4" w:space="0" w:color="auto"/>
            </w:tcBorders>
            <w:shd w:val="clear" w:color="auto" w:fill="auto"/>
            <w:noWrap/>
            <w:vAlign w:val="bottom"/>
            <w:hideMark/>
          </w:tcPr>
          <w:p w14:paraId="391A9479"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8178,64</w:t>
            </w:r>
          </w:p>
        </w:tc>
        <w:tc>
          <w:tcPr>
            <w:tcW w:w="680" w:type="dxa"/>
            <w:tcBorders>
              <w:top w:val="nil"/>
              <w:left w:val="nil"/>
              <w:bottom w:val="single" w:sz="4" w:space="0" w:color="auto"/>
              <w:right w:val="single" w:sz="4" w:space="0" w:color="auto"/>
            </w:tcBorders>
            <w:shd w:val="clear" w:color="auto" w:fill="auto"/>
            <w:noWrap/>
            <w:vAlign w:val="bottom"/>
            <w:hideMark/>
          </w:tcPr>
          <w:p w14:paraId="4BBEC39E"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11,65</w:t>
            </w:r>
          </w:p>
        </w:tc>
        <w:tc>
          <w:tcPr>
            <w:tcW w:w="936" w:type="dxa"/>
            <w:tcBorders>
              <w:top w:val="nil"/>
              <w:left w:val="nil"/>
              <w:bottom w:val="single" w:sz="4" w:space="0" w:color="auto"/>
              <w:right w:val="single" w:sz="4" w:space="0" w:color="auto"/>
            </w:tcBorders>
            <w:shd w:val="clear" w:color="auto" w:fill="auto"/>
            <w:noWrap/>
            <w:vAlign w:val="bottom"/>
            <w:hideMark/>
          </w:tcPr>
          <w:p w14:paraId="7063602F"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678" w:type="dxa"/>
            <w:tcBorders>
              <w:top w:val="nil"/>
              <w:left w:val="nil"/>
              <w:bottom w:val="single" w:sz="4" w:space="0" w:color="auto"/>
              <w:right w:val="single" w:sz="4" w:space="0" w:color="auto"/>
            </w:tcBorders>
            <w:shd w:val="clear" w:color="auto" w:fill="auto"/>
            <w:noWrap/>
            <w:vAlign w:val="bottom"/>
            <w:hideMark/>
          </w:tcPr>
          <w:p w14:paraId="2F6DD879"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16,50</w:t>
            </w:r>
          </w:p>
        </w:tc>
      </w:tr>
      <w:tr w:rsidR="007E253F" w:rsidRPr="007E253F" w14:paraId="2ED4B6CC"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7C4E011"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w:t>
            </w:r>
          </w:p>
        </w:tc>
        <w:tc>
          <w:tcPr>
            <w:tcW w:w="1040" w:type="dxa"/>
            <w:tcBorders>
              <w:top w:val="nil"/>
              <w:left w:val="nil"/>
              <w:bottom w:val="single" w:sz="4" w:space="0" w:color="auto"/>
              <w:right w:val="single" w:sz="4" w:space="0" w:color="auto"/>
            </w:tcBorders>
            <w:shd w:val="clear" w:color="auto" w:fill="auto"/>
            <w:noWrap/>
            <w:vAlign w:val="bottom"/>
            <w:hideMark/>
          </w:tcPr>
          <w:p w14:paraId="26D4A918"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55529,32</w:t>
            </w:r>
          </w:p>
        </w:tc>
        <w:tc>
          <w:tcPr>
            <w:tcW w:w="700" w:type="dxa"/>
            <w:tcBorders>
              <w:top w:val="nil"/>
              <w:left w:val="nil"/>
              <w:bottom w:val="single" w:sz="4" w:space="0" w:color="auto"/>
              <w:right w:val="single" w:sz="4" w:space="0" w:color="auto"/>
            </w:tcBorders>
            <w:shd w:val="clear" w:color="auto" w:fill="auto"/>
            <w:noWrap/>
            <w:vAlign w:val="bottom"/>
            <w:hideMark/>
          </w:tcPr>
          <w:p w14:paraId="4767CB0B"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920" w:type="dxa"/>
            <w:tcBorders>
              <w:top w:val="nil"/>
              <w:left w:val="nil"/>
              <w:bottom w:val="single" w:sz="4" w:space="0" w:color="auto"/>
              <w:right w:val="single" w:sz="4" w:space="0" w:color="auto"/>
            </w:tcBorders>
            <w:shd w:val="clear" w:color="auto" w:fill="auto"/>
            <w:noWrap/>
            <w:vAlign w:val="bottom"/>
            <w:hideMark/>
          </w:tcPr>
          <w:p w14:paraId="73E55037"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18509,8</w:t>
            </w:r>
          </w:p>
        </w:tc>
        <w:tc>
          <w:tcPr>
            <w:tcW w:w="680" w:type="dxa"/>
            <w:tcBorders>
              <w:top w:val="nil"/>
              <w:left w:val="nil"/>
              <w:bottom w:val="single" w:sz="4" w:space="0" w:color="auto"/>
              <w:right w:val="single" w:sz="4" w:space="0" w:color="auto"/>
            </w:tcBorders>
            <w:shd w:val="clear" w:color="auto" w:fill="auto"/>
            <w:noWrap/>
            <w:vAlign w:val="bottom"/>
            <w:hideMark/>
          </w:tcPr>
          <w:p w14:paraId="3F434B69"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26,37</w:t>
            </w:r>
          </w:p>
        </w:tc>
        <w:tc>
          <w:tcPr>
            <w:tcW w:w="936" w:type="dxa"/>
            <w:tcBorders>
              <w:top w:val="nil"/>
              <w:left w:val="nil"/>
              <w:bottom w:val="single" w:sz="4" w:space="0" w:color="auto"/>
              <w:right w:val="single" w:sz="4" w:space="0" w:color="auto"/>
            </w:tcBorders>
            <w:shd w:val="clear" w:color="auto" w:fill="auto"/>
            <w:noWrap/>
            <w:vAlign w:val="bottom"/>
            <w:hideMark/>
          </w:tcPr>
          <w:p w14:paraId="13B0D7AF"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678" w:type="dxa"/>
            <w:tcBorders>
              <w:top w:val="nil"/>
              <w:left w:val="nil"/>
              <w:bottom w:val="single" w:sz="4" w:space="0" w:color="auto"/>
              <w:right w:val="single" w:sz="4" w:space="0" w:color="auto"/>
            </w:tcBorders>
            <w:shd w:val="clear" w:color="auto" w:fill="auto"/>
            <w:noWrap/>
            <w:vAlign w:val="bottom"/>
            <w:hideMark/>
          </w:tcPr>
          <w:p w14:paraId="024F1491"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37,34</w:t>
            </w:r>
          </w:p>
        </w:tc>
      </w:tr>
      <w:tr w:rsidR="007E253F" w:rsidRPr="007E253F" w14:paraId="0110CDEA"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1758BD3"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P</w:t>
            </w:r>
          </w:p>
        </w:tc>
        <w:tc>
          <w:tcPr>
            <w:tcW w:w="1040" w:type="dxa"/>
            <w:tcBorders>
              <w:top w:val="nil"/>
              <w:left w:val="nil"/>
              <w:bottom w:val="single" w:sz="4" w:space="0" w:color="auto"/>
              <w:right w:val="single" w:sz="4" w:space="0" w:color="auto"/>
            </w:tcBorders>
            <w:shd w:val="clear" w:color="auto" w:fill="auto"/>
            <w:noWrap/>
            <w:vAlign w:val="bottom"/>
            <w:hideMark/>
          </w:tcPr>
          <w:p w14:paraId="0581F4B9"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13178,81</w:t>
            </w:r>
          </w:p>
        </w:tc>
        <w:tc>
          <w:tcPr>
            <w:tcW w:w="700" w:type="dxa"/>
            <w:tcBorders>
              <w:top w:val="nil"/>
              <w:left w:val="nil"/>
              <w:bottom w:val="single" w:sz="4" w:space="0" w:color="auto"/>
              <w:right w:val="single" w:sz="4" w:space="0" w:color="auto"/>
            </w:tcBorders>
            <w:shd w:val="clear" w:color="auto" w:fill="auto"/>
            <w:noWrap/>
            <w:vAlign w:val="bottom"/>
            <w:hideMark/>
          </w:tcPr>
          <w:p w14:paraId="6596133A"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w:t>
            </w:r>
          </w:p>
        </w:tc>
        <w:tc>
          <w:tcPr>
            <w:tcW w:w="920" w:type="dxa"/>
            <w:tcBorders>
              <w:top w:val="nil"/>
              <w:left w:val="nil"/>
              <w:bottom w:val="single" w:sz="4" w:space="0" w:color="auto"/>
              <w:right w:val="single" w:sz="4" w:space="0" w:color="auto"/>
            </w:tcBorders>
            <w:shd w:val="clear" w:color="auto" w:fill="auto"/>
            <w:noWrap/>
            <w:vAlign w:val="bottom"/>
            <w:hideMark/>
          </w:tcPr>
          <w:p w14:paraId="496C96D9"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6589,4</w:t>
            </w:r>
          </w:p>
        </w:tc>
        <w:tc>
          <w:tcPr>
            <w:tcW w:w="680" w:type="dxa"/>
            <w:tcBorders>
              <w:top w:val="nil"/>
              <w:left w:val="nil"/>
              <w:bottom w:val="single" w:sz="4" w:space="0" w:color="auto"/>
              <w:right w:val="single" w:sz="4" w:space="0" w:color="auto"/>
            </w:tcBorders>
            <w:shd w:val="clear" w:color="auto" w:fill="auto"/>
            <w:noWrap/>
            <w:vAlign w:val="bottom"/>
            <w:hideMark/>
          </w:tcPr>
          <w:p w14:paraId="65E3E98F"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9,39</w:t>
            </w:r>
          </w:p>
        </w:tc>
        <w:tc>
          <w:tcPr>
            <w:tcW w:w="936" w:type="dxa"/>
            <w:tcBorders>
              <w:top w:val="nil"/>
              <w:left w:val="nil"/>
              <w:bottom w:val="single" w:sz="4" w:space="0" w:color="auto"/>
              <w:right w:val="single" w:sz="4" w:space="0" w:color="auto"/>
            </w:tcBorders>
            <w:shd w:val="clear" w:color="auto" w:fill="auto"/>
            <w:noWrap/>
            <w:vAlign w:val="bottom"/>
            <w:hideMark/>
          </w:tcPr>
          <w:p w14:paraId="7383EDE9"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2E-04</w:t>
            </w:r>
          </w:p>
        </w:tc>
        <w:tc>
          <w:tcPr>
            <w:tcW w:w="1678" w:type="dxa"/>
            <w:tcBorders>
              <w:top w:val="nil"/>
              <w:left w:val="nil"/>
              <w:bottom w:val="single" w:sz="4" w:space="0" w:color="auto"/>
              <w:right w:val="single" w:sz="4" w:space="0" w:color="auto"/>
            </w:tcBorders>
            <w:shd w:val="clear" w:color="auto" w:fill="auto"/>
            <w:noWrap/>
            <w:vAlign w:val="bottom"/>
            <w:hideMark/>
          </w:tcPr>
          <w:p w14:paraId="274AF11E"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8,86</w:t>
            </w:r>
          </w:p>
        </w:tc>
      </w:tr>
      <w:tr w:rsidR="007E253F" w:rsidRPr="007E253F" w14:paraId="2FBCC714"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CB83E74"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K</w:t>
            </w:r>
          </w:p>
        </w:tc>
        <w:tc>
          <w:tcPr>
            <w:tcW w:w="1040" w:type="dxa"/>
            <w:tcBorders>
              <w:top w:val="nil"/>
              <w:left w:val="nil"/>
              <w:bottom w:val="single" w:sz="4" w:space="0" w:color="auto"/>
              <w:right w:val="single" w:sz="4" w:space="0" w:color="auto"/>
            </w:tcBorders>
            <w:shd w:val="clear" w:color="auto" w:fill="auto"/>
            <w:noWrap/>
            <w:vAlign w:val="bottom"/>
            <w:hideMark/>
          </w:tcPr>
          <w:p w14:paraId="4340EE0A"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1881,5</w:t>
            </w:r>
          </w:p>
        </w:tc>
        <w:tc>
          <w:tcPr>
            <w:tcW w:w="700" w:type="dxa"/>
            <w:tcBorders>
              <w:top w:val="nil"/>
              <w:left w:val="nil"/>
              <w:bottom w:val="single" w:sz="4" w:space="0" w:color="auto"/>
              <w:right w:val="single" w:sz="4" w:space="0" w:color="auto"/>
            </w:tcBorders>
            <w:shd w:val="clear" w:color="auto" w:fill="auto"/>
            <w:noWrap/>
            <w:vAlign w:val="bottom"/>
            <w:hideMark/>
          </w:tcPr>
          <w:p w14:paraId="2CF8CB6D"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920" w:type="dxa"/>
            <w:tcBorders>
              <w:top w:val="nil"/>
              <w:left w:val="nil"/>
              <w:bottom w:val="single" w:sz="4" w:space="0" w:color="auto"/>
              <w:right w:val="single" w:sz="4" w:space="0" w:color="auto"/>
            </w:tcBorders>
            <w:shd w:val="clear" w:color="auto" w:fill="auto"/>
            <w:noWrap/>
            <w:vAlign w:val="bottom"/>
            <w:hideMark/>
          </w:tcPr>
          <w:p w14:paraId="5FA0ED9C"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627,17</w:t>
            </w:r>
          </w:p>
        </w:tc>
        <w:tc>
          <w:tcPr>
            <w:tcW w:w="680" w:type="dxa"/>
            <w:tcBorders>
              <w:top w:val="nil"/>
              <w:left w:val="nil"/>
              <w:bottom w:val="single" w:sz="4" w:space="0" w:color="auto"/>
              <w:right w:val="single" w:sz="4" w:space="0" w:color="auto"/>
            </w:tcBorders>
            <w:shd w:val="clear" w:color="auto" w:fill="auto"/>
            <w:noWrap/>
            <w:vAlign w:val="bottom"/>
            <w:hideMark/>
          </w:tcPr>
          <w:p w14:paraId="3BC871C8"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0,89</w:t>
            </w:r>
          </w:p>
        </w:tc>
        <w:tc>
          <w:tcPr>
            <w:tcW w:w="936" w:type="dxa"/>
            <w:tcBorders>
              <w:top w:val="nil"/>
              <w:left w:val="nil"/>
              <w:bottom w:val="single" w:sz="4" w:space="0" w:color="auto"/>
              <w:right w:val="single" w:sz="4" w:space="0" w:color="auto"/>
            </w:tcBorders>
            <w:shd w:val="clear" w:color="auto" w:fill="auto"/>
            <w:noWrap/>
            <w:vAlign w:val="bottom"/>
            <w:hideMark/>
          </w:tcPr>
          <w:p w14:paraId="13C1E604"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0,449</w:t>
            </w:r>
          </w:p>
        </w:tc>
        <w:tc>
          <w:tcPr>
            <w:tcW w:w="1678" w:type="dxa"/>
            <w:tcBorders>
              <w:top w:val="nil"/>
              <w:left w:val="nil"/>
              <w:bottom w:val="single" w:sz="4" w:space="0" w:color="auto"/>
              <w:right w:val="single" w:sz="4" w:space="0" w:color="auto"/>
            </w:tcBorders>
            <w:shd w:val="clear" w:color="auto" w:fill="auto"/>
            <w:noWrap/>
            <w:vAlign w:val="bottom"/>
            <w:hideMark/>
          </w:tcPr>
          <w:p w14:paraId="10A1F18F"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1,27</w:t>
            </w:r>
          </w:p>
        </w:tc>
      </w:tr>
      <w:tr w:rsidR="007E253F" w:rsidRPr="007E253F" w14:paraId="5DF54846"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82E12B8"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S</w:t>
            </w:r>
          </w:p>
        </w:tc>
        <w:tc>
          <w:tcPr>
            <w:tcW w:w="1040" w:type="dxa"/>
            <w:tcBorders>
              <w:top w:val="nil"/>
              <w:left w:val="nil"/>
              <w:bottom w:val="single" w:sz="4" w:space="0" w:color="auto"/>
              <w:right w:val="single" w:sz="4" w:space="0" w:color="auto"/>
            </w:tcBorders>
            <w:shd w:val="clear" w:color="auto" w:fill="auto"/>
            <w:noWrap/>
            <w:vAlign w:val="bottom"/>
            <w:hideMark/>
          </w:tcPr>
          <w:p w14:paraId="1A910F7D"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279,07</w:t>
            </w:r>
          </w:p>
        </w:tc>
        <w:tc>
          <w:tcPr>
            <w:tcW w:w="700" w:type="dxa"/>
            <w:tcBorders>
              <w:top w:val="nil"/>
              <w:left w:val="nil"/>
              <w:bottom w:val="single" w:sz="4" w:space="0" w:color="auto"/>
              <w:right w:val="single" w:sz="4" w:space="0" w:color="auto"/>
            </w:tcBorders>
            <w:shd w:val="clear" w:color="auto" w:fill="auto"/>
            <w:noWrap/>
            <w:vAlign w:val="bottom"/>
            <w:hideMark/>
          </w:tcPr>
          <w:p w14:paraId="4A0BDE97"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920" w:type="dxa"/>
            <w:tcBorders>
              <w:top w:val="nil"/>
              <w:left w:val="nil"/>
              <w:bottom w:val="single" w:sz="4" w:space="0" w:color="auto"/>
              <w:right w:val="single" w:sz="4" w:space="0" w:color="auto"/>
            </w:tcBorders>
            <w:shd w:val="clear" w:color="auto" w:fill="auto"/>
            <w:noWrap/>
            <w:vAlign w:val="bottom"/>
            <w:hideMark/>
          </w:tcPr>
          <w:p w14:paraId="446718D4"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279,07</w:t>
            </w:r>
          </w:p>
        </w:tc>
        <w:tc>
          <w:tcPr>
            <w:tcW w:w="680" w:type="dxa"/>
            <w:tcBorders>
              <w:top w:val="nil"/>
              <w:left w:val="nil"/>
              <w:bottom w:val="single" w:sz="4" w:space="0" w:color="auto"/>
              <w:right w:val="single" w:sz="4" w:space="0" w:color="auto"/>
            </w:tcBorders>
            <w:shd w:val="clear" w:color="auto" w:fill="auto"/>
            <w:noWrap/>
            <w:vAlign w:val="bottom"/>
            <w:hideMark/>
          </w:tcPr>
          <w:p w14:paraId="42304BEA"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w:t>
            </w:r>
          </w:p>
        </w:tc>
        <w:tc>
          <w:tcPr>
            <w:tcW w:w="936" w:type="dxa"/>
            <w:tcBorders>
              <w:top w:val="nil"/>
              <w:left w:val="nil"/>
              <w:bottom w:val="single" w:sz="4" w:space="0" w:color="auto"/>
              <w:right w:val="single" w:sz="4" w:space="0" w:color="auto"/>
            </w:tcBorders>
            <w:shd w:val="clear" w:color="auto" w:fill="auto"/>
            <w:noWrap/>
            <w:vAlign w:val="bottom"/>
            <w:hideMark/>
          </w:tcPr>
          <w:p w14:paraId="51DD341C"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0,53</w:t>
            </w:r>
          </w:p>
        </w:tc>
        <w:tc>
          <w:tcPr>
            <w:tcW w:w="1678" w:type="dxa"/>
            <w:tcBorders>
              <w:top w:val="nil"/>
              <w:left w:val="nil"/>
              <w:bottom w:val="single" w:sz="4" w:space="0" w:color="auto"/>
              <w:right w:val="single" w:sz="4" w:space="0" w:color="auto"/>
            </w:tcBorders>
            <w:shd w:val="clear" w:color="auto" w:fill="auto"/>
            <w:noWrap/>
            <w:vAlign w:val="bottom"/>
            <w:hideMark/>
          </w:tcPr>
          <w:p w14:paraId="2E2509CA"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0,19</w:t>
            </w:r>
          </w:p>
        </w:tc>
      </w:tr>
      <w:tr w:rsidR="007E253F" w:rsidRPr="007E253F" w14:paraId="5805E90D"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5E2809F"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Mg</w:t>
            </w:r>
          </w:p>
        </w:tc>
        <w:tc>
          <w:tcPr>
            <w:tcW w:w="1040" w:type="dxa"/>
            <w:tcBorders>
              <w:top w:val="nil"/>
              <w:left w:val="nil"/>
              <w:bottom w:val="single" w:sz="4" w:space="0" w:color="auto"/>
              <w:right w:val="single" w:sz="4" w:space="0" w:color="auto"/>
            </w:tcBorders>
            <w:shd w:val="clear" w:color="auto" w:fill="auto"/>
            <w:noWrap/>
            <w:vAlign w:val="bottom"/>
            <w:hideMark/>
          </w:tcPr>
          <w:p w14:paraId="7D6D0968"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543,74</w:t>
            </w:r>
          </w:p>
        </w:tc>
        <w:tc>
          <w:tcPr>
            <w:tcW w:w="700" w:type="dxa"/>
            <w:tcBorders>
              <w:top w:val="nil"/>
              <w:left w:val="nil"/>
              <w:bottom w:val="single" w:sz="4" w:space="0" w:color="auto"/>
              <w:right w:val="single" w:sz="4" w:space="0" w:color="auto"/>
            </w:tcBorders>
            <w:shd w:val="clear" w:color="auto" w:fill="auto"/>
            <w:noWrap/>
            <w:vAlign w:val="bottom"/>
            <w:hideMark/>
          </w:tcPr>
          <w:p w14:paraId="5B0EDD15"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920" w:type="dxa"/>
            <w:tcBorders>
              <w:top w:val="nil"/>
              <w:left w:val="nil"/>
              <w:bottom w:val="single" w:sz="4" w:space="0" w:color="auto"/>
              <w:right w:val="single" w:sz="4" w:space="0" w:color="auto"/>
            </w:tcBorders>
            <w:shd w:val="clear" w:color="auto" w:fill="auto"/>
            <w:noWrap/>
            <w:vAlign w:val="bottom"/>
            <w:hideMark/>
          </w:tcPr>
          <w:p w14:paraId="644443AC"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543,74</w:t>
            </w:r>
          </w:p>
        </w:tc>
        <w:tc>
          <w:tcPr>
            <w:tcW w:w="680" w:type="dxa"/>
            <w:tcBorders>
              <w:top w:val="nil"/>
              <w:left w:val="nil"/>
              <w:bottom w:val="single" w:sz="4" w:space="0" w:color="auto"/>
              <w:right w:val="single" w:sz="4" w:space="0" w:color="auto"/>
            </w:tcBorders>
            <w:shd w:val="clear" w:color="auto" w:fill="auto"/>
            <w:noWrap/>
            <w:vAlign w:val="bottom"/>
            <w:hideMark/>
          </w:tcPr>
          <w:p w14:paraId="29E4FD8B"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0,77</w:t>
            </w:r>
          </w:p>
        </w:tc>
        <w:tc>
          <w:tcPr>
            <w:tcW w:w="936" w:type="dxa"/>
            <w:tcBorders>
              <w:top w:val="nil"/>
              <w:left w:val="nil"/>
              <w:bottom w:val="single" w:sz="4" w:space="0" w:color="auto"/>
              <w:right w:val="single" w:sz="4" w:space="0" w:color="auto"/>
            </w:tcBorders>
            <w:shd w:val="clear" w:color="auto" w:fill="auto"/>
            <w:noWrap/>
            <w:vAlign w:val="bottom"/>
            <w:hideMark/>
          </w:tcPr>
          <w:p w14:paraId="50DF9217"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0,382</w:t>
            </w:r>
          </w:p>
        </w:tc>
        <w:tc>
          <w:tcPr>
            <w:tcW w:w="1678" w:type="dxa"/>
            <w:tcBorders>
              <w:top w:val="nil"/>
              <w:left w:val="nil"/>
              <w:bottom w:val="single" w:sz="4" w:space="0" w:color="auto"/>
              <w:right w:val="single" w:sz="4" w:space="0" w:color="auto"/>
            </w:tcBorders>
            <w:shd w:val="clear" w:color="auto" w:fill="auto"/>
            <w:noWrap/>
            <w:vAlign w:val="bottom"/>
            <w:hideMark/>
          </w:tcPr>
          <w:p w14:paraId="2BF458F8"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0,37</w:t>
            </w:r>
          </w:p>
        </w:tc>
      </w:tr>
      <w:tr w:rsidR="007E253F" w:rsidRPr="007E253F" w14:paraId="310BC2F5"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CA7215"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N*Dosis P</w:t>
            </w:r>
          </w:p>
        </w:tc>
        <w:tc>
          <w:tcPr>
            <w:tcW w:w="1040" w:type="dxa"/>
            <w:tcBorders>
              <w:top w:val="nil"/>
              <w:left w:val="nil"/>
              <w:bottom w:val="single" w:sz="4" w:space="0" w:color="auto"/>
              <w:right w:val="single" w:sz="4" w:space="0" w:color="auto"/>
            </w:tcBorders>
            <w:shd w:val="clear" w:color="auto" w:fill="auto"/>
            <w:noWrap/>
            <w:vAlign w:val="bottom"/>
            <w:hideMark/>
          </w:tcPr>
          <w:p w14:paraId="72879214"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113,23</w:t>
            </w:r>
          </w:p>
        </w:tc>
        <w:tc>
          <w:tcPr>
            <w:tcW w:w="700" w:type="dxa"/>
            <w:tcBorders>
              <w:top w:val="nil"/>
              <w:left w:val="nil"/>
              <w:bottom w:val="single" w:sz="4" w:space="0" w:color="auto"/>
              <w:right w:val="single" w:sz="4" w:space="0" w:color="auto"/>
            </w:tcBorders>
            <w:shd w:val="clear" w:color="auto" w:fill="auto"/>
            <w:noWrap/>
            <w:vAlign w:val="bottom"/>
            <w:hideMark/>
          </w:tcPr>
          <w:p w14:paraId="55FBEC3F"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920" w:type="dxa"/>
            <w:tcBorders>
              <w:top w:val="nil"/>
              <w:left w:val="nil"/>
              <w:bottom w:val="single" w:sz="4" w:space="0" w:color="auto"/>
              <w:right w:val="single" w:sz="4" w:space="0" w:color="auto"/>
            </w:tcBorders>
            <w:shd w:val="clear" w:color="auto" w:fill="auto"/>
            <w:noWrap/>
            <w:vAlign w:val="bottom"/>
            <w:hideMark/>
          </w:tcPr>
          <w:p w14:paraId="3CA304C7"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113,23</w:t>
            </w:r>
          </w:p>
        </w:tc>
        <w:tc>
          <w:tcPr>
            <w:tcW w:w="680" w:type="dxa"/>
            <w:tcBorders>
              <w:top w:val="nil"/>
              <w:left w:val="nil"/>
              <w:bottom w:val="single" w:sz="4" w:space="0" w:color="auto"/>
              <w:right w:val="single" w:sz="4" w:space="0" w:color="auto"/>
            </w:tcBorders>
            <w:shd w:val="clear" w:color="auto" w:fill="auto"/>
            <w:noWrap/>
            <w:vAlign w:val="bottom"/>
            <w:hideMark/>
          </w:tcPr>
          <w:p w14:paraId="54FB229B"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0,16</w:t>
            </w:r>
          </w:p>
        </w:tc>
        <w:tc>
          <w:tcPr>
            <w:tcW w:w="936" w:type="dxa"/>
            <w:tcBorders>
              <w:top w:val="nil"/>
              <w:left w:val="nil"/>
              <w:bottom w:val="single" w:sz="4" w:space="0" w:color="auto"/>
              <w:right w:val="single" w:sz="4" w:space="0" w:color="auto"/>
            </w:tcBorders>
            <w:shd w:val="clear" w:color="auto" w:fill="auto"/>
            <w:noWrap/>
            <w:vAlign w:val="bottom"/>
            <w:hideMark/>
          </w:tcPr>
          <w:p w14:paraId="416B65C2"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0,689</w:t>
            </w:r>
          </w:p>
        </w:tc>
        <w:tc>
          <w:tcPr>
            <w:tcW w:w="1678" w:type="dxa"/>
            <w:tcBorders>
              <w:top w:val="nil"/>
              <w:left w:val="nil"/>
              <w:bottom w:val="single" w:sz="4" w:space="0" w:color="auto"/>
              <w:right w:val="single" w:sz="4" w:space="0" w:color="auto"/>
            </w:tcBorders>
            <w:shd w:val="clear" w:color="auto" w:fill="auto"/>
            <w:noWrap/>
            <w:vAlign w:val="bottom"/>
            <w:hideMark/>
          </w:tcPr>
          <w:p w14:paraId="502B87F6"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0,08</w:t>
            </w:r>
          </w:p>
        </w:tc>
      </w:tr>
      <w:tr w:rsidR="007E253F" w:rsidRPr="007E253F" w14:paraId="1713D5EC"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B42FBA2"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Error</w:t>
            </w:r>
          </w:p>
        </w:tc>
        <w:tc>
          <w:tcPr>
            <w:tcW w:w="1040" w:type="dxa"/>
            <w:tcBorders>
              <w:top w:val="nil"/>
              <w:left w:val="nil"/>
              <w:bottom w:val="single" w:sz="4" w:space="0" w:color="auto"/>
              <w:right w:val="single" w:sz="4" w:space="0" w:color="auto"/>
            </w:tcBorders>
            <w:shd w:val="clear" w:color="auto" w:fill="auto"/>
            <w:noWrap/>
            <w:vAlign w:val="bottom"/>
            <w:hideMark/>
          </w:tcPr>
          <w:p w14:paraId="43BC4C65"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52646,9</w:t>
            </w:r>
          </w:p>
        </w:tc>
        <w:tc>
          <w:tcPr>
            <w:tcW w:w="700" w:type="dxa"/>
            <w:tcBorders>
              <w:top w:val="nil"/>
              <w:left w:val="nil"/>
              <w:bottom w:val="single" w:sz="4" w:space="0" w:color="auto"/>
              <w:right w:val="single" w:sz="4" w:space="0" w:color="auto"/>
            </w:tcBorders>
            <w:shd w:val="clear" w:color="auto" w:fill="auto"/>
            <w:noWrap/>
            <w:vAlign w:val="bottom"/>
            <w:hideMark/>
          </w:tcPr>
          <w:p w14:paraId="29CB90AA"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75</w:t>
            </w:r>
          </w:p>
        </w:tc>
        <w:tc>
          <w:tcPr>
            <w:tcW w:w="920" w:type="dxa"/>
            <w:tcBorders>
              <w:top w:val="nil"/>
              <w:left w:val="nil"/>
              <w:bottom w:val="single" w:sz="4" w:space="0" w:color="auto"/>
              <w:right w:val="single" w:sz="4" w:space="0" w:color="auto"/>
            </w:tcBorders>
            <w:shd w:val="clear" w:color="auto" w:fill="auto"/>
            <w:noWrap/>
            <w:vAlign w:val="bottom"/>
            <w:hideMark/>
          </w:tcPr>
          <w:p w14:paraId="017998A9"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701,96</w:t>
            </w:r>
          </w:p>
        </w:tc>
        <w:tc>
          <w:tcPr>
            <w:tcW w:w="680" w:type="dxa"/>
            <w:tcBorders>
              <w:top w:val="nil"/>
              <w:left w:val="nil"/>
              <w:bottom w:val="single" w:sz="4" w:space="0" w:color="auto"/>
              <w:right w:val="single" w:sz="4" w:space="0" w:color="auto"/>
            </w:tcBorders>
            <w:shd w:val="clear" w:color="auto" w:fill="auto"/>
            <w:noWrap/>
            <w:vAlign w:val="bottom"/>
            <w:hideMark/>
          </w:tcPr>
          <w:p w14:paraId="30E24923" w14:textId="77777777" w:rsidR="007E253F" w:rsidRPr="007E253F" w:rsidRDefault="007E253F" w:rsidP="00486A09">
            <w:pPr>
              <w:spacing w:after="0" w:line="240" w:lineRule="auto"/>
              <w:jc w:val="center"/>
              <w:rPr>
                <w:rFonts w:eastAsia="Times New Roman" w:cs="Times New Roman"/>
                <w:color w:val="000000"/>
                <w:szCs w:val="24"/>
                <w:lang w:eastAsia="es-EC"/>
              </w:rPr>
            </w:pPr>
          </w:p>
        </w:tc>
        <w:tc>
          <w:tcPr>
            <w:tcW w:w="936" w:type="dxa"/>
            <w:tcBorders>
              <w:top w:val="nil"/>
              <w:left w:val="nil"/>
              <w:bottom w:val="single" w:sz="4" w:space="0" w:color="auto"/>
              <w:right w:val="single" w:sz="4" w:space="0" w:color="auto"/>
            </w:tcBorders>
            <w:shd w:val="clear" w:color="auto" w:fill="auto"/>
            <w:noWrap/>
            <w:vAlign w:val="bottom"/>
            <w:hideMark/>
          </w:tcPr>
          <w:p w14:paraId="741C90F7" w14:textId="77777777" w:rsidR="007E253F" w:rsidRPr="007E253F" w:rsidRDefault="007E253F" w:rsidP="00486A09">
            <w:pPr>
              <w:spacing w:after="0" w:line="240" w:lineRule="auto"/>
              <w:jc w:val="center"/>
              <w:rPr>
                <w:rFonts w:eastAsia="Times New Roman" w:cs="Times New Roman"/>
                <w:color w:val="000000"/>
                <w:szCs w:val="24"/>
                <w:lang w:eastAsia="es-EC"/>
              </w:rPr>
            </w:pPr>
          </w:p>
        </w:tc>
        <w:tc>
          <w:tcPr>
            <w:tcW w:w="1678" w:type="dxa"/>
            <w:tcBorders>
              <w:top w:val="nil"/>
              <w:left w:val="nil"/>
              <w:bottom w:val="single" w:sz="4" w:space="0" w:color="auto"/>
              <w:right w:val="single" w:sz="4" w:space="0" w:color="auto"/>
            </w:tcBorders>
            <w:shd w:val="clear" w:color="auto" w:fill="auto"/>
            <w:noWrap/>
            <w:vAlign w:val="bottom"/>
            <w:hideMark/>
          </w:tcPr>
          <w:p w14:paraId="06F2437D"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35,40</w:t>
            </w:r>
          </w:p>
        </w:tc>
      </w:tr>
      <w:tr w:rsidR="007E253F" w:rsidRPr="007E253F" w14:paraId="7DB185B7" w14:textId="77777777" w:rsidTr="00A05F3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F028B75"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Total</w:t>
            </w:r>
          </w:p>
        </w:tc>
        <w:tc>
          <w:tcPr>
            <w:tcW w:w="1040" w:type="dxa"/>
            <w:tcBorders>
              <w:top w:val="nil"/>
              <w:left w:val="nil"/>
              <w:bottom w:val="single" w:sz="4" w:space="0" w:color="auto"/>
              <w:right w:val="single" w:sz="4" w:space="0" w:color="auto"/>
            </w:tcBorders>
            <w:shd w:val="clear" w:color="auto" w:fill="auto"/>
            <w:noWrap/>
            <w:vAlign w:val="bottom"/>
            <w:hideMark/>
          </w:tcPr>
          <w:p w14:paraId="4FAD07B5"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148708,5</w:t>
            </w:r>
          </w:p>
        </w:tc>
        <w:tc>
          <w:tcPr>
            <w:tcW w:w="700" w:type="dxa"/>
            <w:tcBorders>
              <w:top w:val="nil"/>
              <w:left w:val="nil"/>
              <w:bottom w:val="single" w:sz="4" w:space="0" w:color="auto"/>
              <w:right w:val="single" w:sz="4" w:space="0" w:color="auto"/>
            </w:tcBorders>
            <w:shd w:val="clear" w:color="auto" w:fill="auto"/>
            <w:noWrap/>
            <w:vAlign w:val="bottom"/>
            <w:hideMark/>
          </w:tcPr>
          <w:p w14:paraId="3C0D7C80" w14:textId="77777777" w:rsidR="007E253F" w:rsidRPr="007E253F" w:rsidRDefault="007E253F" w:rsidP="00486A0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w:t>
            </w:r>
          </w:p>
        </w:tc>
        <w:tc>
          <w:tcPr>
            <w:tcW w:w="920" w:type="dxa"/>
            <w:tcBorders>
              <w:top w:val="nil"/>
              <w:left w:val="nil"/>
              <w:bottom w:val="single" w:sz="4" w:space="0" w:color="auto"/>
              <w:right w:val="single" w:sz="4" w:space="0" w:color="auto"/>
            </w:tcBorders>
            <w:shd w:val="clear" w:color="auto" w:fill="auto"/>
            <w:noWrap/>
            <w:vAlign w:val="bottom"/>
            <w:hideMark/>
          </w:tcPr>
          <w:p w14:paraId="6C6E1ADB" w14:textId="77777777" w:rsidR="007E253F" w:rsidRPr="007E253F" w:rsidRDefault="007E253F" w:rsidP="00486A09">
            <w:pPr>
              <w:spacing w:after="0" w:line="240" w:lineRule="auto"/>
              <w:jc w:val="center"/>
              <w:rPr>
                <w:rFonts w:eastAsia="Times New Roman" w:cs="Times New Roman"/>
                <w:color w:val="000000"/>
                <w:szCs w:val="24"/>
                <w:lang w:eastAsia="es-EC"/>
              </w:rPr>
            </w:pPr>
          </w:p>
        </w:tc>
        <w:tc>
          <w:tcPr>
            <w:tcW w:w="680" w:type="dxa"/>
            <w:tcBorders>
              <w:top w:val="nil"/>
              <w:left w:val="nil"/>
              <w:bottom w:val="single" w:sz="4" w:space="0" w:color="auto"/>
              <w:right w:val="single" w:sz="4" w:space="0" w:color="auto"/>
            </w:tcBorders>
            <w:shd w:val="clear" w:color="auto" w:fill="auto"/>
            <w:noWrap/>
            <w:vAlign w:val="bottom"/>
            <w:hideMark/>
          </w:tcPr>
          <w:p w14:paraId="57093406" w14:textId="77777777" w:rsidR="007E253F" w:rsidRPr="007E253F" w:rsidRDefault="007E253F" w:rsidP="00486A09">
            <w:pPr>
              <w:spacing w:after="0" w:line="240" w:lineRule="auto"/>
              <w:jc w:val="center"/>
              <w:rPr>
                <w:rFonts w:eastAsia="Times New Roman" w:cs="Times New Roman"/>
                <w:color w:val="000000"/>
                <w:szCs w:val="24"/>
                <w:lang w:eastAsia="es-EC"/>
              </w:rPr>
            </w:pPr>
          </w:p>
        </w:tc>
        <w:tc>
          <w:tcPr>
            <w:tcW w:w="936" w:type="dxa"/>
            <w:tcBorders>
              <w:top w:val="nil"/>
              <w:left w:val="nil"/>
              <w:bottom w:val="single" w:sz="4" w:space="0" w:color="auto"/>
              <w:right w:val="single" w:sz="4" w:space="0" w:color="auto"/>
            </w:tcBorders>
            <w:shd w:val="clear" w:color="auto" w:fill="auto"/>
            <w:noWrap/>
            <w:vAlign w:val="bottom"/>
            <w:hideMark/>
          </w:tcPr>
          <w:p w14:paraId="171DBCBF" w14:textId="77777777" w:rsidR="007E253F" w:rsidRPr="007E253F" w:rsidRDefault="007E253F" w:rsidP="00486A09">
            <w:pPr>
              <w:spacing w:after="0" w:line="240" w:lineRule="auto"/>
              <w:jc w:val="center"/>
              <w:rPr>
                <w:rFonts w:eastAsia="Times New Roman" w:cs="Times New Roman"/>
                <w:color w:val="000000"/>
                <w:szCs w:val="24"/>
                <w:lang w:eastAsia="es-EC"/>
              </w:rPr>
            </w:pPr>
          </w:p>
        </w:tc>
        <w:tc>
          <w:tcPr>
            <w:tcW w:w="1678" w:type="dxa"/>
            <w:tcBorders>
              <w:top w:val="nil"/>
              <w:left w:val="nil"/>
              <w:bottom w:val="single" w:sz="4" w:space="0" w:color="auto"/>
              <w:right w:val="single" w:sz="4" w:space="0" w:color="auto"/>
            </w:tcBorders>
            <w:shd w:val="clear" w:color="auto" w:fill="auto"/>
            <w:noWrap/>
            <w:vAlign w:val="bottom"/>
            <w:hideMark/>
          </w:tcPr>
          <w:p w14:paraId="6ADEBACF" w14:textId="77777777" w:rsidR="007E253F" w:rsidRPr="007E253F" w:rsidRDefault="007E253F" w:rsidP="00486A09">
            <w:pPr>
              <w:spacing w:after="0" w:line="240" w:lineRule="auto"/>
              <w:jc w:val="center"/>
              <w:rPr>
                <w:rFonts w:eastAsia="Times New Roman" w:cs="Times New Roman"/>
                <w:color w:val="000000"/>
                <w:szCs w:val="24"/>
                <w:lang w:eastAsia="es-EC"/>
              </w:rPr>
            </w:pPr>
          </w:p>
        </w:tc>
      </w:tr>
    </w:tbl>
    <w:p w14:paraId="1E63BAB0" w14:textId="77777777" w:rsidR="007E253F" w:rsidRPr="007E253F" w:rsidRDefault="007E253F" w:rsidP="007E253F">
      <w:pPr>
        <w:autoSpaceDE w:val="0"/>
        <w:autoSpaceDN w:val="0"/>
        <w:adjustRightInd w:val="0"/>
        <w:spacing w:after="0" w:line="360" w:lineRule="auto"/>
        <w:rPr>
          <w:rFonts w:cs="Times New Roman"/>
          <w:b/>
          <w:bCs/>
          <w:color w:val="0000FF"/>
          <w:szCs w:val="24"/>
        </w:rPr>
      </w:pPr>
    </w:p>
    <w:p w14:paraId="72FDB97E" w14:textId="24FEE4B1" w:rsidR="007E253F" w:rsidRPr="007E253F" w:rsidRDefault="007E253F" w:rsidP="007E253F">
      <w:pPr>
        <w:autoSpaceDE w:val="0"/>
        <w:autoSpaceDN w:val="0"/>
        <w:adjustRightInd w:val="0"/>
        <w:spacing w:after="0" w:line="360" w:lineRule="auto"/>
        <w:rPr>
          <w:rFonts w:cs="Times New Roman"/>
          <w:bCs/>
          <w:szCs w:val="24"/>
        </w:rPr>
      </w:pPr>
      <w:r w:rsidRPr="007E253F">
        <w:rPr>
          <w:rFonts w:cs="Times New Roman"/>
          <w:bCs/>
          <w:szCs w:val="24"/>
        </w:rPr>
        <w:t xml:space="preserve">El modelo estadístico establecido explicó el 64,60% de la variación observada en los datos; siendo nitrógeno el nutriente con más importancia, que explicó el 37,34% de la variación observada. El fósforo y el potasio explicaron el 8,86% y 1,27% de la </w:t>
      </w:r>
      <w:r w:rsidRPr="007E253F">
        <w:rPr>
          <w:rFonts w:cs="Times New Roman"/>
          <w:szCs w:val="24"/>
        </w:rPr>
        <w:t xml:space="preserve">absorción total de nitrógeno, </w:t>
      </w:r>
      <w:r w:rsidRPr="007E253F">
        <w:rPr>
          <w:rFonts w:cs="Times New Roman"/>
          <w:bCs/>
          <w:szCs w:val="24"/>
        </w:rPr>
        <w:t>respectivamente. Un 35,40% de la variación se les atribuyó a efectos aleatorios que el modelo no pudo explicar (error). El resto de nutrientes y la interacción explicaron menos del 5% de la absorción total</w:t>
      </w:r>
      <w:r w:rsidRPr="007E253F">
        <w:rPr>
          <w:rFonts w:cs="Times New Roman"/>
          <w:szCs w:val="24"/>
        </w:rPr>
        <w:t xml:space="preserve"> de nitrógeno</w:t>
      </w:r>
      <w:r w:rsidRPr="007E253F">
        <w:rPr>
          <w:rFonts w:cs="Times New Roman"/>
          <w:bCs/>
          <w:szCs w:val="24"/>
        </w:rPr>
        <w:t xml:space="preserve"> (</w:t>
      </w:r>
      <w:r w:rsidR="0072752C">
        <w:rPr>
          <w:rFonts w:cs="Times New Roman"/>
          <w:bCs/>
          <w:szCs w:val="24"/>
        </w:rPr>
        <w:t>Cuadro</w:t>
      </w:r>
      <w:r w:rsidRPr="007E253F">
        <w:rPr>
          <w:rFonts w:cs="Times New Roman"/>
          <w:bCs/>
          <w:szCs w:val="24"/>
        </w:rPr>
        <w:t xml:space="preserve"> 23).  </w:t>
      </w:r>
    </w:p>
    <w:p w14:paraId="2E244AE9" w14:textId="61AF207C" w:rsidR="007E253F" w:rsidRDefault="007E253F" w:rsidP="005E3DE9">
      <w:pPr>
        <w:autoSpaceDE w:val="0"/>
        <w:autoSpaceDN w:val="0"/>
        <w:adjustRightInd w:val="0"/>
        <w:spacing w:before="360" w:after="360" w:line="360" w:lineRule="auto"/>
        <w:rPr>
          <w:rFonts w:cs="Times New Roman"/>
          <w:bCs/>
          <w:szCs w:val="24"/>
        </w:rPr>
      </w:pPr>
      <w:r w:rsidRPr="007E253F">
        <w:rPr>
          <w:rFonts w:cs="Times New Roman"/>
          <w:bCs/>
          <w:szCs w:val="24"/>
        </w:rPr>
        <w:t xml:space="preserve">En </w:t>
      </w:r>
      <w:r w:rsidR="0072752C">
        <w:rPr>
          <w:rFonts w:cs="Times New Roman"/>
          <w:bCs/>
          <w:szCs w:val="24"/>
        </w:rPr>
        <w:t>los cuadros</w:t>
      </w:r>
      <w:r w:rsidR="006760D1">
        <w:rPr>
          <w:rFonts w:cs="Times New Roman"/>
          <w:bCs/>
          <w:szCs w:val="24"/>
        </w:rPr>
        <w:t xml:space="preserve"> </w:t>
      </w:r>
      <w:r w:rsidRPr="007E253F">
        <w:rPr>
          <w:rFonts w:cs="Times New Roman"/>
          <w:bCs/>
          <w:szCs w:val="24"/>
        </w:rPr>
        <w:t>24, 25, 26, 27, 28 y 29 se presentan los promedios y el error estándar de a</w:t>
      </w:r>
      <w:r w:rsidR="005F2CA6">
        <w:rPr>
          <w:rFonts w:cs="Times New Roman"/>
          <w:bCs/>
          <w:szCs w:val="24"/>
        </w:rPr>
        <w:t>b</w:t>
      </w:r>
      <w:r w:rsidRPr="007E253F">
        <w:rPr>
          <w:rFonts w:cs="Times New Roman"/>
          <w:bCs/>
          <w:szCs w:val="24"/>
        </w:rPr>
        <w:t>sorción de nitrógeno por efecto de las localidades (cantón) y los niveles de nitrógeno, fósforo, potasio, azufre, magnesio con su respectiva pru</w:t>
      </w:r>
      <w:r w:rsidR="009635E7">
        <w:rPr>
          <w:rFonts w:cs="Times New Roman"/>
          <w:bCs/>
          <w:szCs w:val="24"/>
        </w:rPr>
        <w:t xml:space="preserve">eba de Lsd Fisher (alfa=0,05). </w:t>
      </w:r>
    </w:p>
    <w:p w14:paraId="0D5BECC6" w14:textId="468AF60F" w:rsidR="009635E7" w:rsidRPr="009635E7" w:rsidRDefault="009635E7" w:rsidP="009635E7">
      <w:pPr>
        <w:pStyle w:val="Descripcin"/>
        <w:keepNext/>
        <w:rPr>
          <w:rFonts w:cs="Times New Roman"/>
          <w:bCs/>
          <w:i w:val="0"/>
          <w:iCs w:val="0"/>
          <w:color w:val="auto"/>
          <w:sz w:val="24"/>
          <w:szCs w:val="24"/>
          <w:lang w:eastAsia="en-US"/>
        </w:rPr>
      </w:pPr>
      <w:bookmarkStart w:id="1374" w:name="_Toc79314016"/>
      <w:r w:rsidRPr="009635E7">
        <w:rPr>
          <w:rFonts w:cs="Times New Roman"/>
          <w:b/>
          <w:bCs/>
          <w:i w:val="0"/>
          <w:iCs w:val="0"/>
          <w:color w:val="auto"/>
          <w:sz w:val="24"/>
          <w:szCs w:val="24"/>
          <w:lang w:eastAsia="en-US"/>
        </w:rPr>
        <w:t xml:space="preserve">Cuadro </w:t>
      </w:r>
      <w:r w:rsidRPr="009635E7">
        <w:rPr>
          <w:rFonts w:cs="Times New Roman"/>
          <w:b/>
          <w:bCs/>
          <w:i w:val="0"/>
          <w:iCs w:val="0"/>
          <w:color w:val="auto"/>
          <w:sz w:val="24"/>
          <w:szCs w:val="24"/>
          <w:lang w:eastAsia="en-US"/>
        </w:rPr>
        <w:fldChar w:fldCharType="begin"/>
      </w:r>
      <w:r w:rsidRPr="009635E7">
        <w:rPr>
          <w:rFonts w:cs="Times New Roman"/>
          <w:b/>
          <w:bCs/>
          <w:i w:val="0"/>
          <w:iCs w:val="0"/>
          <w:color w:val="auto"/>
          <w:sz w:val="24"/>
          <w:szCs w:val="24"/>
          <w:lang w:eastAsia="en-US"/>
        </w:rPr>
        <w:instrText xml:space="preserve"> SEQ Cuadro \* ARABIC </w:instrText>
      </w:r>
      <w:r w:rsidRPr="009635E7">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24</w:t>
      </w:r>
      <w:r w:rsidRPr="009635E7">
        <w:rPr>
          <w:rFonts w:cs="Times New Roman"/>
          <w:b/>
          <w:bCs/>
          <w:i w:val="0"/>
          <w:iCs w:val="0"/>
          <w:color w:val="auto"/>
          <w:sz w:val="24"/>
          <w:szCs w:val="24"/>
          <w:lang w:eastAsia="en-US"/>
        </w:rPr>
        <w:fldChar w:fldCharType="end"/>
      </w:r>
      <w:r w:rsidRPr="009635E7">
        <w:rPr>
          <w:rFonts w:cs="Times New Roman"/>
          <w:b/>
          <w:bCs/>
          <w:i w:val="0"/>
          <w:iCs w:val="0"/>
          <w:color w:val="auto"/>
          <w:sz w:val="24"/>
          <w:szCs w:val="24"/>
          <w:lang w:eastAsia="en-US"/>
        </w:rPr>
        <w:t>.</w:t>
      </w:r>
      <w:r w:rsidRPr="009635E7">
        <w:rPr>
          <w:rFonts w:cs="Times New Roman"/>
          <w:bCs/>
          <w:i w:val="0"/>
          <w:iCs w:val="0"/>
          <w:color w:val="auto"/>
          <w:sz w:val="24"/>
          <w:szCs w:val="24"/>
          <w:lang w:eastAsia="en-US"/>
        </w:rPr>
        <w:t xml:space="preserve"> Absorción total de nitrógeno, evaluado por localidades (cantón) en la provincia de Bolívar del 2006 al 2011.</w:t>
      </w:r>
      <w:bookmarkEnd w:id="1374"/>
    </w:p>
    <w:tbl>
      <w:tblPr>
        <w:tblW w:w="4557" w:type="pct"/>
        <w:jc w:val="center"/>
        <w:tblCellMar>
          <w:left w:w="70" w:type="dxa"/>
          <w:right w:w="70" w:type="dxa"/>
        </w:tblCellMar>
        <w:tblLook w:val="04A0" w:firstRow="1" w:lastRow="0" w:firstColumn="1" w:lastColumn="0" w:noHBand="0" w:noVBand="1"/>
      </w:tblPr>
      <w:tblGrid>
        <w:gridCol w:w="1427"/>
        <w:gridCol w:w="951"/>
        <w:gridCol w:w="949"/>
        <w:gridCol w:w="1694"/>
        <w:gridCol w:w="644"/>
        <w:gridCol w:w="851"/>
        <w:gridCol w:w="709"/>
      </w:tblGrid>
      <w:tr w:rsidR="005E3DE9" w:rsidRPr="007E253F" w14:paraId="20E4270C" w14:textId="77777777" w:rsidTr="005E3DE9">
        <w:trPr>
          <w:trHeight w:val="265"/>
          <w:jc w:val="center"/>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A9B78" w14:textId="5F6B29E7" w:rsidR="005E3DE9" w:rsidRPr="007E253F" w:rsidRDefault="005E3DE9"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Cantón</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4C0B333B" w14:textId="77777777" w:rsidR="005E3DE9" w:rsidRPr="007E253F" w:rsidRDefault="005E3DE9"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14:paraId="64B93E7D" w14:textId="2D335C9C" w:rsidR="005E3DE9" w:rsidRPr="007E253F" w:rsidRDefault="005E3DE9"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172" w:type="pct"/>
            <w:tcBorders>
              <w:top w:val="single" w:sz="4" w:space="0" w:color="auto"/>
              <w:left w:val="nil"/>
              <w:bottom w:val="single" w:sz="4" w:space="0" w:color="auto"/>
              <w:right w:val="single" w:sz="4" w:space="0" w:color="auto"/>
            </w:tcBorders>
            <w:shd w:val="clear" w:color="auto" w:fill="auto"/>
            <w:noWrap/>
            <w:vAlign w:val="center"/>
            <w:hideMark/>
          </w:tcPr>
          <w:p w14:paraId="319F3C5E" w14:textId="77777777" w:rsidR="005E3DE9" w:rsidRPr="007E253F" w:rsidRDefault="005E3DE9"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526" w:type="pct"/>
            <w:gridSpan w:val="3"/>
            <w:tcBorders>
              <w:top w:val="single" w:sz="4" w:space="0" w:color="auto"/>
              <w:left w:val="nil"/>
              <w:bottom w:val="single" w:sz="4" w:space="0" w:color="auto"/>
              <w:right w:val="single" w:sz="4" w:space="0" w:color="auto"/>
            </w:tcBorders>
            <w:shd w:val="clear" w:color="auto" w:fill="auto"/>
            <w:noWrap/>
            <w:vAlign w:val="center"/>
            <w:hideMark/>
          </w:tcPr>
          <w:p w14:paraId="43153D79" w14:textId="60D4C769" w:rsidR="005E3DE9" w:rsidRPr="005E3DE9" w:rsidRDefault="005E3DE9"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Lsd 0,05</w:t>
            </w:r>
          </w:p>
        </w:tc>
      </w:tr>
      <w:tr w:rsidR="007E253F" w:rsidRPr="007E253F" w14:paraId="48B46122" w14:textId="77777777" w:rsidTr="005E3DE9">
        <w:trPr>
          <w:trHeight w:val="300"/>
          <w:jc w:val="center"/>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6BBAB3E6"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Chillanes </w:t>
            </w:r>
          </w:p>
        </w:tc>
        <w:tc>
          <w:tcPr>
            <w:tcW w:w="658" w:type="pct"/>
            <w:tcBorders>
              <w:top w:val="nil"/>
              <w:left w:val="nil"/>
              <w:bottom w:val="single" w:sz="4" w:space="0" w:color="auto"/>
              <w:right w:val="single" w:sz="4" w:space="0" w:color="auto"/>
            </w:tcBorders>
            <w:shd w:val="clear" w:color="auto" w:fill="auto"/>
            <w:noWrap/>
            <w:vAlign w:val="bottom"/>
            <w:hideMark/>
          </w:tcPr>
          <w:p w14:paraId="749475C3"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80,94</w:t>
            </w:r>
          </w:p>
        </w:tc>
        <w:tc>
          <w:tcPr>
            <w:tcW w:w="657" w:type="pct"/>
            <w:tcBorders>
              <w:top w:val="nil"/>
              <w:left w:val="nil"/>
              <w:bottom w:val="single" w:sz="4" w:space="0" w:color="auto"/>
              <w:right w:val="single" w:sz="4" w:space="0" w:color="auto"/>
            </w:tcBorders>
            <w:shd w:val="clear" w:color="auto" w:fill="auto"/>
            <w:noWrap/>
            <w:vAlign w:val="bottom"/>
            <w:hideMark/>
          </w:tcPr>
          <w:p w14:paraId="7E76B9BD"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w:t>
            </w:r>
          </w:p>
        </w:tc>
        <w:tc>
          <w:tcPr>
            <w:tcW w:w="1172" w:type="pct"/>
            <w:tcBorders>
              <w:top w:val="nil"/>
              <w:left w:val="nil"/>
              <w:bottom w:val="single" w:sz="4" w:space="0" w:color="auto"/>
              <w:right w:val="single" w:sz="4" w:space="0" w:color="auto"/>
            </w:tcBorders>
            <w:shd w:val="clear" w:color="auto" w:fill="auto"/>
            <w:noWrap/>
            <w:vAlign w:val="bottom"/>
            <w:hideMark/>
          </w:tcPr>
          <w:p w14:paraId="2BC08A43"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5,50</w:t>
            </w:r>
          </w:p>
        </w:tc>
        <w:tc>
          <w:tcPr>
            <w:tcW w:w="446" w:type="pct"/>
            <w:tcBorders>
              <w:top w:val="nil"/>
              <w:left w:val="nil"/>
              <w:bottom w:val="single" w:sz="4" w:space="0" w:color="auto"/>
              <w:right w:val="single" w:sz="4" w:space="0" w:color="auto"/>
            </w:tcBorders>
            <w:shd w:val="clear" w:color="auto" w:fill="auto"/>
            <w:noWrap/>
            <w:vAlign w:val="bottom"/>
            <w:hideMark/>
          </w:tcPr>
          <w:p w14:paraId="1484F6E5"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589" w:type="pct"/>
            <w:tcBorders>
              <w:top w:val="nil"/>
              <w:left w:val="nil"/>
              <w:bottom w:val="single" w:sz="4" w:space="0" w:color="auto"/>
              <w:right w:val="single" w:sz="4" w:space="0" w:color="auto"/>
            </w:tcBorders>
            <w:shd w:val="clear" w:color="auto" w:fill="auto"/>
            <w:noWrap/>
            <w:vAlign w:val="bottom"/>
            <w:hideMark/>
          </w:tcPr>
          <w:p w14:paraId="4C007EC4"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491" w:type="pct"/>
            <w:tcBorders>
              <w:top w:val="nil"/>
              <w:left w:val="nil"/>
              <w:bottom w:val="single" w:sz="4" w:space="0" w:color="auto"/>
              <w:right w:val="single" w:sz="4" w:space="0" w:color="auto"/>
            </w:tcBorders>
            <w:shd w:val="clear" w:color="auto" w:fill="auto"/>
            <w:noWrap/>
            <w:vAlign w:val="bottom"/>
            <w:hideMark/>
          </w:tcPr>
          <w:p w14:paraId="4A0BFB4C"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25337547" w14:textId="77777777" w:rsidTr="005E3DE9">
        <w:trPr>
          <w:trHeight w:val="300"/>
          <w:jc w:val="center"/>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AFF3CFA"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Chimbo    </w:t>
            </w:r>
          </w:p>
        </w:tc>
        <w:tc>
          <w:tcPr>
            <w:tcW w:w="658" w:type="pct"/>
            <w:tcBorders>
              <w:top w:val="nil"/>
              <w:left w:val="nil"/>
              <w:bottom w:val="single" w:sz="4" w:space="0" w:color="auto"/>
              <w:right w:val="single" w:sz="4" w:space="0" w:color="auto"/>
            </w:tcBorders>
            <w:shd w:val="clear" w:color="auto" w:fill="auto"/>
            <w:noWrap/>
            <w:vAlign w:val="bottom"/>
            <w:hideMark/>
          </w:tcPr>
          <w:p w14:paraId="3CD324AD"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89,84</w:t>
            </w:r>
          </w:p>
        </w:tc>
        <w:tc>
          <w:tcPr>
            <w:tcW w:w="657" w:type="pct"/>
            <w:tcBorders>
              <w:top w:val="nil"/>
              <w:left w:val="nil"/>
              <w:bottom w:val="single" w:sz="4" w:space="0" w:color="auto"/>
              <w:right w:val="single" w:sz="4" w:space="0" w:color="auto"/>
            </w:tcBorders>
            <w:shd w:val="clear" w:color="auto" w:fill="auto"/>
            <w:noWrap/>
            <w:vAlign w:val="bottom"/>
            <w:hideMark/>
          </w:tcPr>
          <w:p w14:paraId="0B32E33B"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w:t>
            </w:r>
          </w:p>
        </w:tc>
        <w:tc>
          <w:tcPr>
            <w:tcW w:w="1172" w:type="pct"/>
            <w:tcBorders>
              <w:top w:val="nil"/>
              <w:left w:val="nil"/>
              <w:bottom w:val="single" w:sz="4" w:space="0" w:color="auto"/>
              <w:right w:val="single" w:sz="4" w:space="0" w:color="auto"/>
            </w:tcBorders>
            <w:shd w:val="clear" w:color="auto" w:fill="auto"/>
            <w:noWrap/>
            <w:vAlign w:val="bottom"/>
            <w:hideMark/>
          </w:tcPr>
          <w:p w14:paraId="3A4414DE"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6,47</w:t>
            </w:r>
          </w:p>
        </w:tc>
        <w:tc>
          <w:tcPr>
            <w:tcW w:w="446" w:type="pct"/>
            <w:tcBorders>
              <w:top w:val="nil"/>
              <w:left w:val="nil"/>
              <w:bottom w:val="single" w:sz="4" w:space="0" w:color="auto"/>
              <w:right w:val="single" w:sz="4" w:space="0" w:color="auto"/>
            </w:tcBorders>
            <w:shd w:val="clear" w:color="auto" w:fill="auto"/>
            <w:noWrap/>
            <w:vAlign w:val="bottom"/>
            <w:hideMark/>
          </w:tcPr>
          <w:p w14:paraId="60E1589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589" w:type="pct"/>
            <w:tcBorders>
              <w:top w:val="nil"/>
              <w:left w:val="nil"/>
              <w:bottom w:val="single" w:sz="4" w:space="0" w:color="auto"/>
              <w:right w:val="single" w:sz="4" w:space="0" w:color="auto"/>
            </w:tcBorders>
            <w:shd w:val="clear" w:color="auto" w:fill="auto"/>
            <w:noWrap/>
            <w:vAlign w:val="bottom"/>
            <w:hideMark/>
          </w:tcPr>
          <w:p w14:paraId="4010B827"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c>
          <w:tcPr>
            <w:tcW w:w="491" w:type="pct"/>
            <w:tcBorders>
              <w:top w:val="nil"/>
              <w:left w:val="nil"/>
              <w:bottom w:val="single" w:sz="4" w:space="0" w:color="auto"/>
              <w:right w:val="single" w:sz="4" w:space="0" w:color="auto"/>
            </w:tcBorders>
            <w:shd w:val="clear" w:color="auto" w:fill="auto"/>
            <w:noWrap/>
            <w:vAlign w:val="bottom"/>
            <w:hideMark/>
          </w:tcPr>
          <w:p w14:paraId="5C759073"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11816FE9" w14:textId="77777777" w:rsidTr="005E3DE9">
        <w:trPr>
          <w:trHeight w:val="300"/>
          <w:jc w:val="center"/>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226F50B"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Guaranda  </w:t>
            </w:r>
          </w:p>
        </w:tc>
        <w:tc>
          <w:tcPr>
            <w:tcW w:w="658" w:type="pct"/>
            <w:tcBorders>
              <w:top w:val="nil"/>
              <w:left w:val="nil"/>
              <w:bottom w:val="single" w:sz="4" w:space="0" w:color="auto"/>
              <w:right w:val="single" w:sz="4" w:space="0" w:color="auto"/>
            </w:tcBorders>
            <w:shd w:val="clear" w:color="auto" w:fill="auto"/>
            <w:noWrap/>
            <w:vAlign w:val="bottom"/>
            <w:hideMark/>
          </w:tcPr>
          <w:p w14:paraId="6B936F13"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103,47</w:t>
            </w:r>
          </w:p>
        </w:tc>
        <w:tc>
          <w:tcPr>
            <w:tcW w:w="657" w:type="pct"/>
            <w:tcBorders>
              <w:top w:val="nil"/>
              <w:left w:val="nil"/>
              <w:bottom w:val="single" w:sz="4" w:space="0" w:color="auto"/>
              <w:right w:val="single" w:sz="4" w:space="0" w:color="auto"/>
            </w:tcBorders>
            <w:shd w:val="clear" w:color="auto" w:fill="auto"/>
            <w:noWrap/>
            <w:vAlign w:val="bottom"/>
            <w:hideMark/>
          </w:tcPr>
          <w:p w14:paraId="12192211"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172" w:type="pct"/>
            <w:tcBorders>
              <w:top w:val="nil"/>
              <w:left w:val="nil"/>
              <w:bottom w:val="single" w:sz="4" w:space="0" w:color="auto"/>
              <w:right w:val="single" w:sz="4" w:space="0" w:color="auto"/>
            </w:tcBorders>
            <w:shd w:val="clear" w:color="auto" w:fill="auto"/>
            <w:noWrap/>
            <w:vAlign w:val="bottom"/>
            <w:hideMark/>
          </w:tcPr>
          <w:p w14:paraId="693CAAE2"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7,39</w:t>
            </w:r>
          </w:p>
        </w:tc>
        <w:tc>
          <w:tcPr>
            <w:tcW w:w="446" w:type="pct"/>
            <w:tcBorders>
              <w:top w:val="nil"/>
              <w:left w:val="nil"/>
              <w:bottom w:val="single" w:sz="4" w:space="0" w:color="auto"/>
              <w:right w:val="single" w:sz="4" w:space="0" w:color="auto"/>
            </w:tcBorders>
            <w:shd w:val="clear" w:color="auto" w:fill="auto"/>
            <w:noWrap/>
            <w:vAlign w:val="bottom"/>
            <w:hideMark/>
          </w:tcPr>
          <w:p w14:paraId="57748F9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589" w:type="pct"/>
            <w:tcBorders>
              <w:top w:val="nil"/>
              <w:left w:val="nil"/>
              <w:bottom w:val="single" w:sz="4" w:space="0" w:color="auto"/>
              <w:right w:val="single" w:sz="4" w:space="0" w:color="auto"/>
            </w:tcBorders>
            <w:shd w:val="clear" w:color="auto" w:fill="auto"/>
            <w:noWrap/>
            <w:vAlign w:val="bottom"/>
            <w:hideMark/>
          </w:tcPr>
          <w:p w14:paraId="2DB59ED9"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c>
          <w:tcPr>
            <w:tcW w:w="491" w:type="pct"/>
            <w:tcBorders>
              <w:top w:val="nil"/>
              <w:left w:val="nil"/>
              <w:bottom w:val="single" w:sz="4" w:space="0" w:color="auto"/>
              <w:right w:val="single" w:sz="4" w:space="0" w:color="auto"/>
            </w:tcBorders>
            <w:shd w:val="clear" w:color="auto" w:fill="auto"/>
            <w:noWrap/>
            <w:vAlign w:val="bottom"/>
            <w:hideMark/>
          </w:tcPr>
          <w:p w14:paraId="2B9BC280"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 </w:t>
            </w:r>
          </w:p>
        </w:tc>
      </w:tr>
      <w:tr w:rsidR="007E253F" w:rsidRPr="007E253F" w14:paraId="267152E0" w14:textId="77777777" w:rsidTr="005E3DE9">
        <w:trPr>
          <w:trHeight w:val="300"/>
          <w:jc w:val="center"/>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2DAEF51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San Miguel</w:t>
            </w:r>
          </w:p>
        </w:tc>
        <w:tc>
          <w:tcPr>
            <w:tcW w:w="658" w:type="pct"/>
            <w:tcBorders>
              <w:top w:val="nil"/>
              <w:left w:val="nil"/>
              <w:bottom w:val="single" w:sz="4" w:space="0" w:color="auto"/>
              <w:right w:val="single" w:sz="4" w:space="0" w:color="auto"/>
            </w:tcBorders>
            <w:shd w:val="clear" w:color="auto" w:fill="auto"/>
            <w:noWrap/>
            <w:vAlign w:val="bottom"/>
            <w:hideMark/>
          </w:tcPr>
          <w:p w14:paraId="2BFD5D15"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118,93</w:t>
            </w:r>
          </w:p>
        </w:tc>
        <w:tc>
          <w:tcPr>
            <w:tcW w:w="657" w:type="pct"/>
            <w:tcBorders>
              <w:top w:val="nil"/>
              <w:left w:val="nil"/>
              <w:bottom w:val="single" w:sz="4" w:space="0" w:color="auto"/>
              <w:right w:val="single" w:sz="4" w:space="0" w:color="auto"/>
            </w:tcBorders>
            <w:shd w:val="clear" w:color="auto" w:fill="auto"/>
            <w:noWrap/>
            <w:vAlign w:val="bottom"/>
            <w:hideMark/>
          </w:tcPr>
          <w:p w14:paraId="31E8AD6C"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1172" w:type="pct"/>
            <w:tcBorders>
              <w:top w:val="nil"/>
              <w:left w:val="nil"/>
              <w:bottom w:val="single" w:sz="4" w:space="0" w:color="auto"/>
              <w:right w:val="single" w:sz="4" w:space="0" w:color="auto"/>
            </w:tcBorders>
            <w:shd w:val="clear" w:color="auto" w:fill="auto"/>
            <w:noWrap/>
            <w:vAlign w:val="bottom"/>
            <w:hideMark/>
          </w:tcPr>
          <w:p w14:paraId="4651C3F4"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6,79</w:t>
            </w:r>
          </w:p>
        </w:tc>
        <w:tc>
          <w:tcPr>
            <w:tcW w:w="446" w:type="pct"/>
            <w:tcBorders>
              <w:top w:val="nil"/>
              <w:left w:val="nil"/>
              <w:bottom w:val="single" w:sz="4" w:space="0" w:color="auto"/>
              <w:right w:val="single" w:sz="4" w:space="0" w:color="auto"/>
            </w:tcBorders>
            <w:shd w:val="clear" w:color="auto" w:fill="auto"/>
            <w:noWrap/>
            <w:vAlign w:val="bottom"/>
            <w:hideMark/>
          </w:tcPr>
          <w:p w14:paraId="49D73890"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589" w:type="pct"/>
            <w:tcBorders>
              <w:top w:val="nil"/>
              <w:left w:val="nil"/>
              <w:bottom w:val="single" w:sz="4" w:space="0" w:color="auto"/>
              <w:right w:val="single" w:sz="4" w:space="0" w:color="auto"/>
            </w:tcBorders>
            <w:shd w:val="clear" w:color="auto" w:fill="auto"/>
            <w:noWrap/>
            <w:vAlign w:val="bottom"/>
            <w:hideMark/>
          </w:tcPr>
          <w:p w14:paraId="60A1CCBE"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491" w:type="pct"/>
            <w:tcBorders>
              <w:top w:val="nil"/>
              <w:left w:val="nil"/>
              <w:bottom w:val="single" w:sz="4" w:space="0" w:color="auto"/>
              <w:right w:val="single" w:sz="4" w:space="0" w:color="auto"/>
            </w:tcBorders>
            <w:shd w:val="clear" w:color="auto" w:fill="auto"/>
            <w:noWrap/>
            <w:vAlign w:val="bottom"/>
            <w:hideMark/>
          </w:tcPr>
          <w:p w14:paraId="3A388C76"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 </w:t>
            </w:r>
          </w:p>
        </w:tc>
      </w:tr>
    </w:tbl>
    <w:p w14:paraId="64852434" w14:textId="4BF0FC4E" w:rsidR="007E253F" w:rsidRPr="005E3DE9" w:rsidRDefault="005E3DE9" w:rsidP="005E3DE9">
      <w:pPr>
        <w:pStyle w:val="Sinespaciado"/>
        <w:rPr>
          <w:rFonts w:ascii="Times New Roman" w:hAnsi="Times New Roman" w:cs="Times New Roman"/>
          <w:sz w:val="24"/>
          <w:szCs w:val="24"/>
        </w:rPr>
      </w:pPr>
      <w:r>
        <w:rPr>
          <w:rFonts w:ascii="Times New Roman" w:hAnsi="Times New Roman" w:cs="Times New Roman"/>
          <w:sz w:val="24"/>
          <w:szCs w:val="24"/>
        </w:rPr>
        <w:t xml:space="preserve">      </w:t>
      </w:r>
      <w:r w:rsidR="007E253F" w:rsidRPr="005E3DE9">
        <w:rPr>
          <w:rFonts w:ascii="Times New Roman" w:hAnsi="Times New Roman" w:cs="Times New Roman"/>
          <w:sz w:val="24"/>
          <w:szCs w:val="24"/>
        </w:rPr>
        <w:t>Medias con una letra común no son significativamente diferentes (p &gt; 0,05)</w:t>
      </w:r>
    </w:p>
    <w:p w14:paraId="0071FA3B" w14:textId="77777777" w:rsidR="005E3DE9" w:rsidRDefault="007E253F" w:rsidP="005E3DE9">
      <w:pPr>
        <w:autoSpaceDE w:val="0"/>
        <w:autoSpaceDN w:val="0"/>
        <w:adjustRightInd w:val="0"/>
        <w:spacing w:before="360" w:after="360" w:line="360" w:lineRule="auto"/>
        <w:rPr>
          <w:rFonts w:cs="Times New Roman"/>
          <w:bCs/>
          <w:szCs w:val="24"/>
        </w:rPr>
      </w:pPr>
      <w:r w:rsidRPr="007E253F">
        <w:rPr>
          <w:rFonts w:cs="Times New Roman"/>
          <w:szCs w:val="24"/>
        </w:rPr>
        <w:t>El promedio más alto de absorción de nitrógeno se obtuvo en la localidad de San Miguel con un 118,93 Kg/ha</w:t>
      </w:r>
      <w:r w:rsidRPr="007E253F">
        <w:rPr>
          <w:rFonts w:cs="Times New Roman"/>
          <w:szCs w:val="24"/>
          <w:vertAlign w:val="superscript"/>
        </w:rPr>
        <w:t>-1</w:t>
      </w:r>
      <w:r w:rsidRPr="007E253F">
        <w:rPr>
          <w:rFonts w:cs="Times New Roman"/>
          <w:szCs w:val="24"/>
        </w:rPr>
        <w:t>.</w:t>
      </w:r>
      <w:r w:rsidRPr="007E253F">
        <w:rPr>
          <w:rFonts w:cs="Times New Roman"/>
          <w:szCs w:val="24"/>
          <w:vertAlign w:val="superscript"/>
        </w:rPr>
        <w:t xml:space="preserve"> </w:t>
      </w:r>
      <w:r w:rsidRPr="007E253F">
        <w:rPr>
          <w:rFonts w:cs="Times New Roman"/>
          <w:szCs w:val="24"/>
        </w:rPr>
        <w:t>El promedio inferior se evaluó en la localidad de Chillanes con 80,94 Kg/ha</w:t>
      </w:r>
      <w:r w:rsidRPr="007E253F">
        <w:rPr>
          <w:rFonts w:cs="Times New Roman"/>
          <w:szCs w:val="24"/>
          <w:vertAlign w:val="superscript"/>
        </w:rPr>
        <w:t>-1</w:t>
      </w:r>
      <w:r w:rsidRPr="007E253F">
        <w:rPr>
          <w:rFonts w:cs="Times New Roman"/>
          <w:szCs w:val="24"/>
        </w:rPr>
        <w:t xml:space="preserve">, </w:t>
      </w:r>
      <w:r w:rsidRPr="007E253F">
        <w:rPr>
          <w:rFonts w:cs="Times New Roman"/>
          <w:bCs/>
          <w:szCs w:val="24"/>
        </w:rPr>
        <w:t>según Lsd Fisher al 5%, en Guaranda y Chimbo fueron estadísticamente diferentes (</w:t>
      </w:r>
      <w:r w:rsidR="006760D1">
        <w:rPr>
          <w:rFonts w:cs="Times New Roman"/>
          <w:bCs/>
          <w:szCs w:val="24"/>
        </w:rPr>
        <w:t>Tabla</w:t>
      </w:r>
      <w:r w:rsidRPr="007E253F">
        <w:rPr>
          <w:rFonts w:cs="Times New Roman"/>
          <w:bCs/>
          <w:szCs w:val="24"/>
        </w:rPr>
        <w:t>24).</w:t>
      </w:r>
      <w:bookmarkStart w:id="1375" w:name="_Toc79314017"/>
    </w:p>
    <w:p w14:paraId="6808E01A" w14:textId="10E48FD3" w:rsidR="009635E7" w:rsidRPr="005E3DE9" w:rsidRDefault="009635E7" w:rsidP="005E3DE9">
      <w:pPr>
        <w:autoSpaceDE w:val="0"/>
        <w:autoSpaceDN w:val="0"/>
        <w:adjustRightInd w:val="0"/>
        <w:spacing w:before="360" w:after="0" w:line="360" w:lineRule="auto"/>
        <w:rPr>
          <w:rFonts w:cs="Times New Roman"/>
          <w:bCs/>
          <w:szCs w:val="24"/>
        </w:rPr>
      </w:pPr>
      <w:r w:rsidRPr="009635E7">
        <w:rPr>
          <w:rFonts w:cs="Times New Roman"/>
          <w:b/>
          <w:bCs/>
          <w:szCs w:val="24"/>
        </w:rPr>
        <w:t xml:space="preserve">Cuadro </w:t>
      </w:r>
      <w:r w:rsidRPr="009635E7">
        <w:rPr>
          <w:rFonts w:cs="Times New Roman"/>
          <w:b/>
          <w:bCs/>
          <w:i/>
          <w:iCs/>
          <w:szCs w:val="24"/>
        </w:rPr>
        <w:fldChar w:fldCharType="begin"/>
      </w:r>
      <w:r w:rsidRPr="009635E7">
        <w:rPr>
          <w:rFonts w:cs="Times New Roman"/>
          <w:b/>
          <w:bCs/>
          <w:szCs w:val="24"/>
        </w:rPr>
        <w:instrText xml:space="preserve"> SEQ Cuadro \* ARABIC </w:instrText>
      </w:r>
      <w:r w:rsidRPr="009635E7">
        <w:rPr>
          <w:rFonts w:cs="Times New Roman"/>
          <w:b/>
          <w:bCs/>
          <w:i/>
          <w:iCs/>
          <w:szCs w:val="24"/>
        </w:rPr>
        <w:fldChar w:fldCharType="separate"/>
      </w:r>
      <w:r w:rsidR="000D1F55">
        <w:rPr>
          <w:rFonts w:cs="Times New Roman"/>
          <w:b/>
          <w:bCs/>
          <w:noProof/>
          <w:szCs w:val="24"/>
        </w:rPr>
        <w:t>25</w:t>
      </w:r>
      <w:r w:rsidRPr="009635E7">
        <w:rPr>
          <w:rFonts w:cs="Times New Roman"/>
          <w:b/>
          <w:bCs/>
          <w:i/>
          <w:iCs/>
          <w:szCs w:val="24"/>
        </w:rPr>
        <w:fldChar w:fldCharType="end"/>
      </w:r>
      <w:r w:rsidRPr="009635E7">
        <w:rPr>
          <w:rFonts w:cs="Times New Roman"/>
          <w:b/>
          <w:bCs/>
          <w:szCs w:val="24"/>
        </w:rPr>
        <w:t>.</w:t>
      </w:r>
      <w:r w:rsidRPr="009635E7">
        <w:rPr>
          <w:rFonts w:cs="Times New Roman"/>
          <w:bCs/>
          <w:szCs w:val="24"/>
        </w:rPr>
        <w:t xml:space="preserve"> Absorción total de nitrógeno para diversas dosis de nitrógeno evaluadas en la provincia de Bolívar del 2006 al 2011.</w:t>
      </w:r>
      <w:bookmarkEnd w:id="1375"/>
    </w:p>
    <w:tbl>
      <w:tblPr>
        <w:tblW w:w="4646" w:type="pct"/>
        <w:jc w:val="center"/>
        <w:tblCellMar>
          <w:left w:w="70" w:type="dxa"/>
          <w:right w:w="70" w:type="dxa"/>
        </w:tblCellMar>
        <w:tblLook w:val="04A0" w:firstRow="1" w:lastRow="0" w:firstColumn="1" w:lastColumn="0" w:noHBand="0" w:noVBand="1"/>
      </w:tblPr>
      <w:tblGrid>
        <w:gridCol w:w="2084"/>
        <w:gridCol w:w="888"/>
        <w:gridCol w:w="816"/>
        <w:gridCol w:w="1693"/>
        <w:gridCol w:w="610"/>
        <w:gridCol w:w="709"/>
        <w:gridCol w:w="566"/>
      </w:tblGrid>
      <w:tr w:rsidR="007E253F" w:rsidRPr="007E253F" w14:paraId="28214E48" w14:textId="77777777" w:rsidTr="005E3DE9">
        <w:trPr>
          <w:trHeight w:val="300"/>
          <w:jc w:val="center"/>
        </w:trPr>
        <w:tc>
          <w:tcPr>
            <w:tcW w:w="1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E878F"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N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603" w:type="pct"/>
            <w:tcBorders>
              <w:top w:val="single" w:sz="4" w:space="0" w:color="auto"/>
              <w:left w:val="nil"/>
              <w:bottom w:val="single" w:sz="4" w:space="0" w:color="auto"/>
              <w:right w:val="single" w:sz="4" w:space="0" w:color="auto"/>
            </w:tcBorders>
            <w:shd w:val="clear" w:color="auto" w:fill="auto"/>
            <w:noWrap/>
            <w:vAlign w:val="bottom"/>
            <w:hideMark/>
          </w:tcPr>
          <w:p w14:paraId="0FE32E60"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1976DFE9"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n </w:t>
            </w:r>
          </w:p>
        </w:tc>
        <w:tc>
          <w:tcPr>
            <w:tcW w:w="1149" w:type="pct"/>
            <w:tcBorders>
              <w:top w:val="single" w:sz="4" w:space="0" w:color="auto"/>
              <w:left w:val="nil"/>
              <w:bottom w:val="single" w:sz="4" w:space="0" w:color="auto"/>
              <w:right w:val="single" w:sz="4" w:space="0" w:color="auto"/>
            </w:tcBorders>
            <w:shd w:val="clear" w:color="auto" w:fill="auto"/>
            <w:noWrap/>
            <w:vAlign w:val="bottom"/>
            <w:hideMark/>
          </w:tcPr>
          <w:p w14:paraId="0078A89E"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280" w:type="pct"/>
            <w:gridSpan w:val="3"/>
            <w:tcBorders>
              <w:top w:val="single" w:sz="4" w:space="0" w:color="auto"/>
              <w:left w:val="nil"/>
              <w:bottom w:val="single" w:sz="4" w:space="0" w:color="auto"/>
              <w:right w:val="single" w:sz="4" w:space="0" w:color="auto"/>
            </w:tcBorders>
            <w:shd w:val="clear" w:color="auto" w:fill="auto"/>
            <w:noWrap/>
            <w:vAlign w:val="bottom"/>
            <w:hideMark/>
          </w:tcPr>
          <w:p w14:paraId="2FE96701"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  Lsd 0,05    </w:t>
            </w:r>
          </w:p>
        </w:tc>
      </w:tr>
      <w:tr w:rsidR="007E253F" w:rsidRPr="007E253F" w14:paraId="5F63A003" w14:textId="77777777" w:rsidTr="005E3DE9">
        <w:trPr>
          <w:trHeight w:val="300"/>
          <w:jc w:val="center"/>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14:paraId="20C4F8FC"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603" w:type="pct"/>
            <w:tcBorders>
              <w:top w:val="nil"/>
              <w:left w:val="nil"/>
              <w:bottom w:val="single" w:sz="4" w:space="0" w:color="auto"/>
              <w:right w:val="single" w:sz="4" w:space="0" w:color="auto"/>
            </w:tcBorders>
            <w:shd w:val="clear" w:color="auto" w:fill="auto"/>
            <w:noWrap/>
            <w:vAlign w:val="bottom"/>
            <w:hideMark/>
          </w:tcPr>
          <w:p w14:paraId="3F90AF0E"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54,03</w:t>
            </w:r>
          </w:p>
        </w:tc>
        <w:tc>
          <w:tcPr>
            <w:tcW w:w="554" w:type="pct"/>
            <w:tcBorders>
              <w:top w:val="nil"/>
              <w:left w:val="nil"/>
              <w:bottom w:val="single" w:sz="4" w:space="0" w:color="auto"/>
              <w:right w:val="single" w:sz="4" w:space="0" w:color="auto"/>
            </w:tcBorders>
            <w:shd w:val="clear" w:color="auto" w:fill="auto"/>
            <w:noWrap/>
            <w:vAlign w:val="bottom"/>
            <w:hideMark/>
          </w:tcPr>
          <w:p w14:paraId="2C988391"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w:t>
            </w:r>
          </w:p>
        </w:tc>
        <w:tc>
          <w:tcPr>
            <w:tcW w:w="1149" w:type="pct"/>
            <w:tcBorders>
              <w:top w:val="nil"/>
              <w:left w:val="nil"/>
              <w:bottom w:val="single" w:sz="4" w:space="0" w:color="auto"/>
              <w:right w:val="single" w:sz="4" w:space="0" w:color="auto"/>
            </w:tcBorders>
            <w:shd w:val="clear" w:color="auto" w:fill="auto"/>
            <w:noWrap/>
            <w:vAlign w:val="bottom"/>
            <w:hideMark/>
          </w:tcPr>
          <w:p w14:paraId="71FC1ACE"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7,72</w:t>
            </w:r>
          </w:p>
        </w:tc>
        <w:tc>
          <w:tcPr>
            <w:tcW w:w="414" w:type="pct"/>
            <w:tcBorders>
              <w:top w:val="nil"/>
              <w:left w:val="nil"/>
              <w:bottom w:val="single" w:sz="4" w:space="0" w:color="auto"/>
              <w:right w:val="single" w:sz="4" w:space="0" w:color="auto"/>
            </w:tcBorders>
            <w:shd w:val="clear" w:color="auto" w:fill="auto"/>
            <w:noWrap/>
            <w:vAlign w:val="bottom"/>
            <w:hideMark/>
          </w:tcPr>
          <w:p w14:paraId="6F9D3576"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481" w:type="pct"/>
            <w:tcBorders>
              <w:top w:val="nil"/>
              <w:left w:val="nil"/>
              <w:bottom w:val="single" w:sz="4" w:space="0" w:color="auto"/>
              <w:right w:val="single" w:sz="4" w:space="0" w:color="auto"/>
            </w:tcBorders>
            <w:shd w:val="clear" w:color="auto" w:fill="auto"/>
            <w:noWrap/>
            <w:vAlign w:val="bottom"/>
            <w:hideMark/>
          </w:tcPr>
          <w:p w14:paraId="7D18EDF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384" w:type="pct"/>
            <w:tcBorders>
              <w:top w:val="nil"/>
              <w:left w:val="nil"/>
              <w:bottom w:val="single" w:sz="4" w:space="0" w:color="auto"/>
              <w:right w:val="single" w:sz="4" w:space="0" w:color="auto"/>
            </w:tcBorders>
            <w:shd w:val="clear" w:color="auto" w:fill="auto"/>
            <w:noWrap/>
            <w:vAlign w:val="bottom"/>
            <w:hideMark/>
          </w:tcPr>
          <w:p w14:paraId="406E37E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3309CE52" w14:textId="77777777" w:rsidTr="005E3DE9">
        <w:trPr>
          <w:trHeight w:val="300"/>
          <w:jc w:val="center"/>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14:paraId="0BFE800A"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50</w:t>
            </w:r>
          </w:p>
        </w:tc>
        <w:tc>
          <w:tcPr>
            <w:tcW w:w="603" w:type="pct"/>
            <w:tcBorders>
              <w:top w:val="nil"/>
              <w:left w:val="nil"/>
              <w:bottom w:val="single" w:sz="4" w:space="0" w:color="auto"/>
              <w:right w:val="single" w:sz="4" w:space="0" w:color="auto"/>
            </w:tcBorders>
            <w:shd w:val="clear" w:color="auto" w:fill="auto"/>
            <w:noWrap/>
            <w:vAlign w:val="bottom"/>
            <w:hideMark/>
          </w:tcPr>
          <w:p w14:paraId="3D82B72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94,5</w:t>
            </w:r>
          </w:p>
        </w:tc>
        <w:tc>
          <w:tcPr>
            <w:tcW w:w="554" w:type="pct"/>
            <w:tcBorders>
              <w:top w:val="nil"/>
              <w:left w:val="nil"/>
              <w:bottom w:val="single" w:sz="4" w:space="0" w:color="auto"/>
              <w:right w:val="single" w:sz="4" w:space="0" w:color="auto"/>
            </w:tcBorders>
            <w:shd w:val="clear" w:color="auto" w:fill="auto"/>
            <w:noWrap/>
            <w:vAlign w:val="bottom"/>
            <w:hideMark/>
          </w:tcPr>
          <w:p w14:paraId="5AB943DC"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149" w:type="pct"/>
            <w:tcBorders>
              <w:top w:val="nil"/>
              <w:left w:val="nil"/>
              <w:bottom w:val="single" w:sz="4" w:space="0" w:color="auto"/>
              <w:right w:val="single" w:sz="4" w:space="0" w:color="auto"/>
            </w:tcBorders>
            <w:shd w:val="clear" w:color="auto" w:fill="auto"/>
            <w:noWrap/>
            <w:vAlign w:val="bottom"/>
            <w:hideMark/>
          </w:tcPr>
          <w:p w14:paraId="106D2FF5"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11,87</w:t>
            </w:r>
          </w:p>
        </w:tc>
        <w:tc>
          <w:tcPr>
            <w:tcW w:w="414" w:type="pct"/>
            <w:tcBorders>
              <w:top w:val="nil"/>
              <w:left w:val="nil"/>
              <w:bottom w:val="single" w:sz="4" w:space="0" w:color="auto"/>
              <w:right w:val="single" w:sz="4" w:space="0" w:color="auto"/>
            </w:tcBorders>
            <w:shd w:val="clear" w:color="auto" w:fill="auto"/>
            <w:noWrap/>
            <w:vAlign w:val="bottom"/>
            <w:hideMark/>
          </w:tcPr>
          <w:p w14:paraId="47D58619"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481" w:type="pct"/>
            <w:tcBorders>
              <w:top w:val="nil"/>
              <w:left w:val="nil"/>
              <w:bottom w:val="single" w:sz="4" w:space="0" w:color="auto"/>
              <w:right w:val="single" w:sz="4" w:space="0" w:color="auto"/>
            </w:tcBorders>
            <w:shd w:val="clear" w:color="auto" w:fill="auto"/>
            <w:noWrap/>
            <w:vAlign w:val="bottom"/>
            <w:hideMark/>
          </w:tcPr>
          <w:p w14:paraId="65863A7B"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c>
          <w:tcPr>
            <w:tcW w:w="384" w:type="pct"/>
            <w:tcBorders>
              <w:top w:val="nil"/>
              <w:left w:val="nil"/>
              <w:bottom w:val="single" w:sz="4" w:space="0" w:color="auto"/>
              <w:right w:val="single" w:sz="4" w:space="0" w:color="auto"/>
            </w:tcBorders>
            <w:shd w:val="clear" w:color="auto" w:fill="auto"/>
            <w:noWrap/>
            <w:vAlign w:val="bottom"/>
            <w:hideMark/>
          </w:tcPr>
          <w:p w14:paraId="697E72DF"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5ADCAE9D" w14:textId="77777777" w:rsidTr="005E3DE9">
        <w:trPr>
          <w:trHeight w:val="300"/>
          <w:jc w:val="center"/>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14:paraId="1A3CFC8E"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120</w:t>
            </w:r>
          </w:p>
        </w:tc>
        <w:tc>
          <w:tcPr>
            <w:tcW w:w="603" w:type="pct"/>
            <w:tcBorders>
              <w:top w:val="nil"/>
              <w:left w:val="nil"/>
              <w:bottom w:val="single" w:sz="4" w:space="0" w:color="auto"/>
              <w:right w:val="single" w:sz="4" w:space="0" w:color="auto"/>
            </w:tcBorders>
            <w:shd w:val="clear" w:color="auto" w:fill="auto"/>
            <w:noWrap/>
            <w:vAlign w:val="bottom"/>
            <w:hideMark/>
          </w:tcPr>
          <w:p w14:paraId="30B1821E"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104,78</w:t>
            </w:r>
          </w:p>
        </w:tc>
        <w:tc>
          <w:tcPr>
            <w:tcW w:w="554" w:type="pct"/>
            <w:tcBorders>
              <w:top w:val="nil"/>
              <w:left w:val="nil"/>
              <w:bottom w:val="single" w:sz="4" w:space="0" w:color="auto"/>
              <w:right w:val="single" w:sz="4" w:space="0" w:color="auto"/>
            </w:tcBorders>
            <w:shd w:val="clear" w:color="auto" w:fill="auto"/>
            <w:noWrap/>
            <w:vAlign w:val="bottom"/>
            <w:hideMark/>
          </w:tcPr>
          <w:p w14:paraId="24D98B06"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32</w:t>
            </w:r>
          </w:p>
        </w:tc>
        <w:tc>
          <w:tcPr>
            <w:tcW w:w="1149" w:type="pct"/>
            <w:tcBorders>
              <w:top w:val="nil"/>
              <w:left w:val="nil"/>
              <w:bottom w:val="single" w:sz="4" w:space="0" w:color="auto"/>
              <w:right w:val="single" w:sz="4" w:space="0" w:color="auto"/>
            </w:tcBorders>
            <w:shd w:val="clear" w:color="auto" w:fill="auto"/>
            <w:noWrap/>
            <w:vAlign w:val="bottom"/>
            <w:hideMark/>
          </w:tcPr>
          <w:p w14:paraId="48B71BA7"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5,39</w:t>
            </w:r>
          </w:p>
        </w:tc>
        <w:tc>
          <w:tcPr>
            <w:tcW w:w="414" w:type="pct"/>
            <w:tcBorders>
              <w:top w:val="nil"/>
              <w:left w:val="nil"/>
              <w:bottom w:val="single" w:sz="4" w:space="0" w:color="auto"/>
              <w:right w:val="single" w:sz="4" w:space="0" w:color="auto"/>
            </w:tcBorders>
            <w:shd w:val="clear" w:color="auto" w:fill="auto"/>
            <w:noWrap/>
            <w:vAlign w:val="bottom"/>
            <w:hideMark/>
          </w:tcPr>
          <w:p w14:paraId="33ACB18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481" w:type="pct"/>
            <w:tcBorders>
              <w:top w:val="nil"/>
              <w:left w:val="nil"/>
              <w:bottom w:val="single" w:sz="4" w:space="0" w:color="auto"/>
              <w:right w:val="single" w:sz="4" w:space="0" w:color="auto"/>
            </w:tcBorders>
            <w:shd w:val="clear" w:color="auto" w:fill="auto"/>
            <w:noWrap/>
            <w:vAlign w:val="bottom"/>
            <w:hideMark/>
          </w:tcPr>
          <w:p w14:paraId="03237C69"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c>
          <w:tcPr>
            <w:tcW w:w="384" w:type="pct"/>
            <w:tcBorders>
              <w:top w:val="nil"/>
              <w:left w:val="nil"/>
              <w:bottom w:val="single" w:sz="4" w:space="0" w:color="auto"/>
              <w:right w:val="single" w:sz="4" w:space="0" w:color="auto"/>
            </w:tcBorders>
            <w:shd w:val="clear" w:color="auto" w:fill="auto"/>
            <w:noWrap/>
            <w:vAlign w:val="bottom"/>
            <w:hideMark/>
          </w:tcPr>
          <w:p w14:paraId="03687EFF"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4370D3FF" w14:textId="77777777" w:rsidTr="005E3DE9">
        <w:trPr>
          <w:trHeight w:val="300"/>
          <w:jc w:val="center"/>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14:paraId="5F23B3C9"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140</w:t>
            </w:r>
          </w:p>
        </w:tc>
        <w:tc>
          <w:tcPr>
            <w:tcW w:w="603" w:type="pct"/>
            <w:tcBorders>
              <w:top w:val="nil"/>
              <w:left w:val="nil"/>
              <w:bottom w:val="single" w:sz="4" w:space="0" w:color="auto"/>
              <w:right w:val="single" w:sz="4" w:space="0" w:color="auto"/>
            </w:tcBorders>
            <w:shd w:val="clear" w:color="auto" w:fill="auto"/>
            <w:noWrap/>
            <w:vAlign w:val="bottom"/>
            <w:hideMark/>
          </w:tcPr>
          <w:p w14:paraId="77B5131D"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122,8</w:t>
            </w:r>
          </w:p>
        </w:tc>
        <w:tc>
          <w:tcPr>
            <w:tcW w:w="554" w:type="pct"/>
            <w:tcBorders>
              <w:top w:val="nil"/>
              <w:left w:val="nil"/>
              <w:bottom w:val="single" w:sz="4" w:space="0" w:color="auto"/>
              <w:right w:val="single" w:sz="4" w:space="0" w:color="auto"/>
            </w:tcBorders>
            <w:shd w:val="clear" w:color="auto" w:fill="auto"/>
            <w:noWrap/>
            <w:vAlign w:val="bottom"/>
            <w:hideMark/>
          </w:tcPr>
          <w:p w14:paraId="78AB2B5B"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w:t>
            </w:r>
          </w:p>
        </w:tc>
        <w:tc>
          <w:tcPr>
            <w:tcW w:w="1149" w:type="pct"/>
            <w:tcBorders>
              <w:top w:val="nil"/>
              <w:left w:val="nil"/>
              <w:bottom w:val="single" w:sz="4" w:space="0" w:color="auto"/>
              <w:right w:val="single" w:sz="4" w:space="0" w:color="auto"/>
            </w:tcBorders>
            <w:shd w:val="clear" w:color="auto" w:fill="auto"/>
            <w:noWrap/>
            <w:vAlign w:val="bottom"/>
            <w:hideMark/>
          </w:tcPr>
          <w:p w14:paraId="59AB2A95"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5,30</w:t>
            </w:r>
          </w:p>
        </w:tc>
        <w:tc>
          <w:tcPr>
            <w:tcW w:w="414" w:type="pct"/>
            <w:tcBorders>
              <w:top w:val="nil"/>
              <w:left w:val="nil"/>
              <w:bottom w:val="single" w:sz="4" w:space="0" w:color="auto"/>
              <w:right w:val="single" w:sz="4" w:space="0" w:color="auto"/>
            </w:tcBorders>
            <w:shd w:val="clear" w:color="auto" w:fill="auto"/>
            <w:noWrap/>
            <w:vAlign w:val="bottom"/>
            <w:hideMark/>
          </w:tcPr>
          <w:p w14:paraId="168D7EF5"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481" w:type="pct"/>
            <w:tcBorders>
              <w:top w:val="nil"/>
              <w:left w:val="nil"/>
              <w:bottom w:val="single" w:sz="4" w:space="0" w:color="auto"/>
              <w:right w:val="single" w:sz="4" w:space="0" w:color="auto"/>
            </w:tcBorders>
            <w:shd w:val="clear" w:color="auto" w:fill="auto"/>
            <w:noWrap/>
            <w:vAlign w:val="bottom"/>
            <w:hideMark/>
          </w:tcPr>
          <w:p w14:paraId="4D4C34E6"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384" w:type="pct"/>
            <w:tcBorders>
              <w:top w:val="nil"/>
              <w:left w:val="nil"/>
              <w:bottom w:val="single" w:sz="4" w:space="0" w:color="auto"/>
              <w:right w:val="single" w:sz="4" w:space="0" w:color="auto"/>
            </w:tcBorders>
            <w:shd w:val="clear" w:color="auto" w:fill="auto"/>
            <w:noWrap/>
            <w:vAlign w:val="bottom"/>
            <w:hideMark/>
          </w:tcPr>
          <w:p w14:paraId="7F9648B9"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 </w:t>
            </w:r>
          </w:p>
        </w:tc>
      </w:tr>
    </w:tbl>
    <w:p w14:paraId="57E67DEA" w14:textId="4A2F0DD2" w:rsidR="005E3DE9" w:rsidRDefault="005E3DE9" w:rsidP="005E3DE9">
      <w:pPr>
        <w:pStyle w:val="Sinespaciado"/>
        <w:rPr>
          <w:rFonts w:ascii="Times New Roman" w:hAnsi="Times New Roman" w:cs="Times New Roman"/>
          <w:sz w:val="24"/>
          <w:szCs w:val="24"/>
        </w:rPr>
      </w:pPr>
      <w:r>
        <w:rPr>
          <w:rFonts w:ascii="Times New Roman" w:hAnsi="Times New Roman" w:cs="Times New Roman"/>
          <w:sz w:val="24"/>
          <w:szCs w:val="24"/>
        </w:rPr>
        <w:t xml:space="preserve">    </w:t>
      </w:r>
      <w:r w:rsidR="007E253F" w:rsidRPr="005E3DE9">
        <w:rPr>
          <w:rFonts w:ascii="Times New Roman" w:hAnsi="Times New Roman" w:cs="Times New Roman"/>
          <w:sz w:val="24"/>
          <w:szCs w:val="24"/>
        </w:rPr>
        <w:t xml:space="preserve">Medias con una letra común no son significativamente diferentes (p &gt; 0,05) </w:t>
      </w:r>
      <w:r>
        <w:rPr>
          <w:rFonts w:ascii="Times New Roman" w:hAnsi="Times New Roman" w:cs="Times New Roman"/>
          <w:sz w:val="24"/>
          <w:szCs w:val="24"/>
        </w:rPr>
        <w:t xml:space="preserve">   </w:t>
      </w:r>
    </w:p>
    <w:p w14:paraId="0930C1E8" w14:textId="77777777" w:rsidR="005E3DE9" w:rsidRDefault="005E3DE9" w:rsidP="005E3DE9">
      <w:pPr>
        <w:pStyle w:val="Sinespaciado"/>
        <w:rPr>
          <w:rFonts w:ascii="Times New Roman" w:hAnsi="Times New Roman" w:cs="Times New Roman"/>
          <w:sz w:val="24"/>
          <w:szCs w:val="24"/>
        </w:rPr>
      </w:pPr>
    </w:p>
    <w:p w14:paraId="395478C8" w14:textId="77777777" w:rsidR="005E3DE9" w:rsidRDefault="0072752C" w:rsidP="005E3DE9">
      <w:pPr>
        <w:autoSpaceDE w:val="0"/>
        <w:autoSpaceDN w:val="0"/>
        <w:adjustRightInd w:val="0"/>
        <w:spacing w:after="0" w:line="360" w:lineRule="auto"/>
        <w:rPr>
          <w:rFonts w:cs="Times New Roman"/>
          <w:szCs w:val="24"/>
        </w:rPr>
      </w:pPr>
      <w:r>
        <w:rPr>
          <w:rFonts w:cs="Times New Roman"/>
          <w:szCs w:val="24"/>
        </w:rPr>
        <w:t>El cuadro</w:t>
      </w:r>
      <w:r w:rsidR="006760D1">
        <w:rPr>
          <w:rFonts w:cs="Times New Roman"/>
          <w:szCs w:val="24"/>
        </w:rPr>
        <w:t xml:space="preserve"> </w:t>
      </w:r>
      <w:r w:rsidR="007E253F" w:rsidRPr="007E253F">
        <w:rPr>
          <w:rFonts w:cs="Times New Roman"/>
          <w:szCs w:val="24"/>
        </w:rPr>
        <w:t>25 distingue una asociación directa creciente entre las dosis de nitrógeno y el promedio de a</w:t>
      </w:r>
      <w:r w:rsidR="005F2CA6">
        <w:rPr>
          <w:rFonts w:cs="Times New Roman"/>
          <w:szCs w:val="24"/>
        </w:rPr>
        <w:t>b</w:t>
      </w:r>
      <w:r w:rsidR="007E253F" w:rsidRPr="007E253F">
        <w:rPr>
          <w:rFonts w:cs="Times New Roman"/>
          <w:szCs w:val="24"/>
        </w:rPr>
        <w:t>sorción de nitrógeno registrado. La mayor a</w:t>
      </w:r>
      <w:r w:rsidR="005F2CA6">
        <w:rPr>
          <w:rFonts w:cs="Times New Roman"/>
          <w:szCs w:val="24"/>
        </w:rPr>
        <w:t>b</w:t>
      </w:r>
      <w:r w:rsidR="007E253F" w:rsidRPr="007E253F">
        <w:rPr>
          <w:rFonts w:cs="Times New Roman"/>
          <w:szCs w:val="24"/>
        </w:rPr>
        <w:t>sorción de nitrógeno ocurre con la dosis más alta de 140 kg ha</w:t>
      </w:r>
      <w:r w:rsidR="007E253F" w:rsidRPr="007E253F">
        <w:rPr>
          <w:rFonts w:cs="Times New Roman"/>
          <w:szCs w:val="24"/>
          <w:vertAlign w:val="superscript"/>
        </w:rPr>
        <w:t>-1</w:t>
      </w:r>
      <w:r w:rsidR="007E253F" w:rsidRPr="007E253F">
        <w:rPr>
          <w:rFonts w:cs="Times New Roman"/>
          <w:szCs w:val="24"/>
        </w:rPr>
        <w:t>, que es estadísticamente diferente del resto de las dosis evaluadas</w:t>
      </w:r>
      <w:r w:rsidR="004074E6">
        <w:rPr>
          <w:rFonts w:cs="Times New Roman"/>
          <w:szCs w:val="24"/>
        </w:rPr>
        <w:t>.</w:t>
      </w:r>
      <w:bookmarkStart w:id="1376" w:name="_Toc79314018"/>
    </w:p>
    <w:p w14:paraId="7F6B24F9" w14:textId="57192396" w:rsidR="009635E7" w:rsidRPr="005E3DE9" w:rsidRDefault="009635E7" w:rsidP="005E3DE9">
      <w:pPr>
        <w:autoSpaceDE w:val="0"/>
        <w:autoSpaceDN w:val="0"/>
        <w:adjustRightInd w:val="0"/>
        <w:spacing w:before="360" w:after="0" w:line="360" w:lineRule="auto"/>
        <w:rPr>
          <w:rFonts w:cs="Times New Roman"/>
          <w:szCs w:val="24"/>
        </w:rPr>
      </w:pPr>
      <w:r w:rsidRPr="009635E7">
        <w:rPr>
          <w:rFonts w:cs="Times New Roman"/>
          <w:b/>
          <w:szCs w:val="24"/>
        </w:rPr>
        <w:t xml:space="preserve">Cuadro </w:t>
      </w:r>
      <w:r w:rsidRPr="009635E7">
        <w:rPr>
          <w:rFonts w:cs="Times New Roman"/>
          <w:b/>
          <w:i/>
          <w:iCs/>
          <w:szCs w:val="24"/>
        </w:rPr>
        <w:fldChar w:fldCharType="begin"/>
      </w:r>
      <w:r w:rsidRPr="009635E7">
        <w:rPr>
          <w:rFonts w:cs="Times New Roman"/>
          <w:b/>
          <w:szCs w:val="24"/>
        </w:rPr>
        <w:instrText xml:space="preserve"> SEQ Cuadro \* ARABIC </w:instrText>
      </w:r>
      <w:r w:rsidRPr="009635E7">
        <w:rPr>
          <w:rFonts w:cs="Times New Roman"/>
          <w:b/>
          <w:i/>
          <w:iCs/>
          <w:szCs w:val="24"/>
        </w:rPr>
        <w:fldChar w:fldCharType="separate"/>
      </w:r>
      <w:r w:rsidR="000D1F55">
        <w:rPr>
          <w:rFonts w:cs="Times New Roman"/>
          <w:b/>
          <w:noProof/>
          <w:szCs w:val="24"/>
        </w:rPr>
        <w:t>26</w:t>
      </w:r>
      <w:r w:rsidRPr="009635E7">
        <w:rPr>
          <w:rFonts w:cs="Times New Roman"/>
          <w:b/>
          <w:i/>
          <w:iCs/>
          <w:szCs w:val="24"/>
        </w:rPr>
        <w:fldChar w:fldCharType="end"/>
      </w:r>
      <w:r w:rsidRPr="009635E7">
        <w:rPr>
          <w:rFonts w:cs="Times New Roman"/>
          <w:b/>
          <w:szCs w:val="24"/>
        </w:rPr>
        <w:t xml:space="preserve">. </w:t>
      </w:r>
      <w:r w:rsidRPr="009635E7">
        <w:rPr>
          <w:rFonts w:cs="Times New Roman"/>
          <w:szCs w:val="24"/>
        </w:rPr>
        <w:t>Absorción total de nitrógeno para diversas dosis de fósforo evaluadas en la provincia de Bolívar del 2006 al 2011.</w:t>
      </w:r>
      <w:bookmarkEnd w:id="1376"/>
    </w:p>
    <w:tbl>
      <w:tblPr>
        <w:tblW w:w="7508" w:type="dxa"/>
        <w:jc w:val="center"/>
        <w:tblCellMar>
          <w:left w:w="70" w:type="dxa"/>
          <w:right w:w="70" w:type="dxa"/>
        </w:tblCellMar>
        <w:tblLook w:val="04A0" w:firstRow="1" w:lastRow="0" w:firstColumn="1" w:lastColumn="0" w:noHBand="0" w:noVBand="1"/>
      </w:tblPr>
      <w:tblGrid>
        <w:gridCol w:w="2122"/>
        <w:gridCol w:w="1101"/>
        <w:gridCol w:w="600"/>
        <w:gridCol w:w="1752"/>
        <w:gridCol w:w="941"/>
        <w:gridCol w:w="992"/>
      </w:tblGrid>
      <w:tr w:rsidR="007E253F" w:rsidRPr="007E253F" w14:paraId="40C6B579" w14:textId="77777777" w:rsidTr="005E3DE9">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F6F5"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P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14:paraId="3108FFDA"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14C28EF"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52" w:type="dxa"/>
            <w:tcBorders>
              <w:top w:val="single" w:sz="4" w:space="0" w:color="auto"/>
              <w:left w:val="nil"/>
              <w:bottom w:val="single" w:sz="4" w:space="0" w:color="auto"/>
              <w:right w:val="single" w:sz="4" w:space="0" w:color="auto"/>
            </w:tcBorders>
            <w:shd w:val="clear" w:color="auto" w:fill="auto"/>
            <w:noWrap/>
            <w:vAlign w:val="bottom"/>
            <w:hideMark/>
          </w:tcPr>
          <w:p w14:paraId="21CB3164" w14:textId="77777777" w:rsidR="007E253F" w:rsidRPr="007E253F" w:rsidRDefault="007E253F" w:rsidP="005E3DE9">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941" w:type="dxa"/>
            <w:tcBorders>
              <w:top w:val="single" w:sz="4" w:space="0" w:color="auto"/>
              <w:left w:val="single" w:sz="4" w:space="0" w:color="auto"/>
              <w:bottom w:val="single" w:sz="4" w:space="0" w:color="auto"/>
            </w:tcBorders>
            <w:shd w:val="clear" w:color="auto" w:fill="auto"/>
            <w:noWrap/>
            <w:vAlign w:val="bottom"/>
            <w:hideMark/>
          </w:tcPr>
          <w:p w14:paraId="0B3297A2" w14:textId="77777777" w:rsidR="007E253F" w:rsidRPr="007E253F" w:rsidRDefault="007E253F" w:rsidP="005E3DE9">
            <w:pPr>
              <w:spacing w:after="0" w:line="240" w:lineRule="auto"/>
              <w:jc w:val="right"/>
              <w:rPr>
                <w:rFonts w:eastAsia="Times New Roman" w:cs="Times New Roman"/>
                <w:b/>
                <w:bCs/>
                <w:color w:val="000000"/>
                <w:szCs w:val="24"/>
                <w:lang w:eastAsia="es-EC"/>
              </w:rPr>
            </w:pPr>
            <w:r w:rsidRPr="007E253F">
              <w:rPr>
                <w:rFonts w:eastAsia="Times New Roman" w:cs="Times New Roman"/>
                <w:b/>
                <w:bCs/>
                <w:color w:val="000000"/>
                <w:szCs w:val="24"/>
                <w:lang w:eastAsia="es-EC"/>
              </w:rPr>
              <w:t>Lsd</w:t>
            </w:r>
          </w:p>
        </w:tc>
        <w:tc>
          <w:tcPr>
            <w:tcW w:w="992" w:type="dxa"/>
            <w:tcBorders>
              <w:top w:val="single" w:sz="4" w:space="0" w:color="auto"/>
              <w:bottom w:val="single" w:sz="4" w:space="0" w:color="auto"/>
              <w:right w:val="single" w:sz="4" w:space="0" w:color="auto"/>
            </w:tcBorders>
            <w:shd w:val="clear" w:color="auto" w:fill="auto"/>
            <w:noWrap/>
            <w:vAlign w:val="bottom"/>
            <w:hideMark/>
          </w:tcPr>
          <w:p w14:paraId="2EEFCE36" w14:textId="77777777" w:rsidR="007E253F" w:rsidRPr="007E253F" w:rsidRDefault="007E253F" w:rsidP="005E3DE9">
            <w:pPr>
              <w:spacing w:after="0" w:line="240" w:lineRule="auto"/>
              <w:rPr>
                <w:rFonts w:eastAsia="Times New Roman" w:cs="Times New Roman"/>
                <w:b/>
                <w:bCs/>
                <w:color w:val="000000"/>
                <w:szCs w:val="24"/>
                <w:lang w:eastAsia="es-EC"/>
              </w:rPr>
            </w:pPr>
            <w:r w:rsidRPr="007E253F">
              <w:rPr>
                <w:rFonts w:eastAsia="Times New Roman" w:cs="Times New Roman"/>
                <w:b/>
                <w:bCs/>
                <w:color w:val="000000"/>
                <w:szCs w:val="24"/>
                <w:lang w:eastAsia="es-EC"/>
              </w:rPr>
              <w:t>0,05</w:t>
            </w:r>
          </w:p>
        </w:tc>
      </w:tr>
      <w:tr w:rsidR="007E253F" w:rsidRPr="007E253F" w14:paraId="1A998776" w14:textId="77777777" w:rsidTr="005E3DE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22CC437"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1101" w:type="dxa"/>
            <w:tcBorders>
              <w:top w:val="nil"/>
              <w:left w:val="nil"/>
              <w:bottom w:val="single" w:sz="4" w:space="0" w:color="auto"/>
              <w:right w:val="single" w:sz="4" w:space="0" w:color="auto"/>
            </w:tcBorders>
            <w:shd w:val="clear" w:color="auto" w:fill="auto"/>
            <w:noWrap/>
            <w:vAlign w:val="bottom"/>
            <w:hideMark/>
          </w:tcPr>
          <w:p w14:paraId="2A7042FB"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92,93</w:t>
            </w:r>
          </w:p>
        </w:tc>
        <w:tc>
          <w:tcPr>
            <w:tcW w:w="600" w:type="dxa"/>
            <w:tcBorders>
              <w:top w:val="nil"/>
              <w:left w:val="nil"/>
              <w:bottom w:val="single" w:sz="4" w:space="0" w:color="auto"/>
              <w:right w:val="single" w:sz="4" w:space="0" w:color="auto"/>
            </w:tcBorders>
            <w:shd w:val="clear" w:color="auto" w:fill="auto"/>
            <w:noWrap/>
            <w:vAlign w:val="bottom"/>
            <w:hideMark/>
          </w:tcPr>
          <w:p w14:paraId="2FC65839"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52" w:type="dxa"/>
            <w:tcBorders>
              <w:top w:val="nil"/>
              <w:left w:val="nil"/>
              <w:bottom w:val="single" w:sz="4" w:space="0" w:color="auto"/>
              <w:right w:val="single" w:sz="4" w:space="0" w:color="auto"/>
            </w:tcBorders>
            <w:shd w:val="clear" w:color="auto" w:fill="auto"/>
            <w:noWrap/>
            <w:vAlign w:val="bottom"/>
            <w:hideMark/>
          </w:tcPr>
          <w:p w14:paraId="67334FA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5,57</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3683CEC7"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9A06D99" w14:textId="77777777" w:rsidR="007E253F" w:rsidRPr="007E253F" w:rsidRDefault="007E253F" w:rsidP="005E3DE9">
            <w:pPr>
              <w:spacing w:after="0" w:line="240" w:lineRule="auto"/>
              <w:jc w:val="center"/>
              <w:rPr>
                <w:rFonts w:eastAsia="Times New Roman" w:cs="Times New Roman"/>
                <w:color w:val="000000"/>
                <w:szCs w:val="24"/>
                <w:lang w:eastAsia="es-EC"/>
              </w:rPr>
            </w:pPr>
          </w:p>
        </w:tc>
      </w:tr>
      <w:tr w:rsidR="007E253F" w:rsidRPr="007E253F" w14:paraId="13C2F13E" w14:textId="77777777" w:rsidTr="005E3DE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EEE7D88"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101" w:type="dxa"/>
            <w:tcBorders>
              <w:top w:val="nil"/>
              <w:left w:val="nil"/>
              <w:bottom w:val="single" w:sz="4" w:space="0" w:color="auto"/>
              <w:right w:val="single" w:sz="4" w:space="0" w:color="auto"/>
            </w:tcBorders>
            <w:shd w:val="clear" w:color="auto" w:fill="auto"/>
            <w:noWrap/>
            <w:vAlign w:val="bottom"/>
            <w:hideMark/>
          </w:tcPr>
          <w:p w14:paraId="6E527EB4"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94,5</w:t>
            </w:r>
          </w:p>
        </w:tc>
        <w:tc>
          <w:tcPr>
            <w:tcW w:w="600" w:type="dxa"/>
            <w:tcBorders>
              <w:top w:val="nil"/>
              <w:left w:val="nil"/>
              <w:bottom w:val="single" w:sz="4" w:space="0" w:color="auto"/>
              <w:right w:val="single" w:sz="4" w:space="0" w:color="auto"/>
            </w:tcBorders>
            <w:shd w:val="clear" w:color="auto" w:fill="auto"/>
            <w:noWrap/>
            <w:vAlign w:val="bottom"/>
            <w:hideMark/>
          </w:tcPr>
          <w:p w14:paraId="6DD3B759"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752" w:type="dxa"/>
            <w:tcBorders>
              <w:top w:val="nil"/>
              <w:left w:val="nil"/>
              <w:bottom w:val="single" w:sz="4" w:space="0" w:color="auto"/>
              <w:right w:val="single" w:sz="4" w:space="0" w:color="auto"/>
            </w:tcBorders>
            <w:shd w:val="clear" w:color="auto" w:fill="auto"/>
            <w:noWrap/>
            <w:vAlign w:val="bottom"/>
            <w:hideMark/>
          </w:tcPr>
          <w:p w14:paraId="6E2DCA30"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11,87</w:t>
            </w:r>
          </w:p>
        </w:tc>
        <w:tc>
          <w:tcPr>
            <w:tcW w:w="941" w:type="dxa"/>
            <w:tcBorders>
              <w:top w:val="nil"/>
              <w:left w:val="nil"/>
              <w:bottom w:val="single" w:sz="4" w:space="0" w:color="auto"/>
              <w:right w:val="single" w:sz="4" w:space="0" w:color="auto"/>
            </w:tcBorders>
            <w:shd w:val="clear" w:color="auto" w:fill="auto"/>
            <w:noWrap/>
            <w:vAlign w:val="bottom"/>
            <w:hideMark/>
          </w:tcPr>
          <w:p w14:paraId="6DB29330"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992" w:type="dxa"/>
            <w:tcBorders>
              <w:top w:val="nil"/>
              <w:left w:val="nil"/>
              <w:bottom w:val="single" w:sz="4" w:space="0" w:color="auto"/>
              <w:right w:val="single" w:sz="4" w:space="0" w:color="auto"/>
            </w:tcBorders>
            <w:shd w:val="clear" w:color="auto" w:fill="auto"/>
            <w:noWrap/>
            <w:vAlign w:val="bottom"/>
            <w:hideMark/>
          </w:tcPr>
          <w:p w14:paraId="76C58D19"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r w:rsidR="007E253F" w:rsidRPr="007E253F" w14:paraId="67ACA3FA" w14:textId="77777777" w:rsidTr="005E3DE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8ADA66C"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1101" w:type="dxa"/>
            <w:tcBorders>
              <w:top w:val="nil"/>
              <w:left w:val="nil"/>
              <w:bottom w:val="single" w:sz="4" w:space="0" w:color="auto"/>
              <w:right w:val="single" w:sz="4" w:space="0" w:color="auto"/>
            </w:tcBorders>
            <w:shd w:val="clear" w:color="auto" w:fill="auto"/>
            <w:noWrap/>
            <w:vAlign w:val="bottom"/>
            <w:hideMark/>
          </w:tcPr>
          <w:p w14:paraId="78D66156"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97,07</w:t>
            </w:r>
          </w:p>
        </w:tc>
        <w:tc>
          <w:tcPr>
            <w:tcW w:w="600" w:type="dxa"/>
            <w:tcBorders>
              <w:top w:val="nil"/>
              <w:left w:val="nil"/>
              <w:bottom w:val="single" w:sz="4" w:space="0" w:color="auto"/>
              <w:right w:val="single" w:sz="4" w:space="0" w:color="auto"/>
            </w:tcBorders>
            <w:shd w:val="clear" w:color="auto" w:fill="auto"/>
            <w:noWrap/>
            <w:vAlign w:val="bottom"/>
            <w:hideMark/>
          </w:tcPr>
          <w:p w14:paraId="536113DB"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752" w:type="dxa"/>
            <w:tcBorders>
              <w:top w:val="nil"/>
              <w:left w:val="nil"/>
              <w:bottom w:val="single" w:sz="4" w:space="0" w:color="auto"/>
              <w:right w:val="single" w:sz="4" w:space="0" w:color="auto"/>
            </w:tcBorders>
            <w:shd w:val="clear" w:color="auto" w:fill="auto"/>
            <w:noWrap/>
            <w:vAlign w:val="bottom"/>
            <w:hideMark/>
          </w:tcPr>
          <w:p w14:paraId="4E439CE3"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7,82</w:t>
            </w:r>
          </w:p>
        </w:tc>
        <w:tc>
          <w:tcPr>
            <w:tcW w:w="941" w:type="dxa"/>
            <w:tcBorders>
              <w:top w:val="nil"/>
              <w:left w:val="nil"/>
              <w:bottom w:val="single" w:sz="4" w:space="0" w:color="auto"/>
              <w:right w:val="single" w:sz="4" w:space="0" w:color="auto"/>
            </w:tcBorders>
            <w:shd w:val="clear" w:color="auto" w:fill="auto"/>
            <w:noWrap/>
            <w:vAlign w:val="bottom"/>
            <w:hideMark/>
          </w:tcPr>
          <w:p w14:paraId="12E692A0"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992" w:type="dxa"/>
            <w:tcBorders>
              <w:top w:val="nil"/>
              <w:left w:val="nil"/>
              <w:bottom w:val="single" w:sz="4" w:space="0" w:color="auto"/>
              <w:right w:val="single" w:sz="4" w:space="0" w:color="auto"/>
            </w:tcBorders>
            <w:shd w:val="clear" w:color="auto" w:fill="auto"/>
            <w:noWrap/>
            <w:vAlign w:val="bottom"/>
            <w:hideMark/>
          </w:tcPr>
          <w:p w14:paraId="3293B5A7"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r w:rsidR="007E253F" w:rsidRPr="007E253F" w14:paraId="644225BC" w14:textId="77777777" w:rsidTr="005E3DE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51BA5A1"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w:t>
            </w:r>
          </w:p>
        </w:tc>
        <w:tc>
          <w:tcPr>
            <w:tcW w:w="1101" w:type="dxa"/>
            <w:tcBorders>
              <w:top w:val="nil"/>
              <w:left w:val="nil"/>
              <w:bottom w:val="single" w:sz="4" w:space="0" w:color="auto"/>
              <w:right w:val="single" w:sz="4" w:space="0" w:color="auto"/>
            </w:tcBorders>
            <w:shd w:val="clear" w:color="auto" w:fill="auto"/>
            <w:noWrap/>
            <w:vAlign w:val="bottom"/>
            <w:hideMark/>
          </w:tcPr>
          <w:p w14:paraId="70ADFC55"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108,47</w:t>
            </w:r>
          </w:p>
        </w:tc>
        <w:tc>
          <w:tcPr>
            <w:tcW w:w="600" w:type="dxa"/>
            <w:tcBorders>
              <w:top w:val="nil"/>
              <w:left w:val="nil"/>
              <w:bottom w:val="single" w:sz="4" w:space="0" w:color="auto"/>
              <w:right w:val="single" w:sz="4" w:space="0" w:color="auto"/>
            </w:tcBorders>
            <w:shd w:val="clear" w:color="auto" w:fill="auto"/>
            <w:noWrap/>
            <w:vAlign w:val="bottom"/>
            <w:hideMark/>
          </w:tcPr>
          <w:p w14:paraId="5DB649D4"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38</w:t>
            </w:r>
          </w:p>
        </w:tc>
        <w:tc>
          <w:tcPr>
            <w:tcW w:w="1752" w:type="dxa"/>
            <w:tcBorders>
              <w:top w:val="nil"/>
              <w:left w:val="nil"/>
              <w:bottom w:val="single" w:sz="4" w:space="0" w:color="auto"/>
              <w:right w:val="single" w:sz="4" w:space="0" w:color="auto"/>
            </w:tcBorders>
            <w:shd w:val="clear" w:color="auto" w:fill="auto"/>
            <w:noWrap/>
            <w:vAlign w:val="bottom"/>
            <w:hideMark/>
          </w:tcPr>
          <w:p w14:paraId="353B3B15"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5,81</w:t>
            </w:r>
          </w:p>
        </w:tc>
        <w:tc>
          <w:tcPr>
            <w:tcW w:w="941" w:type="dxa"/>
            <w:tcBorders>
              <w:top w:val="nil"/>
              <w:left w:val="nil"/>
              <w:bottom w:val="single" w:sz="4" w:space="0" w:color="auto"/>
              <w:right w:val="single" w:sz="4" w:space="0" w:color="auto"/>
            </w:tcBorders>
            <w:shd w:val="clear" w:color="auto" w:fill="auto"/>
            <w:noWrap/>
            <w:vAlign w:val="bottom"/>
            <w:hideMark/>
          </w:tcPr>
          <w:p w14:paraId="3C567224" w14:textId="77777777" w:rsidR="007E253F" w:rsidRPr="007E253F" w:rsidRDefault="007E253F" w:rsidP="005E3DE9">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5B659CED" w14:textId="77777777" w:rsidR="007E253F" w:rsidRPr="007E253F" w:rsidRDefault="007E253F" w:rsidP="005E3DE9">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bl>
    <w:p w14:paraId="311C0E68" w14:textId="77777777" w:rsidR="00A46E7F" w:rsidRDefault="007E253F" w:rsidP="00A46E7F">
      <w:pPr>
        <w:pStyle w:val="Sinespaciado"/>
        <w:rPr>
          <w:rFonts w:ascii="Times New Roman" w:hAnsi="Times New Roman" w:cs="Times New Roman"/>
          <w:sz w:val="24"/>
          <w:szCs w:val="24"/>
        </w:rPr>
      </w:pPr>
      <w:r w:rsidRPr="005E3DE9">
        <w:rPr>
          <w:rFonts w:ascii="Times New Roman" w:hAnsi="Times New Roman" w:cs="Times New Roman"/>
          <w:sz w:val="24"/>
          <w:szCs w:val="24"/>
        </w:rPr>
        <w:t>Medias con una letra común no son significativamente diferentes (p &gt; 0,05).</w:t>
      </w:r>
      <w:bookmarkStart w:id="1377" w:name="_Toc79314019"/>
    </w:p>
    <w:p w14:paraId="5099FD60" w14:textId="5F3077CE" w:rsidR="00A46E7F" w:rsidRPr="00A46E7F" w:rsidRDefault="009635E7" w:rsidP="00A46E7F">
      <w:pPr>
        <w:pStyle w:val="Sinespaciado"/>
        <w:spacing w:before="360" w:after="120"/>
        <w:rPr>
          <w:rFonts w:ascii="Times New Roman" w:hAnsi="Times New Roman" w:cs="Times New Roman"/>
          <w:sz w:val="24"/>
          <w:szCs w:val="24"/>
        </w:rPr>
      </w:pPr>
      <w:r w:rsidRPr="00A46E7F">
        <w:rPr>
          <w:rFonts w:ascii="Times New Roman" w:hAnsi="Times New Roman" w:cs="Times New Roman"/>
          <w:b/>
          <w:sz w:val="24"/>
          <w:szCs w:val="24"/>
        </w:rPr>
        <w:t xml:space="preserve">Cuadro </w:t>
      </w:r>
      <w:r w:rsidRPr="00A46E7F">
        <w:rPr>
          <w:rFonts w:ascii="Times New Roman" w:hAnsi="Times New Roman" w:cs="Times New Roman"/>
          <w:b/>
          <w:i/>
          <w:iCs/>
          <w:sz w:val="24"/>
          <w:szCs w:val="24"/>
        </w:rPr>
        <w:fldChar w:fldCharType="begin"/>
      </w:r>
      <w:r w:rsidRPr="00A46E7F">
        <w:rPr>
          <w:rFonts w:ascii="Times New Roman" w:hAnsi="Times New Roman" w:cs="Times New Roman"/>
          <w:b/>
          <w:sz w:val="24"/>
          <w:szCs w:val="24"/>
        </w:rPr>
        <w:instrText xml:space="preserve"> SEQ Cuadro \* ARABIC </w:instrText>
      </w:r>
      <w:r w:rsidRPr="00A46E7F">
        <w:rPr>
          <w:rFonts w:ascii="Times New Roman" w:hAnsi="Times New Roman" w:cs="Times New Roman"/>
          <w:b/>
          <w:i/>
          <w:iCs/>
          <w:sz w:val="24"/>
          <w:szCs w:val="24"/>
        </w:rPr>
        <w:fldChar w:fldCharType="separate"/>
      </w:r>
      <w:r w:rsidR="000D1F55">
        <w:rPr>
          <w:rFonts w:ascii="Times New Roman" w:hAnsi="Times New Roman" w:cs="Times New Roman"/>
          <w:b/>
          <w:noProof/>
          <w:sz w:val="24"/>
          <w:szCs w:val="24"/>
        </w:rPr>
        <w:t>27</w:t>
      </w:r>
      <w:r w:rsidRPr="00A46E7F">
        <w:rPr>
          <w:rFonts w:ascii="Times New Roman" w:hAnsi="Times New Roman" w:cs="Times New Roman"/>
          <w:b/>
          <w:i/>
          <w:iCs/>
          <w:sz w:val="24"/>
          <w:szCs w:val="24"/>
        </w:rPr>
        <w:fldChar w:fldCharType="end"/>
      </w:r>
      <w:r w:rsidRPr="00A46E7F">
        <w:rPr>
          <w:rFonts w:ascii="Times New Roman" w:hAnsi="Times New Roman" w:cs="Times New Roman"/>
          <w:b/>
          <w:sz w:val="24"/>
          <w:szCs w:val="24"/>
        </w:rPr>
        <w:t>.</w:t>
      </w:r>
      <w:r w:rsidRPr="00A46E7F">
        <w:rPr>
          <w:rFonts w:ascii="Times New Roman" w:hAnsi="Times New Roman" w:cs="Times New Roman"/>
          <w:sz w:val="24"/>
          <w:szCs w:val="24"/>
        </w:rPr>
        <w:t xml:space="preserve"> Absorción total de nitrógeno para diversas dosis de potasio evaluadas en la provincia de Bolívar del 2006 al 2011.</w:t>
      </w:r>
      <w:bookmarkEnd w:id="1377"/>
    </w:p>
    <w:tbl>
      <w:tblPr>
        <w:tblW w:w="5409" w:type="dxa"/>
        <w:jc w:val="center"/>
        <w:tblCellMar>
          <w:left w:w="70" w:type="dxa"/>
          <w:right w:w="70" w:type="dxa"/>
        </w:tblCellMar>
        <w:tblLook w:val="04A0" w:firstRow="1" w:lastRow="0" w:firstColumn="1" w:lastColumn="0" w:noHBand="0" w:noVBand="1"/>
      </w:tblPr>
      <w:tblGrid>
        <w:gridCol w:w="2122"/>
        <w:gridCol w:w="887"/>
        <w:gridCol w:w="672"/>
        <w:gridCol w:w="1728"/>
      </w:tblGrid>
      <w:tr w:rsidR="007E253F" w:rsidRPr="007E253F" w14:paraId="211D033E" w14:textId="77777777" w:rsidTr="00515E28">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E5E7B" w14:textId="77777777" w:rsidR="007E253F" w:rsidRPr="007E253F" w:rsidRDefault="007E253F" w:rsidP="00515E28">
            <w:pPr>
              <w:spacing w:after="0"/>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K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671B79FC" w14:textId="77777777" w:rsidR="007E253F" w:rsidRPr="007E253F" w:rsidRDefault="007E253F" w:rsidP="00515E28">
            <w:pPr>
              <w:spacing w:after="0"/>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423A891" w14:textId="77777777" w:rsidR="007E253F" w:rsidRPr="007E253F" w:rsidRDefault="007E253F" w:rsidP="00515E28">
            <w:pPr>
              <w:spacing w:after="0"/>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07068B5C" w14:textId="77777777" w:rsidR="007E253F" w:rsidRPr="007E253F" w:rsidRDefault="007E253F" w:rsidP="00515E28">
            <w:pPr>
              <w:spacing w:after="0"/>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0FEE17A9" w14:textId="77777777" w:rsidTr="00515E28">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1122B8D"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shd w:val="clear" w:color="auto" w:fill="auto"/>
            <w:noWrap/>
            <w:vAlign w:val="bottom"/>
            <w:hideMark/>
          </w:tcPr>
          <w:p w14:paraId="611DABBE"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90,15</w:t>
            </w:r>
          </w:p>
        </w:tc>
        <w:tc>
          <w:tcPr>
            <w:tcW w:w="672" w:type="dxa"/>
            <w:tcBorders>
              <w:top w:val="nil"/>
              <w:left w:val="nil"/>
              <w:bottom w:val="single" w:sz="4" w:space="0" w:color="auto"/>
              <w:right w:val="single" w:sz="4" w:space="0" w:color="auto"/>
            </w:tcBorders>
            <w:shd w:val="clear" w:color="auto" w:fill="auto"/>
            <w:noWrap/>
            <w:vAlign w:val="bottom"/>
            <w:hideMark/>
          </w:tcPr>
          <w:p w14:paraId="4A528B0A"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shd w:val="clear" w:color="auto" w:fill="auto"/>
            <w:noWrap/>
            <w:vAlign w:val="bottom"/>
            <w:hideMark/>
          </w:tcPr>
          <w:p w14:paraId="5BACD181"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5,57</w:t>
            </w:r>
          </w:p>
        </w:tc>
      </w:tr>
      <w:tr w:rsidR="007E253F" w:rsidRPr="007E253F" w14:paraId="3BE9ADB3" w14:textId="77777777" w:rsidTr="00515E28">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C0E610C"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shd w:val="clear" w:color="auto" w:fill="auto"/>
            <w:noWrap/>
            <w:vAlign w:val="bottom"/>
            <w:hideMark/>
          </w:tcPr>
          <w:p w14:paraId="0EADDB1C"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92,06</w:t>
            </w:r>
          </w:p>
        </w:tc>
        <w:tc>
          <w:tcPr>
            <w:tcW w:w="672" w:type="dxa"/>
            <w:tcBorders>
              <w:top w:val="nil"/>
              <w:left w:val="nil"/>
              <w:bottom w:val="single" w:sz="4" w:space="0" w:color="auto"/>
              <w:right w:val="single" w:sz="4" w:space="0" w:color="auto"/>
            </w:tcBorders>
            <w:shd w:val="clear" w:color="auto" w:fill="auto"/>
            <w:noWrap/>
            <w:vAlign w:val="bottom"/>
            <w:hideMark/>
          </w:tcPr>
          <w:p w14:paraId="3EBB7B2B"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shd w:val="clear" w:color="auto" w:fill="auto"/>
            <w:noWrap/>
            <w:vAlign w:val="bottom"/>
            <w:hideMark/>
          </w:tcPr>
          <w:p w14:paraId="3970EABA"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12,96</w:t>
            </w:r>
          </w:p>
        </w:tc>
      </w:tr>
      <w:tr w:rsidR="007E253F" w:rsidRPr="007E253F" w14:paraId="43A69D34" w14:textId="77777777" w:rsidTr="00515E28">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EB9747D"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7BB68552"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100,13</w:t>
            </w:r>
          </w:p>
        </w:tc>
        <w:tc>
          <w:tcPr>
            <w:tcW w:w="672" w:type="dxa"/>
            <w:tcBorders>
              <w:top w:val="nil"/>
              <w:left w:val="nil"/>
              <w:bottom w:val="single" w:sz="4" w:space="0" w:color="auto"/>
              <w:right w:val="single" w:sz="4" w:space="0" w:color="auto"/>
            </w:tcBorders>
            <w:shd w:val="clear" w:color="auto" w:fill="auto"/>
            <w:noWrap/>
            <w:vAlign w:val="bottom"/>
            <w:hideMark/>
          </w:tcPr>
          <w:p w14:paraId="2425978C"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shd w:val="clear" w:color="auto" w:fill="auto"/>
            <w:noWrap/>
            <w:vAlign w:val="bottom"/>
            <w:hideMark/>
          </w:tcPr>
          <w:p w14:paraId="513399F8"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12,96</w:t>
            </w:r>
          </w:p>
        </w:tc>
      </w:tr>
      <w:tr w:rsidR="007E253F" w:rsidRPr="007E253F" w14:paraId="171DF3F0" w14:textId="77777777" w:rsidTr="00515E28">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9E9B31F"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shd w:val="clear" w:color="auto" w:fill="auto"/>
            <w:noWrap/>
            <w:vAlign w:val="bottom"/>
            <w:hideMark/>
          </w:tcPr>
          <w:p w14:paraId="4589A74B"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104,27</w:t>
            </w:r>
          </w:p>
        </w:tc>
        <w:tc>
          <w:tcPr>
            <w:tcW w:w="672" w:type="dxa"/>
            <w:tcBorders>
              <w:top w:val="nil"/>
              <w:left w:val="nil"/>
              <w:bottom w:val="single" w:sz="4" w:space="0" w:color="auto"/>
              <w:right w:val="single" w:sz="4" w:space="0" w:color="auto"/>
            </w:tcBorders>
            <w:shd w:val="clear" w:color="auto" w:fill="auto"/>
            <w:noWrap/>
            <w:vAlign w:val="bottom"/>
            <w:hideMark/>
          </w:tcPr>
          <w:p w14:paraId="4CE3CBD3"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shd w:val="clear" w:color="auto" w:fill="auto"/>
            <w:noWrap/>
            <w:vAlign w:val="bottom"/>
            <w:hideMark/>
          </w:tcPr>
          <w:p w14:paraId="5A0F46DA"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28,91</w:t>
            </w:r>
          </w:p>
        </w:tc>
      </w:tr>
      <w:tr w:rsidR="007E253F" w:rsidRPr="007E253F" w14:paraId="0EC01D1C" w14:textId="77777777" w:rsidTr="00515E28">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323F063"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44C9FAA1"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108,31</w:t>
            </w:r>
          </w:p>
        </w:tc>
        <w:tc>
          <w:tcPr>
            <w:tcW w:w="672" w:type="dxa"/>
            <w:tcBorders>
              <w:top w:val="nil"/>
              <w:left w:val="nil"/>
              <w:bottom w:val="single" w:sz="4" w:space="0" w:color="auto"/>
              <w:right w:val="single" w:sz="4" w:space="0" w:color="auto"/>
            </w:tcBorders>
            <w:shd w:val="clear" w:color="auto" w:fill="auto"/>
            <w:noWrap/>
            <w:vAlign w:val="bottom"/>
            <w:hideMark/>
          </w:tcPr>
          <w:p w14:paraId="13A0C549"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728" w:type="dxa"/>
            <w:tcBorders>
              <w:top w:val="nil"/>
              <w:left w:val="nil"/>
              <w:bottom w:val="single" w:sz="4" w:space="0" w:color="auto"/>
              <w:right w:val="single" w:sz="4" w:space="0" w:color="auto"/>
            </w:tcBorders>
            <w:shd w:val="clear" w:color="auto" w:fill="auto"/>
            <w:noWrap/>
            <w:vAlign w:val="bottom"/>
            <w:hideMark/>
          </w:tcPr>
          <w:p w14:paraId="19BD5059" w14:textId="77777777" w:rsidR="007E253F" w:rsidRPr="007E253F" w:rsidRDefault="007E253F" w:rsidP="00515E28">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4,85</w:t>
            </w:r>
          </w:p>
        </w:tc>
      </w:tr>
    </w:tbl>
    <w:p w14:paraId="512B5B87" w14:textId="38A35A7C" w:rsidR="009635E7" w:rsidRPr="009635E7" w:rsidRDefault="009635E7" w:rsidP="00A46E7F">
      <w:pPr>
        <w:pStyle w:val="Descripcin"/>
        <w:keepNext/>
        <w:spacing w:before="360"/>
        <w:rPr>
          <w:rFonts w:eastAsiaTheme="majorEastAsia" w:cs="Times New Roman"/>
          <w:i w:val="0"/>
          <w:iCs w:val="0"/>
          <w:color w:val="auto"/>
          <w:sz w:val="24"/>
          <w:szCs w:val="28"/>
          <w:lang w:val="es-ES" w:eastAsia="en-US"/>
        </w:rPr>
      </w:pPr>
      <w:bookmarkStart w:id="1378" w:name="_Toc79314020"/>
      <w:r w:rsidRPr="009635E7">
        <w:rPr>
          <w:rFonts w:eastAsiaTheme="majorEastAsia" w:cs="Times New Roman"/>
          <w:b/>
          <w:i w:val="0"/>
          <w:iCs w:val="0"/>
          <w:color w:val="auto"/>
          <w:sz w:val="24"/>
          <w:szCs w:val="28"/>
          <w:lang w:val="es-ES" w:eastAsia="en-US"/>
        </w:rPr>
        <w:t xml:space="preserve">Cuadro </w:t>
      </w:r>
      <w:r w:rsidRPr="009635E7">
        <w:rPr>
          <w:rFonts w:eastAsiaTheme="majorEastAsia" w:cs="Times New Roman"/>
          <w:b/>
          <w:i w:val="0"/>
          <w:iCs w:val="0"/>
          <w:color w:val="auto"/>
          <w:sz w:val="24"/>
          <w:szCs w:val="28"/>
          <w:lang w:val="es-ES" w:eastAsia="en-US"/>
        </w:rPr>
        <w:fldChar w:fldCharType="begin"/>
      </w:r>
      <w:r w:rsidRPr="009635E7">
        <w:rPr>
          <w:rFonts w:eastAsiaTheme="majorEastAsia" w:cs="Times New Roman"/>
          <w:b/>
          <w:i w:val="0"/>
          <w:iCs w:val="0"/>
          <w:color w:val="auto"/>
          <w:sz w:val="24"/>
          <w:szCs w:val="28"/>
          <w:lang w:val="es-ES" w:eastAsia="en-US"/>
        </w:rPr>
        <w:instrText xml:space="preserve"> SEQ Cuadro \* ARABIC </w:instrText>
      </w:r>
      <w:r w:rsidRPr="009635E7">
        <w:rPr>
          <w:rFonts w:eastAsiaTheme="majorEastAsia" w:cs="Times New Roman"/>
          <w:b/>
          <w:i w:val="0"/>
          <w:iCs w:val="0"/>
          <w:color w:val="auto"/>
          <w:sz w:val="24"/>
          <w:szCs w:val="28"/>
          <w:lang w:val="es-ES" w:eastAsia="en-US"/>
        </w:rPr>
        <w:fldChar w:fldCharType="separate"/>
      </w:r>
      <w:r w:rsidR="000D1F55">
        <w:rPr>
          <w:rFonts w:eastAsiaTheme="majorEastAsia" w:cs="Times New Roman"/>
          <w:b/>
          <w:i w:val="0"/>
          <w:iCs w:val="0"/>
          <w:noProof/>
          <w:color w:val="auto"/>
          <w:sz w:val="24"/>
          <w:szCs w:val="28"/>
          <w:lang w:val="es-ES" w:eastAsia="en-US"/>
        </w:rPr>
        <w:t>28</w:t>
      </w:r>
      <w:r w:rsidRPr="009635E7">
        <w:rPr>
          <w:rFonts w:eastAsiaTheme="majorEastAsia" w:cs="Times New Roman"/>
          <w:b/>
          <w:i w:val="0"/>
          <w:iCs w:val="0"/>
          <w:color w:val="auto"/>
          <w:sz w:val="24"/>
          <w:szCs w:val="28"/>
          <w:lang w:val="es-ES" w:eastAsia="en-US"/>
        </w:rPr>
        <w:fldChar w:fldCharType="end"/>
      </w:r>
      <w:r w:rsidRPr="009635E7">
        <w:rPr>
          <w:rFonts w:eastAsiaTheme="majorEastAsia" w:cs="Times New Roman"/>
          <w:b/>
          <w:i w:val="0"/>
          <w:iCs w:val="0"/>
          <w:color w:val="auto"/>
          <w:sz w:val="24"/>
          <w:szCs w:val="28"/>
          <w:lang w:val="es-ES" w:eastAsia="en-US"/>
        </w:rPr>
        <w:t>.</w:t>
      </w:r>
      <w:r w:rsidRPr="009635E7">
        <w:rPr>
          <w:rFonts w:eastAsiaTheme="majorEastAsia" w:cs="Times New Roman"/>
          <w:i w:val="0"/>
          <w:iCs w:val="0"/>
          <w:color w:val="auto"/>
          <w:sz w:val="24"/>
          <w:szCs w:val="28"/>
          <w:lang w:val="es-ES" w:eastAsia="en-US"/>
        </w:rPr>
        <w:t xml:space="preserve"> Absorción total de nitrógeno para diversas dosis de azufre evaluadas en la provincia de Bolívar del 2006 al 2011.</w:t>
      </w:r>
      <w:bookmarkEnd w:id="1378"/>
    </w:p>
    <w:tbl>
      <w:tblPr>
        <w:tblW w:w="5409" w:type="dxa"/>
        <w:jc w:val="center"/>
        <w:tblCellMar>
          <w:left w:w="70" w:type="dxa"/>
          <w:right w:w="70" w:type="dxa"/>
        </w:tblCellMar>
        <w:tblLook w:val="04A0" w:firstRow="1" w:lastRow="0" w:firstColumn="1" w:lastColumn="0" w:noHBand="0" w:noVBand="1"/>
      </w:tblPr>
      <w:tblGrid>
        <w:gridCol w:w="2122"/>
        <w:gridCol w:w="887"/>
        <w:gridCol w:w="672"/>
        <w:gridCol w:w="1728"/>
      </w:tblGrid>
      <w:tr w:rsidR="007E253F" w:rsidRPr="007E253F" w14:paraId="56C80C93" w14:textId="77777777" w:rsidTr="0072752C">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23DA4"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S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22938DE1"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11B6A74A"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273C7E5A"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1A9E30A3" w14:textId="77777777" w:rsidTr="0072752C">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39740F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shd w:val="clear" w:color="auto" w:fill="auto"/>
            <w:noWrap/>
            <w:vAlign w:val="bottom"/>
            <w:hideMark/>
          </w:tcPr>
          <w:p w14:paraId="6CA4FEB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89,4</w:t>
            </w:r>
          </w:p>
        </w:tc>
        <w:tc>
          <w:tcPr>
            <w:tcW w:w="672" w:type="dxa"/>
            <w:tcBorders>
              <w:top w:val="nil"/>
              <w:left w:val="nil"/>
              <w:bottom w:val="single" w:sz="4" w:space="0" w:color="auto"/>
              <w:right w:val="single" w:sz="4" w:space="0" w:color="auto"/>
            </w:tcBorders>
            <w:shd w:val="clear" w:color="auto" w:fill="auto"/>
            <w:noWrap/>
            <w:vAlign w:val="bottom"/>
            <w:hideMark/>
          </w:tcPr>
          <w:p w14:paraId="10CD1717"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shd w:val="clear" w:color="auto" w:fill="auto"/>
            <w:noWrap/>
            <w:vAlign w:val="bottom"/>
            <w:hideMark/>
          </w:tcPr>
          <w:p w14:paraId="26FB8807"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5,57</w:t>
            </w:r>
          </w:p>
        </w:tc>
      </w:tr>
      <w:tr w:rsidR="007E253F" w:rsidRPr="007E253F" w14:paraId="25839BBF" w14:textId="77777777" w:rsidTr="0072752C">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1BCAA9E"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7DEA3B39"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98,68</w:t>
            </w:r>
          </w:p>
        </w:tc>
        <w:tc>
          <w:tcPr>
            <w:tcW w:w="672" w:type="dxa"/>
            <w:tcBorders>
              <w:top w:val="nil"/>
              <w:left w:val="nil"/>
              <w:bottom w:val="single" w:sz="4" w:space="0" w:color="auto"/>
              <w:right w:val="single" w:sz="4" w:space="0" w:color="auto"/>
            </w:tcBorders>
            <w:shd w:val="clear" w:color="auto" w:fill="auto"/>
            <w:noWrap/>
            <w:vAlign w:val="bottom"/>
            <w:hideMark/>
          </w:tcPr>
          <w:p w14:paraId="1DEEF305"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728" w:type="dxa"/>
            <w:tcBorders>
              <w:top w:val="nil"/>
              <w:left w:val="nil"/>
              <w:bottom w:val="single" w:sz="4" w:space="0" w:color="auto"/>
              <w:right w:val="single" w:sz="4" w:space="0" w:color="auto"/>
            </w:tcBorders>
            <w:shd w:val="clear" w:color="auto" w:fill="auto"/>
            <w:noWrap/>
            <w:vAlign w:val="bottom"/>
            <w:hideMark/>
          </w:tcPr>
          <w:p w14:paraId="72EDBD49"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8,78</w:t>
            </w:r>
          </w:p>
        </w:tc>
      </w:tr>
      <w:tr w:rsidR="007E253F" w:rsidRPr="007E253F" w14:paraId="61DDDE7C" w14:textId="77777777" w:rsidTr="0072752C">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FABC89"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621FBEE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108,31</w:t>
            </w:r>
          </w:p>
        </w:tc>
        <w:tc>
          <w:tcPr>
            <w:tcW w:w="672" w:type="dxa"/>
            <w:tcBorders>
              <w:top w:val="nil"/>
              <w:left w:val="nil"/>
              <w:bottom w:val="single" w:sz="4" w:space="0" w:color="auto"/>
              <w:right w:val="single" w:sz="4" w:space="0" w:color="auto"/>
            </w:tcBorders>
            <w:shd w:val="clear" w:color="auto" w:fill="auto"/>
            <w:noWrap/>
            <w:vAlign w:val="bottom"/>
            <w:hideMark/>
          </w:tcPr>
          <w:p w14:paraId="76EC0D77"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728" w:type="dxa"/>
            <w:tcBorders>
              <w:top w:val="nil"/>
              <w:left w:val="nil"/>
              <w:bottom w:val="single" w:sz="4" w:space="0" w:color="auto"/>
              <w:right w:val="single" w:sz="4" w:space="0" w:color="auto"/>
            </w:tcBorders>
            <w:shd w:val="clear" w:color="auto" w:fill="auto"/>
            <w:noWrap/>
            <w:vAlign w:val="bottom"/>
            <w:hideMark/>
          </w:tcPr>
          <w:p w14:paraId="58CD951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4,85</w:t>
            </w:r>
          </w:p>
        </w:tc>
      </w:tr>
    </w:tbl>
    <w:p w14:paraId="0A54EF4E" w14:textId="199C0AF8" w:rsidR="009635E7" w:rsidRPr="009635E7" w:rsidRDefault="009635E7" w:rsidP="00A46E7F">
      <w:pPr>
        <w:pStyle w:val="Descripcin"/>
        <w:keepNext/>
        <w:spacing w:before="360"/>
        <w:rPr>
          <w:rFonts w:eastAsiaTheme="majorEastAsia" w:cs="Times New Roman"/>
          <w:i w:val="0"/>
          <w:iCs w:val="0"/>
          <w:color w:val="auto"/>
          <w:sz w:val="24"/>
          <w:szCs w:val="28"/>
          <w:lang w:val="es-ES" w:eastAsia="en-US"/>
        </w:rPr>
      </w:pPr>
      <w:bookmarkStart w:id="1379" w:name="_Toc79314021"/>
      <w:r w:rsidRPr="009635E7">
        <w:rPr>
          <w:rFonts w:eastAsiaTheme="majorEastAsia" w:cs="Times New Roman"/>
          <w:b/>
          <w:i w:val="0"/>
          <w:iCs w:val="0"/>
          <w:color w:val="auto"/>
          <w:sz w:val="24"/>
          <w:szCs w:val="28"/>
          <w:lang w:val="es-ES" w:eastAsia="en-US"/>
        </w:rPr>
        <w:t xml:space="preserve">Cuadro </w:t>
      </w:r>
      <w:r w:rsidRPr="009635E7">
        <w:rPr>
          <w:rFonts w:eastAsiaTheme="majorEastAsia" w:cs="Times New Roman"/>
          <w:b/>
          <w:i w:val="0"/>
          <w:iCs w:val="0"/>
          <w:color w:val="auto"/>
          <w:sz w:val="24"/>
          <w:szCs w:val="28"/>
          <w:lang w:val="es-ES" w:eastAsia="en-US"/>
        </w:rPr>
        <w:fldChar w:fldCharType="begin"/>
      </w:r>
      <w:r w:rsidRPr="009635E7">
        <w:rPr>
          <w:rFonts w:eastAsiaTheme="majorEastAsia" w:cs="Times New Roman"/>
          <w:b/>
          <w:i w:val="0"/>
          <w:iCs w:val="0"/>
          <w:color w:val="auto"/>
          <w:sz w:val="24"/>
          <w:szCs w:val="28"/>
          <w:lang w:val="es-ES" w:eastAsia="en-US"/>
        </w:rPr>
        <w:instrText xml:space="preserve"> SEQ Cuadro \* ARABIC </w:instrText>
      </w:r>
      <w:r w:rsidRPr="009635E7">
        <w:rPr>
          <w:rFonts w:eastAsiaTheme="majorEastAsia" w:cs="Times New Roman"/>
          <w:b/>
          <w:i w:val="0"/>
          <w:iCs w:val="0"/>
          <w:color w:val="auto"/>
          <w:sz w:val="24"/>
          <w:szCs w:val="28"/>
          <w:lang w:val="es-ES" w:eastAsia="en-US"/>
        </w:rPr>
        <w:fldChar w:fldCharType="separate"/>
      </w:r>
      <w:r w:rsidR="000D1F55">
        <w:rPr>
          <w:rFonts w:eastAsiaTheme="majorEastAsia" w:cs="Times New Roman"/>
          <w:b/>
          <w:i w:val="0"/>
          <w:iCs w:val="0"/>
          <w:noProof/>
          <w:color w:val="auto"/>
          <w:sz w:val="24"/>
          <w:szCs w:val="28"/>
          <w:lang w:val="es-ES" w:eastAsia="en-US"/>
        </w:rPr>
        <w:t>29</w:t>
      </w:r>
      <w:r w:rsidRPr="009635E7">
        <w:rPr>
          <w:rFonts w:eastAsiaTheme="majorEastAsia" w:cs="Times New Roman"/>
          <w:b/>
          <w:i w:val="0"/>
          <w:iCs w:val="0"/>
          <w:color w:val="auto"/>
          <w:sz w:val="24"/>
          <w:szCs w:val="28"/>
          <w:lang w:val="es-ES" w:eastAsia="en-US"/>
        </w:rPr>
        <w:fldChar w:fldCharType="end"/>
      </w:r>
      <w:r w:rsidRPr="009635E7">
        <w:rPr>
          <w:rFonts w:eastAsiaTheme="majorEastAsia" w:cs="Times New Roman"/>
          <w:b/>
          <w:i w:val="0"/>
          <w:iCs w:val="0"/>
          <w:color w:val="auto"/>
          <w:sz w:val="24"/>
          <w:szCs w:val="28"/>
          <w:lang w:val="es-ES" w:eastAsia="en-US"/>
        </w:rPr>
        <w:t>.</w:t>
      </w:r>
      <w:r w:rsidRPr="009635E7">
        <w:rPr>
          <w:rFonts w:eastAsiaTheme="majorEastAsia" w:cs="Times New Roman"/>
          <w:i w:val="0"/>
          <w:iCs w:val="0"/>
          <w:color w:val="auto"/>
          <w:sz w:val="24"/>
          <w:szCs w:val="28"/>
          <w:lang w:val="es-ES" w:eastAsia="en-US"/>
        </w:rPr>
        <w:t xml:space="preserve"> Absorción total de nitrógeno para diversas dosis de magnesio evaluadas en la provincia de Bolívar del 2006 al 2011.</w:t>
      </w:r>
      <w:bookmarkEnd w:id="1379"/>
    </w:p>
    <w:tbl>
      <w:tblPr>
        <w:tblW w:w="5409" w:type="dxa"/>
        <w:jc w:val="center"/>
        <w:tblCellMar>
          <w:left w:w="70" w:type="dxa"/>
          <w:right w:w="70" w:type="dxa"/>
        </w:tblCellMar>
        <w:tblLook w:val="04A0" w:firstRow="1" w:lastRow="0" w:firstColumn="1" w:lastColumn="0" w:noHBand="0" w:noVBand="1"/>
      </w:tblPr>
      <w:tblGrid>
        <w:gridCol w:w="2122"/>
        <w:gridCol w:w="887"/>
        <w:gridCol w:w="530"/>
        <w:gridCol w:w="1870"/>
      </w:tblGrid>
      <w:tr w:rsidR="007E253F" w:rsidRPr="007E253F" w14:paraId="377DDF30" w14:textId="77777777" w:rsidTr="0072752C">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19871"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Mg(kg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1981EED6"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14:paraId="28B43BAB"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2561E43E"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13A3C86F" w14:textId="77777777" w:rsidTr="0072752C">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2E804E8"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4A113BA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89,42</w:t>
            </w:r>
          </w:p>
        </w:tc>
        <w:tc>
          <w:tcPr>
            <w:tcW w:w="530" w:type="dxa"/>
            <w:tcBorders>
              <w:top w:val="nil"/>
              <w:left w:val="nil"/>
              <w:bottom w:val="single" w:sz="4" w:space="0" w:color="auto"/>
              <w:right w:val="single" w:sz="4" w:space="0" w:color="auto"/>
            </w:tcBorders>
            <w:shd w:val="clear" w:color="auto" w:fill="auto"/>
            <w:noWrap/>
            <w:vAlign w:val="bottom"/>
            <w:hideMark/>
          </w:tcPr>
          <w:p w14:paraId="1229795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70" w:type="dxa"/>
            <w:tcBorders>
              <w:top w:val="nil"/>
              <w:left w:val="nil"/>
              <w:bottom w:val="single" w:sz="4" w:space="0" w:color="auto"/>
              <w:right w:val="single" w:sz="4" w:space="0" w:color="auto"/>
            </w:tcBorders>
            <w:shd w:val="clear" w:color="auto" w:fill="auto"/>
            <w:noWrap/>
            <w:vAlign w:val="bottom"/>
            <w:hideMark/>
          </w:tcPr>
          <w:p w14:paraId="5C21B183"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5,57</w:t>
            </w:r>
          </w:p>
        </w:tc>
      </w:tr>
      <w:tr w:rsidR="007E253F" w:rsidRPr="007E253F" w14:paraId="7BF14AD6" w14:textId="77777777" w:rsidTr="0072752C">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D4CF5A3"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5C78213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98,62</w:t>
            </w:r>
          </w:p>
        </w:tc>
        <w:tc>
          <w:tcPr>
            <w:tcW w:w="530" w:type="dxa"/>
            <w:tcBorders>
              <w:top w:val="nil"/>
              <w:left w:val="nil"/>
              <w:bottom w:val="single" w:sz="4" w:space="0" w:color="auto"/>
              <w:right w:val="single" w:sz="4" w:space="0" w:color="auto"/>
            </w:tcBorders>
            <w:shd w:val="clear" w:color="auto" w:fill="auto"/>
            <w:noWrap/>
            <w:vAlign w:val="bottom"/>
            <w:hideMark/>
          </w:tcPr>
          <w:p w14:paraId="07A015C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870" w:type="dxa"/>
            <w:tcBorders>
              <w:top w:val="nil"/>
              <w:left w:val="nil"/>
              <w:bottom w:val="single" w:sz="4" w:space="0" w:color="auto"/>
              <w:right w:val="single" w:sz="4" w:space="0" w:color="auto"/>
            </w:tcBorders>
            <w:shd w:val="clear" w:color="auto" w:fill="auto"/>
            <w:noWrap/>
            <w:vAlign w:val="bottom"/>
            <w:hideMark/>
          </w:tcPr>
          <w:p w14:paraId="236F328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8,78</w:t>
            </w:r>
          </w:p>
        </w:tc>
      </w:tr>
      <w:tr w:rsidR="007E253F" w:rsidRPr="007E253F" w14:paraId="76F3A40B" w14:textId="77777777" w:rsidTr="0072752C">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2D0FAFC"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shd w:val="clear" w:color="auto" w:fill="auto"/>
            <w:noWrap/>
            <w:vAlign w:val="bottom"/>
            <w:hideMark/>
          </w:tcPr>
          <w:p w14:paraId="5639908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108,31</w:t>
            </w:r>
          </w:p>
        </w:tc>
        <w:tc>
          <w:tcPr>
            <w:tcW w:w="530" w:type="dxa"/>
            <w:tcBorders>
              <w:top w:val="nil"/>
              <w:left w:val="nil"/>
              <w:bottom w:val="single" w:sz="4" w:space="0" w:color="auto"/>
              <w:right w:val="single" w:sz="4" w:space="0" w:color="auto"/>
            </w:tcBorders>
            <w:shd w:val="clear" w:color="auto" w:fill="auto"/>
            <w:noWrap/>
            <w:vAlign w:val="bottom"/>
            <w:hideMark/>
          </w:tcPr>
          <w:p w14:paraId="7969818C"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870" w:type="dxa"/>
            <w:tcBorders>
              <w:top w:val="nil"/>
              <w:left w:val="nil"/>
              <w:bottom w:val="single" w:sz="4" w:space="0" w:color="auto"/>
              <w:right w:val="single" w:sz="4" w:space="0" w:color="auto"/>
            </w:tcBorders>
            <w:shd w:val="clear" w:color="auto" w:fill="auto"/>
            <w:noWrap/>
            <w:vAlign w:val="bottom"/>
            <w:hideMark/>
          </w:tcPr>
          <w:p w14:paraId="5F9BCC25"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4,85</w:t>
            </w:r>
          </w:p>
        </w:tc>
      </w:tr>
    </w:tbl>
    <w:p w14:paraId="7BE93CD1" w14:textId="77777777" w:rsidR="007E253F" w:rsidRPr="007E253F" w:rsidRDefault="007E253F" w:rsidP="007E253F">
      <w:pPr>
        <w:autoSpaceDE w:val="0"/>
        <w:autoSpaceDN w:val="0"/>
        <w:adjustRightInd w:val="0"/>
        <w:spacing w:after="0" w:line="360" w:lineRule="auto"/>
        <w:rPr>
          <w:rFonts w:cs="Times New Roman"/>
          <w:szCs w:val="24"/>
        </w:rPr>
      </w:pPr>
    </w:p>
    <w:p w14:paraId="3DCF23D3" w14:textId="73419E61" w:rsidR="007E253F" w:rsidRPr="007E253F" w:rsidRDefault="007E253F" w:rsidP="007E253F">
      <w:pPr>
        <w:autoSpaceDE w:val="0"/>
        <w:autoSpaceDN w:val="0"/>
        <w:adjustRightInd w:val="0"/>
        <w:spacing w:after="0" w:line="360" w:lineRule="auto"/>
        <w:rPr>
          <w:rFonts w:cs="Times New Roman"/>
          <w:szCs w:val="24"/>
        </w:rPr>
      </w:pPr>
      <w:r w:rsidRPr="007E253F">
        <w:rPr>
          <w:rFonts w:cs="Times New Roman"/>
          <w:szCs w:val="24"/>
        </w:rPr>
        <w:lastRenderedPageBreak/>
        <w:t>En l</w:t>
      </w:r>
      <w:r w:rsidR="0072752C">
        <w:rPr>
          <w:rFonts w:cs="Times New Roman"/>
          <w:szCs w:val="24"/>
        </w:rPr>
        <w:t>os cuadros</w:t>
      </w:r>
      <w:r w:rsidR="00A05F3F">
        <w:rPr>
          <w:rFonts w:cs="Times New Roman"/>
          <w:szCs w:val="24"/>
        </w:rPr>
        <w:t xml:space="preserve"> </w:t>
      </w:r>
      <w:r w:rsidRPr="007E253F">
        <w:rPr>
          <w:rFonts w:cs="Times New Roman"/>
          <w:szCs w:val="24"/>
        </w:rPr>
        <w:t>27, 28 y 29 se distingue con facilidad que no existe una relación directa entre las dosis de potasio, azufre y magnesio empleadas sobre la a</w:t>
      </w:r>
      <w:r w:rsidR="005F2CA6">
        <w:rPr>
          <w:rFonts w:cs="Times New Roman"/>
          <w:szCs w:val="24"/>
        </w:rPr>
        <w:t>b</w:t>
      </w:r>
      <w:r w:rsidRPr="007E253F">
        <w:rPr>
          <w:rFonts w:cs="Times New Roman"/>
          <w:szCs w:val="24"/>
        </w:rPr>
        <w:t xml:space="preserve">sorción </w:t>
      </w:r>
      <w:r w:rsidR="00A55D62">
        <w:rPr>
          <w:rFonts w:cs="Times New Roman"/>
          <w:szCs w:val="24"/>
        </w:rPr>
        <w:t xml:space="preserve">total </w:t>
      </w:r>
      <w:r w:rsidRPr="007E253F">
        <w:rPr>
          <w:rFonts w:cs="Times New Roman"/>
          <w:szCs w:val="24"/>
        </w:rPr>
        <w:t>de nitrógeno.</w:t>
      </w:r>
    </w:p>
    <w:p w14:paraId="514F9EA9" w14:textId="77777777" w:rsidR="00A46E7F" w:rsidRDefault="007E253F" w:rsidP="00A46E7F">
      <w:pPr>
        <w:autoSpaceDE w:val="0"/>
        <w:autoSpaceDN w:val="0"/>
        <w:adjustRightInd w:val="0"/>
        <w:spacing w:before="360" w:after="360" w:line="360" w:lineRule="auto"/>
        <w:rPr>
          <w:rFonts w:cs="Times New Roman"/>
          <w:szCs w:val="24"/>
        </w:rPr>
      </w:pPr>
      <w:r w:rsidRPr="007E253F">
        <w:rPr>
          <w:rFonts w:cs="Times New Roman"/>
          <w:bCs/>
          <w:szCs w:val="24"/>
        </w:rPr>
        <w:t xml:space="preserve">El efecto </w:t>
      </w:r>
      <w:r w:rsidR="00A55D62">
        <w:rPr>
          <w:rFonts w:cs="Times New Roman"/>
          <w:bCs/>
          <w:szCs w:val="24"/>
        </w:rPr>
        <w:t xml:space="preserve">lineal y/o cuadrático </w:t>
      </w:r>
      <w:r w:rsidRPr="007E253F">
        <w:rPr>
          <w:rFonts w:cs="Times New Roman"/>
          <w:bCs/>
          <w:szCs w:val="24"/>
        </w:rPr>
        <w:t xml:space="preserve">de los nutrientes que fueron significativos </w:t>
      </w:r>
      <w:r w:rsidR="00E57002">
        <w:rPr>
          <w:rFonts w:cs="Times New Roman"/>
          <w:bCs/>
          <w:szCs w:val="24"/>
        </w:rPr>
        <w:t xml:space="preserve">(p=&lt;0,0001) </w:t>
      </w:r>
      <w:r w:rsidRPr="007E253F">
        <w:rPr>
          <w:rFonts w:cs="Times New Roman"/>
          <w:bCs/>
          <w:szCs w:val="24"/>
        </w:rPr>
        <w:t xml:space="preserve">sobre la absorción total de nitrógeno en la provincia de Bolívar se observa en </w:t>
      </w:r>
      <w:r w:rsidR="0072752C">
        <w:rPr>
          <w:rFonts w:cs="Times New Roman"/>
          <w:bCs/>
          <w:szCs w:val="24"/>
        </w:rPr>
        <w:t>la siguiente figura</w:t>
      </w:r>
      <w:r w:rsidRPr="007E253F">
        <w:rPr>
          <w:rFonts w:cs="Times New Roman"/>
          <w:bCs/>
          <w:szCs w:val="24"/>
        </w:rPr>
        <w:t>:</w:t>
      </w:r>
      <w:bookmarkStart w:id="1380" w:name="_Toc72704005"/>
      <w:bookmarkStart w:id="1381" w:name="_Toc72704529"/>
      <w:bookmarkStart w:id="1382" w:name="_Toc72705593"/>
      <w:bookmarkStart w:id="1383" w:name="_Toc72706232"/>
      <w:bookmarkStart w:id="1384" w:name="_Toc72741182"/>
      <w:bookmarkStart w:id="1385" w:name="_Toc72742778"/>
      <w:bookmarkStart w:id="1386" w:name="_Toc72881150"/>
      <w:bookmarkStart w:id="1387" w:name="_Toc72881521"/>
      <w:bookmarkStart w:id="1388" w:name="_Toc75606394"/>
      <w:bookmarkStart w:id="1389" w:name="_Toc75608947"/>
      <w:bookmarkStart w:id="1390" w:name="_Toc75611873"/>
      <w:bookmarkStart w:id="1391" w:name="_Toc75612719"/>
      <w:bookmarkStart w:id="1392" w:name="_Toc75679875"/>
      <w:bookmarkStart w:id="1393" w:name="_Toc75702483"/>
      <w:bookmarkStart w:id="1394" w:name="_Toc79313217"/>
    </w:p>
    <w:p w14:paraId="24E3D38C" w14:textId="661867B6" w:rsidR="007E253F" w:rsidRPr="00A46E7F" w:rsidRDefault="00A05F3F" w:rsidP="00A46E7F">
      <w:pPr>
        <w:pStyle w:val="Prrafodelista"/>
        <w:numPr>
          <w:ilvl w:val="0"/>
          <w:numId w:val="49"/>
        </w:numPr>
        <w:autoSpaceDE w:val="0"/>
        <w:autoSpaceDN w:val="0"/>
        <w:adjustRightInd w:val="0"/>
        <w:spacing w:before="360" w:after="360" w:line="360" w:lineRule="auto"/>
        <w:rPr>
          <w:rFonts w:cs="Times New Roman"/>
          <w:szCs w:val="24"/>
        </w:rPr>
      </w:pPr>
      <w:r>
        <w:t>Nitrógeno</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433C181D" w14:textId="32C1691F" w:rsidR="007E253F" w:rsidRPr="004B66F2" w:rsidRDefault="007E253F" w:rsidP="004B66F2">
      <w:pPr>
        <w:autoSpaceDE w:val="0"/>
        <w:autoSpaceDN w:val="0"/>
        <w:adjustRightInd w:val="0"/>
        <w:spacing w:after="0" w:line="360" w:lineRule="auto"/>
        <w:jc w:val="center"/>
        <w:rPr>
          <w:rFonts w:cs="Times New Roman"/>
          <w:szCs w:val="24"/>
        </w:rPr>
      </w:pPr>
      <w:r w:rsidRPr="007E253F">
        <w:rPr>
          <w:rFonts w:cs="Times New Roman"/>
          <w:noProof/>
          <w:szCs w:val="24"/>
          <w:lang w:eastAsia="es-EC"/>
        </w:rPr>
        <w:drawing>
          <wp:inline distT="0" distB="0" distL="0" distR="0" wp14:anchorId="1EDC9790" wp14:editId="11A2B900">
            <wp:extent cx="3510000" cy="1839600"/>
            <wp:effectExtent l="0" t="0" r="14605" b="8255"/>
            <wp:docPr id="9" name="Gráfico 9">
              <a:extLst xmlns:a="http://schemas.openxmlformats.org/drawingml/2006/main">
                <a:ext uri="{FF2B5EF4-FFF2-40B4-BE49-F238E27FC236}">
                  <a16:creationId xmlns:a16="http://schemas.microsoft.com/office/drawing/2014/main" id="{FDBC074C-F5AA-4A9F-9315-9200680AF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75EB6C" w14:textId="41DC6132" w:rsidR="007E253F" w:rsidRPr="007E253F" w:rsidRDefault="007E253F" w:rsidP="007E253F">
      <w:pPr>
        <w:spacing w:line="360" w:lineRule="auto"/>
        <w:rPr>
          <w:rFonts w:cs="Times New Roman"/>
          <w:szCs w:val="24"/>
        </w:rPr>
      </w:pPr>
      <w:r w:rsidRPr="007E253F">
        <w:rPr>
          <w:rFonts w:cs="Times New Roman"/>
          <w:szCs w:val="24"/>
        </w:rPr>
        <w:t>Efecto de los macronutrientes sobre la absorción total de nitrógeno maíz suave en la provincia de Bolívar (2006-2011)</w:t>
      </w:r>
    </w:p>
    <w:p w14:paraId="50EC3CB8" w14:textId="7EEAF19E" w:rsidR="007E253F" w:rsidRPr="007E253F" w:rsidRDefault="007E253F" w:rsidP="00380191">
      <w:pPr>
        <w:pStyle w:val="Ttulo3"/>
        <w:rPr>
          <w:rFonts w:eastAsia="Times New Roman"/>
          <w:color w:val="000000"/>
          <w:lang w:eastAsia="es-EC"/>
        </w:rPr>
      </w:pPr>
      <w:bookmarkStart w:id="1395" w:name="_Toc80312310"/>
      <w:r w:rsidRPr="007E253F">
        <w:t>A</w:t>
      </w:r>
      <w:r w:rsidR="005F2CA6">
        <w:t>b</w:t>
      </w:r>
      <w:r w:rsidRPr="007E253F">
        <w:t>sorción de fósforo (Kg</w:t>
      </w:r>
      <w:r w:rsidRPr="007E253F">
        <w:rPr>
          <w:rFonts w:eastAsia="Times New Roman"/>
          <w:color w:val="000000"/>
          <w:lang w:eastAsia="es-EC"/>
        </w:rPr>
        <w:t>/</w:t>
      </w:r>
      <w:r w:rsidRPr="007E253F">
        <w:t>ha</w:t>
      </w:r>
      <w:r w:rsidRPr="007E253F">
        <w:rPr>
          <w:vertAlign w:val="superscript"/>
        </w:rPr>
        <w:t>-1</w:t>
      </w:r>
      <w:r w:rsidRPr="007E253F">
        <w:t>)</w:t>
      </w:r>
      <w:bookmarkEnd w:id="1395"/>
    </w:p>
    <w:p w14:paraId="50BAA437" w14:textId="233AA72D" w:rsidR="00A46E7F" w:rsidRPr="00A46E7F" w:rsidRDefault="007E253F" w:rsidP="00A46E7F">
      <w:pPr>
        <w:autoSpaceDE w:val="0"/>
        <w:autoSpaceDN w:val="0"/>
        <w:adjustRightInd w:val="0"/>
        <w:spacing w:after="0" w:line="360" w:lineRule="auto"/>
        <w:rPr>
          <w:rFonts w:cs="Times New Roman"/>
          <w:b/>
          <w:bCs/>
          <w:color w:val="0000FF"/>
        </w:rPr>
      </w:pPr>
      <w:r w:rsidRPr="007E253F">
        <w:rPr>
          <w:rFonts w:cs="Times New Roman"/>
          <w:szCs w:val="24"/>
        </w:rPr>
        <w:t>Al utilizar el modelo estadístico para la absorción total de fósforo, se detectaron diferencias estadísticas significativas (p &lt;0,05) para las fuentes de variación de nitrógeno, fósforo y potasio, mientras que no fueron significativos para dosis de azufre y magnesio. (cuadro 19). Por lo tanto, las dosis de los fertilizantes con nitrógeno, fósforo y potasio afectaron a esta variable. El efecto del Cantón también fue significativo. El promedio general de la absorción total de fósforo fue 17,55 Kg/ha</w:t>
      </w:r>
      <w:r w:rsidRPr="007E253F">
        <w:rPr>
          <w:rFonts w:cs="Times New Roman"/>
          <w:szCs w:val="24"/>
          <w:vertAlign w:val="superscript"/>
        </w:rPr>
        <w:t>-1</w:t>
      </w:r>
      <w:r w:rsidRPr="007E253F">
        <w:rPr>
          <w:rFonts w:cs="Times New Roman"/>
          <w:szCs w:val="24"/>
        </w:rPr>
        <w:t>; con un R</w:t>
      </w:r>
      <w:r w:rsidRPr="007E253F">
        <w:rPr>
          <w:rFonts w:cs="Times New Roman"/>
          <w:szCs w:val="24"/>
          <w:vertAlign w:val="superscript"/>
        </w:rPr>
        <w:t>2</w:t>
      </w:r>
      <w:r w:rsidRPr="007E253F">
        <w:rPr>
          <w:rFonts w:cs="Times New Roman"/>
          <w:szCs w:val="24"/>
        </w:rPr>
        <w:t xml:space="preserve"> de 0,5 y un coeficiente de variación fue de 34,6 %</w:t>
      </w:r>
      <w:r w:rsidR="009635E7">
        <w:rPr>
          <w:rFonts w:cs="Times New Roman"/>
          <w:b/>
          <w:bCs/>
          <w:color w:val="0000FF"/>
        </w:rPr>
        <w:t>.</w:t>
      </w:r>
      <w:bookmarkStart w:id="1396" w:name="_Toc79314022"/>
    </w:p>
    <w:p w14:paraId="256E1C30" w14:textId="77777777" w:rsidR="00A46E7F" w:rsidRDefault="00A46E7F" w:rsidP="009635E7">
      <w:pPr>
        <w:pStyle w:val="Descripcin"/>
        <w:keepNext/>
        <w:rPr>
          <w:rFonts w:cs="Times New Roman"/>
          <w:b/>
          <w:i w:val="0"/>
          <w:iCs w:val="0"/>
          <w:color w:val="auto"/>
          <w:sz w:val="24"/>
          <w:szCs w:val="24"/>
          <w:lang w:eastAsia="en-US"/>
        </w:rPr>
      </w:pPr>
      <w:r>
        <w:rPr>
          <w:rFonts w:cs="Times New Roman"/>
          <w:b/>
          <w:i w:val="0"/>
          <w:iCs w:val="0"/>
          <w:color w:val="auto"/>
          <w:sz w:val="24"/>
          <w:szCs w:val="24"/>
          <w:lang w:eastAsia="en-US"/>
        </w:rPr>
        <w:br w:type="page"/>
      </w:r>
    </w:p>
    <w:p w14:paraId="5BA5DC57" w14:textId="250A9168" w:rsidR="009635E7" w:rsidRPr="009635E7" w:rsidRDefault="009635E7" w:rsidP="009635E7">
      <w:pPr>
        <w:pStyle w:val="Descripcin"/>
        <w:keepNext/>
        <w:rPr>
          <w:rFonts w:cs="Times New Roman"/>
          <w:i w:val="0"/>
          <w:iCs w:val="0"/>
          <w:color w:val="auto"/>
          <w:sz w:val="24"/>
          <w:szCs w:val="24"/>
          <w:lang w:eastAsia="en-US"/>
        </w:rPr>
      </w:pPr>
      <w:r w:rsidRPr="009635E7">
        <w:rPr>
          <w:rFonts w:cs="Times New Roman"/>
          <w:b/>
          <w:i w:val="0"/>
          <w:iCs w:val="0"/>
          <w:color w:val="auto"/>
          <w:sz w:val="24"/>
          <w:szCs w:val="24"/>
          <w:lang w:eastAsia="en-US"/>
        </w:rPr>
        <w:lastRenderedPageBreak/>
        <w:t xml:space="preserve">Cuadro </w:t>
      </w:r>
      <w:r w:rsidRPr="009635E7">
        <w:rPr>
          <w:rFonts w:cs="Times New Roman"/>
          <w:b/>
          <w:i w:val="0"/>
          <w:iCs w:val="0"/>
          <w:color w:val="auto"/>
          <w:sz w:val="24"/>
          <w:szCs w:val="24"/>
          <w:lang w:eastAsia="en-US"/>
        </w:rPr>
        <w:fldChar w:fldCharType="begin"/>
      </w:r>
      <w:r w:rsidRPr="009635E7">
        <w:rPr>
          <w:rFonts w:cs="Times New Roman"/>
          <w:b/>
          <w:i w:val="0"/>
          <w:iCs w:val="0"/>
          <w:color w:val="auto"/>
          <w:sz w:val="24"/>
          <w:szCs w:val="24"/>
          <w:lang w:eastAsia="en-US"/>
        </w:rPr>
        <w:instrText xml:space="preserve"> SEQ Cuadro \* ARABIC </w:instrText>
      </w:r>
      <w:r w:rsidRPr="009635E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30</w:t>
      </w:r>
      <w:r w:rsidRPr="009635E7">
        <w:rPr>
          <w:rFonts w:cs="Times New Roman"/>
          <w:b/>
          <w:i w:val="0"/>
          <w:iCs w:val="0"/>
          <w:color w:val="auto"/>
          <w:sz w:val="24"/>
          <w:szCs w:val="24"/>
          <w:lang w:eastAsia="en-US"/>
        </w:rPr>
        <w:fldChar w:fldCharType="end"/>
      </w:r>
      <w:r w:rsidRPr="009635E7">
        <w:rPr>
          <w:rFonts w:cs="Times New Roman"/>
          <w:b/>
          <w:i w:val="0"/>
          <w:iCs w:val="0"/>
          <w:color w:val="auto"/>
          <w:sz w:val="24"/>
          <w:szCs w:val="24"/>
          <w:lang w:eastAsia="en-US"/>
        </w:rPr>
        <w:t>.</w:t>
      </w:r>
      <w:r w:rsidRPr="009635E7">
        <w:rPr>
          <w:rFonts w:cs="Times New Roman"/>
          <w:i w:val="0"/>
          <w:iCs w:val="0"/>
          <w:color w:val="auto"/>
          <w:sz w:val="24"/>
          <w:szCs w:val="24"/>
          <w:lang w:eastAsia="en-US"/>
        </w:rPr>
        <w:t xml:space="preserve"> Análisis de la Varianza (SC tipo I) para Absorción total de fósforo evaluadas en la provincia de Bolívar del 2006 al 2011.</w:t>
      </w:r>
      <w:bookmarkEnd w:id="1396"/>
    </w:p>
    <w:tbl>
      <w:tblPr>
        <w:tblW w:w="7928" w:type="dxa"/>
        <w:tblCellMar>
          <w:left w:w="70" w:type="dxa"/>
          <w:right w:w="70" w:type="dxa"/>
        </w:tblCellMar>
        <w:tblLook w:val="04A0" w:firstRow="1" w:lastRow="0" w:firstColumn="1" w:lastColumn="0" w:noHBand="0" w:noVBand="1"/>
      </w:tblPr>
      <w:tblGrid>
        <w:gridCol w:w="1838"/>
        <w:gridCol w:w="940"/>
        <w:gridCol w:w="849"/>
        <w:gridCol w:w="1133"/>
        <w:gridCol w:w="708"/>
        <w:gridCol w:w="1133"/>
        <w:gridCol w:w="1327"/>
      </w:tblGrid>
      <w:tr w:rsidR="007E253F" w:rsidRPr="007E253F" w14:paraId="5BA4561E" w14:textId="77777777" w:rsidTr="009635E7">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B7C47"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F.V.</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96B9BD6"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SC</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30465E19"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gl</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14:paraId="1694BA94"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CM</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2C67CE8"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14:paraId="73B2B282"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p-valor</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29772A73"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Varianza%</w:t>
            </w:r>
          </w:p>
        </w:tc>
      </w:tr>
      <w:tr w:rsidR="007E253F" w:rsidRPr="007E253F" w14:paraId="6AFF3AD5"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A889CA8"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Modelo</w:t>
            </w:r>
          </w:p>
        </w:tc>
        <w:tc>
          <w:tcPr>
            <w:tcW w:w="940" w:type="dxa"/>
            <w:tcBorders>
              <w:top w:val="nil"/>
              <w:left w:val="nil"/>
              <w:bottom w:val="single" w:sz="4" w:space="0" w:color="auto"/>
              <w:right w:val="single" w:sz="4" w:space="0" w:color="auto"/>
            </w:tcBorders>
            <w:shd w:val="clear" w:color="auto" w:fill="auto"/>
            <w:noWrap/>
            <w:vAlign w:val="bottom"/>
            <w:hideMark/>
          </w:tcPr>
          <w:p w14:paraId="75EEB81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2778,9</w:t>
            </w:r>
          </w:p>
        </w:tc>
        <w:tc>
          <w:tcPr>
            <w:tcW w:w="849" w:type="dxa"/>
            <w:tcBorders>
              <w:top w:val="nil"/>
              <w:left w:val="nil"/>
              <w:bottom w:val="single" w:sz="4" w:space="0" w:color="auto"/>
              <w:right w:val="single" w:sz="4" w:space="0" w:color="auto"/>
            </w:tcBorders>
            <w:shd w:val="clear" w:color="auto" w:fill="auto"/>
            <w:noWrap/>
            <w:vAlign w:val="bottom"/>
            <w:hideMark/>
          </w:tcPr>
          <w:p w14:paraId="621A1DA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w:t>
            </w:r>
          </w:p>
        </w:tc>
        <w:tc>
          <w:tcPr>
            <w:tcW w:w="1133" w:type="dxa"/>
            <w:tcBorders>
              <w:top w:val="nil"/>
              <w:left w:val="nil"/>
              <w:bottom w:val="single" w:sz="4" w:space="0" w:color="auto"/>
              <w:right w:val="single" w:sz="4" w:space="0" w:color="auto"/>
            </w:tcBorders>
            <w:shd w:val="clear" w:color="auto" w:fill="auto"/>
            <w:noWrap/>
            <w:vAlign w:val="bottom"/>
            <w:hideMark/>
          </w:tcPr>
          <w:p w14:paraId="1EEF955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198,49</w:t>
            </w:r>
          </w:p>
        </w:tc>
        <w:tc>
          <w:tcPr>
            <w:tcW w:w="708" w:type="dxa"/>
            <w:tcBorders>
              <w:top w:val="nil"/>
              <w:left w:val="nil"/>
              <w:bottom w:val="single" w:sz="4" w:space="0" w:color="auto"/>
              <w:right w:val="single" w:sz="4" w:space="0" w:color="auto"/>
            </w:tcBorders>
            <w:shd w:val="clear" w:color="auto" w:fill="auto"/>
            <w:noWrap/>
            <w:vAlign w:val="bottom"/>
            <w:hideMark/>
          </w:tcPr>
          <w:p w14:paraId="683FE026"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5,38</w:t>
            </w:r>
          </w:p>
        </w:tc>
        <w:tc>
          <w:tcPr>
            <w:tcW w:w="1133" w:type="dxa"/>
            <w:tcBorders>
              <w:top w:val="nil"/>
              <w:left w:val="nil"/>
              <w:bottom w:val="single" w:sz="4" w:space="0" w:color="auto"/>
              <w:right w:val="single" w:sz="4" w:space="0" w:color="auto"/>
            </w:tcBorders>
            <w:shd w:val="clear" w:color="auto" w:fill="auto"/>
            <w:noWrap/>
            <w:vAlign w:val="bottom"/>
            <w:hideMark/>
          </w:tcPr>
          <w:p w14:paraId="7586F395"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327" w:type="dxa"/>
            <w:tcBorders>
              <w:top w:val="nil"/>
              <w:left w:val="nil"/>
              <w:bottom w:val="single" w:sz="4" w:space="0" w:color="auto"/>
              <w:right w:val="single" w:sz="4" w:space="0" w:color="auto"/>
            </w:tcBorders>
            <w:shd w:val="clear" w:color="auto" w:fill="auto"/>
            <w:noWrap/>
            <w:vAlign w:val="bottom"/>
            <w:hideMark/>
          </w:tcPr>
          <w:p w14:paraId="553B9CE7"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50,12</w:t>
            </w:r>
          </w:p>
        </w:tc>
      </w:tr>
      <w:tr w:rsidR="007E253F" w:rsidRPr="007E253F" w14:paraId="32C9776E"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C80F35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Cantón</w:t>
            </w:r>
          </w:p>
        </w:tc>
        <w:tc>
          <w:tcPr>
            <w:tcW w:w="940" w:type="dxa"/>
            <w:tcBorders>
              <w:top w:val="nil"/>
              <w:left w:val="nil"/>
              <w:bottom w:val="single" w:sz="4" w:space="0" w:color="auto"/>
              <w:right w:val="single" w:sz="4" w:space="0" w:color="auto"/>
            </w:tcBorders>
            <w:shd w:val="clear" w:color="auto" w:fill="auto"/>
            <w:noWrap/>
            <w:vAlign w:val="bottom"/>
            <w:hideMark/>
          </w:tcPr>
          <w:p w14:paraId="5A0340AB"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451,08</w:t>
            </w:r>
          </w:p>
        </w:tc>
        <w:tc>
          <w:tcPr>
            <w:tcW w:w="849" w:type="dxa"/>
            <w:tcBorders>
              <w:top w:val="nil"/>
              <w:left w:val="nil"/>
              <w:bottom w:val="single" w:sz="4" w:space="0" w:color="auto"/>
              <w:right w:val="single" w:sz="4" w:space="0" w:color="auto"/>
            </w:tcBorders>
            <w:shd w:val="clear" w:color="auto" w:fill="auto"/>
            <w:noWrap/>
            <w:vAlign w:val="bottom"/>
            <w:hideMark/>
          </w:tcPr>
          <w:p w14:paraId="49D4BC95"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1133" w:type="dxa"/>
            <w:tcBorders>
              <w:top w:val="nil"/>
              <w:left w:val="nil"/>
              <w:bottom w:val="single" w:sz="4" w:space="0" w:color="auto"/>
              <w:right w:val="single" w:sz="4" w:space="0" w:color="auto"/>
            </w:tcBorders>
            <w:shd w:val="clear" w:color="auto" w:fill="auto"/>
            <w:noWrap/>
            <w:vAlign w:val="bottom"/>
            <w:hideMark/>
          </w:tcPr>
          <w:p w14:paraId="01537F84"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150,36</w:t>
            </w:r>
          </w:p>
        </w:tc>
        <w:tc>
          <w:tcPr>
            <w:tcW w:w="708" w:type="dxa"/>
            <w:tcBorders>
              <w:top w:val="nil"/>
              <w:left w:val="nil"/>
              <w:bottom w:val="single" w:sz="4" w:space="0" w:color="auto"/>
              <w:right w:val="single" w:sz="4" w:space="0" w:color="auto"/>
            </w:tcBorders>
            <w:shd w:val="clear" w:color="auto" w:fill="auto"/>
            <w:noWrap/>
            <w:vAlign w:val="bottom"/>
            <w:hideMark/>
          </w:tcPr>
          <w:p w14:paraId="7B4FA73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4,08</w:t>
            </w:r>
          </w:p>
        </w:tc>
        <w:tc>
          <w:tcPr>
            <w:tcW w:w="1133" w:type="dxa"/>
            <w:tcBorders>
              <w:top w:val="nil"/>
              <w:left w:val="nil"/>
              <w:bottom w:val="single" w:sz="4" w:space="0" w:color="auto"/>
              <w:right w:val="single" w:sz="4" w:space="0" w:color="auto"/>
            </w:tcBorders>
            <w:shd w:val="clear" w:color="auto" w:fill="auto"/>
            <w:noWrap/>
            <w:vAlign w:val="bottom"/>
            <w:hideMark/>
          </w:tcPr>
          <w:p w14:paraId="39CE048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0,0097</w:t>
            </w:r>
          </w:p>
        </w:tc>
        <w:tc>
          <w:tcPr>
            <w:tcW w:w="1327" w:type="dxa"/>
            <w:tcBorders>
              <w:top w:val="nil"/>
              <w:left w:val="nil"/>
              <w:bottom w:val="single" w:sz="4" w:space="0" w:color="auto"/>
              <w:right w:val="single" w:sz="4" w:space="0" w:color="auto"/>
            </w:tcBorders>
            <w:shd w:val="clear" w:color="auto" w:fill="auto"/>
            <w:noWrap/>
            <w:vAlign w:val="bottom"/>
            <w:hideMark/>
          </w:tcPr>
          <w:p w14:paraId="2F8F981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8,14</w:t>
            </w:r>
          </w:p>
        </w:tc>
      </w:tr>
      <w:tr w:rsidR="007E253F" w:rsidRPr="007E253F" w14:paraId="78EB392A"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F773B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w:t>
            </w:r>
          </w:p>
        </w:tc>
        <w:tc>
          <w:tcPr>
            <w:tcW w:w="940" w:type="dxa"/>
            <w:tcBorders>
              <w:top w:val="nil"/>
              <w:left w:val="nil"/>
              <w:bottom w:val="single" w:sz="4" w:space="0" w:color="auto"/>
              <w:right w:val="single" w:sz="4" w:space="0" w:color="auto"/>
            </w:tcBorders>
            <w:shd w:val="clear" w:color="auto" w:fill="auto"/>
            <w:noWrap/>
            <w:vAlign w:val="bottom"/>
            <w:hideMark/>
          </w:tcPr>
          <w:p w14:paraId="311F8C53"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656,48</w:t>
            </w:r>
          </w:p>
        </w:tc>
        <w:tc>
          <w:tcPr>
            <w:tcW w:w="849" w:type="dxa"/>
            <w:tcBorders>
              <w:top w:val="nil"/>
              <w:left w:val="nil"/>
              <w:bottom w:val="single" w:sz="4" w:space="0" w:color="auto"/>
              <w:right w:val="single" w:sz="4" w:space="0" w:color="auto"/>
            </w:tcBorders>
            <w:shd w:val="clear" w:color="auto" w:fill="auto"/>
            <w:noWrap/>
            <w:vAlign w:val="bottom"/>
            <w:hideMark/>
          </w:tcPr>
          <w:p w14:paraId="22571968"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1133" w:type="dxa"/>
            <w:tcBorders>
              <w:top w:val="nil"/>
              <w:left w:val="nil"/>
              <w:bottom w:val="single" w:sz="4" w:space="0" w:color="auto"/>
              <w:right w:val="single" w:sz="4" w:space="0" w:color="auto"/>
            </w:tcBorders>
            <w:shd w:val="clear" w:color="auto" w:fill="auto"/>
            <w:noWrap/>
            <w:vAlign w:val="bottom"/>
            <w:hideMark/>
          </w:tcPr>
          <w:p w14:paraId="027668A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218,83</w:t>
            </w:r>
          </w:p>
        </w:tc>
        <w:tc>
          <w:tcPr>
            <w:tcW w:w="708" w:type="dxa"/>
            <w:tcBorders>
              <w:top w:val="nil"/>
              <w:left w:val="nil"/>
              <w:bottom w:val="single" w:sz="4" w:space="0" w:color="auto"/>
              <w:right w:val="single" w:sz="4" w:space="0" w:color="auto"/>
            </w:tcBorders>
            <w:shd w:val="clear" w:color="auto" w:fill="auto"/>
            <w:noWrap/>
            <w:vAlign w:val="bottom"/>
            <w:hideMark/>
          </w:tcPr>
          <w:p w14:paraId="139A69A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5,93</w:t>
            </w:r>
          </w:p>
        </w:tc>
        <w:tc>
          <w:tcPr>
            <w:tcW w:w="1133" w:type="dxa"/>
            <w:tcBorders>
              <w:top w:val="nil"/>
              <w:left w:val="nil"/>
              <w:bottom w:val="single" w:sz="4" w:space="0" w:color="auto"/>
              <w:right w:val="single" w:sz="4" w:space="0" w:color="auto"/>
            </w:tcBorders>
            <w:shd w:val="clear" w:color="auto" w:fill="auto"/>
            <w:noWrap/>
            <w:vAlign w:val="bottom"/>
            <w:hideMark/>
          </w:tcPr>
          <w:p w14:paraId="25D4C78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0,0011</w:t>
            </w:r>
          </w:p>
        </w:tc>
        <w:tc>
          <w:tcPr>
            <w:tcW w:w="1327" w:type="dxa"/>
            <w:tcBorders>
              <w:top w:val="nil"/>
              <w:left w:val="nil"/>
              <w:bottom w:val="single" w:sz="4" w:space="0" w:color="auto"/>
              <w:right w:val="single" w:sz="4" w:space="0" w:color="auto"/>
            </w:tcBorders>
            <w:shd w:val="clear" w:color="auto" w:fill="auto"/>
            <w:noWrap/>
            <w:vAlign w:val="bottom"/>
            <w:hideMark/>
          </w:tcPr>
          <w:p w14:paraId="6EF64613"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11,84</w:t>
            </w:r>
          </w:p>
        </w:tc>
      </w:tr>
      <w:tr w:rsidR="007E253F" w:rsidRPr="007E253F" w14:paraId="5D10D583"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2FD009B"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P</w:t>
            </w:r>
          </w:p>
        </w:tc>
        <w:tc>
          <w:tcPr>
            <w:tcW w:w="940" w:type="dxa"/>
            <w:tcBorders>
              <w:top w:val="nil"/>
              <w:left w:val="nil"/>
              <w:bottom w:val="single" w:sz="4" w:space="0" w:color="auto"/>
              <w:right w:val="single" w:sz="4" w:space="0" w:color="auto"/>
            </w:tcBorders>
            <w:shd w:val="clear" w:color="auto" w:fill="auto"/>
            <w:noWrap/>
            <w:vAlign w:val="bottom"/>
            <w:hideMark/>
          </w:tcPr>
          <w:p w14:paraId="6F0D405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435,04</w:t>
            </w:r>
          </w:p>
        </w:tc>
        <w:tc>
          <w:tcPr>
            <w:tcW w:w="849" w:type="dxa"/>
            <w:tcBorders>
              <w:top w:val="nil"/>
              <w:left w:val="nil"/>
              <w:bottom w:val="single" w:sz="4" w:space="0" w:color="auto"/>
              <w:right w:val="single" w:sz="4" w:space="0" w:color="auto"/>
            </w:tcBorders>
            <w:shd w:val="clear" w:color="auto" w:fill="auto"/>
            <w:noWrap/>
            <w:vAlign w:val="bottom"/>
            <w:hideMark/>
          </w:tcPr>
          <w:p w14:paraId="6A6ABB3F"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w:t>
            </w:r>
          </w:p>
        </w:tc>
        <w:tc>
          <w:tcPr>
            <w:tcW w:w="1133" w:type="dxa"/>
            <w:tcBorders>
              <w:top w:val="nil"/>
              <w:left w:val="nil"/>
              <w:bottom w:val="single" w:sz="4" w:space="0" w:color="auto"/>
              <w:right w:val="single" w:sz="4" w:space="0" w:color="auto"/>
            </w:tcBorders>
            <w:shd w:val="clear" w:color="auto" w:fill="auto"/>
            <w:noWrap/>
            <w:vAlign w:val="bottom"/>
            <w:hideMark/>
          </w:tcPr>
          <w:p w14:paraId="1B9E5826"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217,52</w:t>
            </w:r>
          </w:p>
        </w:tc>
        <w:tc>
          <w:tcPr>
            <w:tcW w:w="708" w:type="dxa"/>
            <w:tcBorders>
              <w:top w:val="nil"/>
              <w:left w:val="nil"/>
              <w:bottom w:val="single" w:sz="4" w:space="0" w:color="auto"/>
              <w:right w:val="single" w:sz="4" w:space="0" w:color="auto"/>
            </w:tcBorders>
            <w:shd w:val="clear" w:color="auto" w:fill="auto"/>
            <w:noWrap/>
            <w:vAlign w:val="bottom"/>
            <w:hideMark/>
          </w:tcPr>
          <w:p w14:paraId="24A871B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5,9</w:t>
            </w:r>
          </w:p>
        </w:tc>
        <w:tc>
          <w:tcPr>
            <w:tcW w:w="1133" w:type="dxa"/>
            <w:tcBorders>
              <w:top w:val="nil"/>
              <w:left w:val="nil"/>
              <w:bottom w:val="single" w:sz="4" w:space="0" w:color="auto"/>
              <w:right w:val="single" w:sz="4" w:space="0" w:color="auto"/>
            </w:tcBorders>
            <w:shd w:val="clear" w:color="auto" w:fill="auto"/>
            <w:noWrap/>
            <w:vAlign w:val="bottom"/>
            <w:hideMark/>
          </w:tcPr>
          <w:p w14:paraId="6D202185"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0,0042</w:t>
            </w:r>
          </w:p>
        </w:tc>
        <w:tc>
          <w:tcPr>
            <w:tcW w:w="1327" w:type="dxa"/>
            <w:tcBorders>
              <w:top w:val="nil"/>
              <w:left w:val="nil"/>
              <w:bottom w:val="single" w:sz="4" w:space="0" w:color="auto"/>
              <w:right w:val="single" w:sz="4" w:space="0" w:color="auto"/>
            </w:tcBorders>
            <w:shd w:val="clear" w:color="auto" w:fill="auto"/>
            <w:noWrap/>
            <w:vAlign w:val="bottom"/>
            <w:hideMark/>
          </w:tcPr>
          <w:p w14:paraId="04B2DE8F"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7,85</w:t>
            </w:r>
          </w:p>
        </w:tc>
      </w:tr>
      <w:tr w:rsidR="007E253F" w:rsidRPr="007E253F" w14:paraId="09F9E9F8"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9DBD9F4"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K</w:t>
            </w:r>
          </w:p>
        </w:tc>
        <w:tc>
          <w:tcPr>
            <w:tcW w:w="940" w:type="dxa"/>
            <w:tcBorders>
              <w:top w:val="nil"/>
              <w:left w:val="nil"/>
              <w:bottom w:val="single" w:sz="4" w:space="0" w:color="auto"/>
              <w:right w:val="single" w:sz="4" w:space="0" w:color="auto"/>
            </w:tcBorders>
            <w:shd w:val="clear" w:color="auto" w:fill="auto"/>
            <w:noWrap/>
            <w:vAlign w:val="bottom"/>
            <w:hideMark/>
          </w:tcPr>
          <w:p w14:paraId="32455DE7"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1011,1</w:t>
            </w:r>
          </w:p>
        </w:tc>
        <w:tc>
          <w:tcPr>
            <w:tcW w:w="849" w:type="dxa"/>
            <w:tcBorders>
              <w:top w:val="nil"/>
              <w:left w:val="nil"/>
              <w:bottom w:val="single" w:sz="4" w:space="0" w:color="auto"/>
              <w:right w:val="single" w:sz="4" w:space="0" w:color="auto"/>
            </w:tcBorders>
            <w:shd w:val="clear" w:color="auto" w:fill="auto"/>
            <w:noWrap/>
            <w:vAlign w:val="bottom"/>
            <w:hideMark/>
          </w:tcPr>
          <w:p w14:paraId="2A302ED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1133" w:type="dxa"/>
            <w:tcBorders>
              <w:top w:val="nil"/>
              <w:left w:val="nil"/>
              <w:bottom w:val="single" w:sz="4" w:space="0" w:color="auto"/>
              <w:right w:val="single" w:sz="4" w:space="0" w:color="auto"/>
            </w:tcBorders>
            <w:shd w:val="clear" w:color="auto" w:fill="auto"/>
            <w:noWrap/>
            <w:vAlign w:val="bottom"/>
            <w:hideMark/>
          </w:tcPr>
          <w:p w14:paraId="1582230F"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337,03</w:t>
            </w:r>
          </w:p>
        </w:tc>
        <w:tc>
          <w:tcPr>
            <w:tcW w:w="708" w:type="dxa"/>
            <w:tcBorders>
              <w:top w:val="nil"/>
              <w:left w:val="nil"/>
              <w:bottom w:val="single" w:sz="4" w:space="0" w:color="auto"/>
              <w:right w:val="single" w:sz="4" w:space="0" w:color="auto"/>
            </w:tcBorders>
            <w:shd w:val="clear" w:color="auto" w:fill="auto"/>
            <w:noWrap/>
            <w:vAlign w:val="bottom"/>
            <w:hideMark/>
          </w:tcPr>
          <w:p w14:paraId="3C87C354"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9,14</w:t>
            </w:r>
          </w:p>
        </w:tc>
        <w:tc>
          <w:tcPr>
            <w:tcW w:w="1133" w:type="dxa"/>
            <w:tcBorders>
              <w:top w:val="nil"/>
              <w:left w:val="nil"/>
              <w:bottom w:val="single" w:sz="4" w:space="0" w:color="auto"/>
              <w:right w:val="single" w:sz="4" w:space="0" w:color="auto"/>
            </w:tcBorders>
            <w:shd w:val="clear" w:color="auto" w:fill="auto"/>
            <w:noWrap/>
            <w:vAlign w:val="bottom"/>
            <w:hideMark/>
          </w:tcPr>
          <w:p w14:paraId="3F5D2EEE"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327" w:type="dxa"/>
            <w:tcBorders>
              <w:top w:val="nil"/>
              <w:left w:val="nil"/>
              <w:bottom w:val="single" w:sz="4" w:space="0" w:color="auto"/>
              <w:right w:val="single" w:sz="4" w:space="0" w:color="auto"/>
            </w:tcBorders>
            <w:shd w:val="clear" w:color="auto" w:fill="auto"/>
            <w:noWrap/>
            <w:vAlign w:val="bottom"/>
            <w:hideMark/>
          </w:tcPr>
          <w:p w14:paraId="74DE29E3"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18,23</w:t>
            </w:r>
          </w:p>
        </w:tc>
      </w:tr>
      <w:tr w:rsidR="007E253F" w:rsidRPr="007E253F" w14:paraId="32C76168"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391965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S</w:t>
            </w:r>
          </w:p>
        </w:tc>
        <w:tc>
          <w:tcPr>
            <w:tcW w:w="940" w:type="dxa"/>
            <w:tcBorders>
              <w:top w:val="nil"/>
              <w:left w:val="nil"/>
              <w:bottom w:val="single" w:sz="4" w:space="0" w:color="auto"/>
              <w:right w:val="single" w:sz="4" w:space="0" w:color="auto"/>
            </w:tcBorders>
            <w:shd w:val="clear" w:color="auto" w:fill="auto"/>
            <w:noWrap/>
            <w:vAlign w:val="bottom"/>
            <w:hideMark/>
          </w:tcPr>
          <w:p w14:paraId="1341CA92"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15,93</w:t>
            </w:r>
          </w:p>
        </w:tc>
        <w:tc>
          <w:tcPr>
            <w:tcW w:w="849" w:type="dxa"/>
            <w:tcBorders>
              <w:top w:val="nil"/>
              <w:left w:val="nil"/>
              <w:bottom w:val="single" w:sz="4" w:space="0" w:color="auto"/>
              <w:right w:val="single" w:sz="4" w:space="0" w:color="auto"/>
            </w:tcBorders>
            <w:shd w:val="clear" w:color="auto" w:fill="auto"/>
            <w:noWrap/>
            <w:vAlign w:val="bottom"/>
            <w:hideMark/>
          </w:tcPr>
          <w:p w14:paraId="5E050EA4"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133" w:type="dxa"/>
            <w:tcBorders>
              <w:top w:val="nil"/>
              <w:left w:val="nil"/>
              <w:bottom w:val="single" w:sz="4" w:space="0" w:color="auto"/>
              <w:right w:val="single" w:sz="4" w:space="0" w:color="auto"/>
            </w:tcBorders>
            <w:shd w:val="clear" w:color="auto" w:fill="auto"/>
            <w:noWrap/>
            <w:vAlign w:val="bottom"/>
            <w:hideMark/>
          </w:tcPr>
          <w:p w14:paraId="030F8DFC"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15,93</w:t>
            </w:r>
          </w:p>
        </w:tc>
        <w:tc>
          <w:tcPr>
            <w:tcW w:w="708" w:type="dxa"/>
            <w:tcBorders>
              <w:top w:val="nil"/>
              <w:left w:val="nil"/>
              <w:bottom w:val="single" w:sz="4" w:space="0" w:color="auto"/>
              <w:right w:val="single" w:sz="4" w:space="0" w:color="auto"/>
            </w:tcBorders>
            <w:shd w:val="clear" w:color="auto" w:fill="auto"/>
            <w:noWrap/>
            <w:vAlign w:val="bottom"/>
            <w:hideMark/>
          </w:tcPr>
          <w:p w14:paraId="06C6BF5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0,43</w:t>
            </w:r>
          </w:p>
        </w:tc>
        <w:tc>
          <w:tcPr>
            <w:tcW w:w="1133" w:type="dxa"/>
            <w:tcBorders>
              <w:top w:val="nil"/>
              <w:left w:val="nil"/>
              <w:bottom w:val="single" w:sz="4" w:space="0" w:color="auto"/>
              <w:right w:val="single" w:sz="4" w:space="0" w:color="auto"/>
            </w:tcBorders>
            <w:shd w:val="clear" w:color="auto" w:fill="auto"/>
            <w:noWrap/>
            <w:vAlign w:val="bottom"/>
            <w:hideMark/>
          </w:tcPr>
          <w:p w14:paraId="11A60D79"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0,513</w:t>
            </w:r>
          </w:p>
        </w:tc>
        <w:tc>
          <w:tcPr>
            <w:tcW w:w="1327" w:type="dxa"/>
            <w:tcBorders>
              <w:top w:val="nil"/>
              <w:left w:val="nil"/>
              <w:bottom w:val="single" w:sz="4" w:space="0" w:color="auto"/>
              <w:right w:val="single" w:sz="4" w:space="0" w:color="auto"/>
            </w:tcBorders>
            <w:shd w:val="clear" w:color="auto" w:fill="auto"/>
            <w:noWrap/>
            <w:vAlign w:val="bottom"/>
            <w:hideMark/>
          </w:tcPr>
          <w:p w14:paraId="2A5FA846"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0,29</w:t>
            </w:r>
          </w:p>
        </w:tc>
      </w:tr>
      <w:tr w:rsidR="007E253F" w:rsidRPr="007E253F" w14:paraId="07CAA429"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5F0980E"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Mg</w:t>
            </w:r>
          </w:p>
        </w:tc>
        <w:tc>
          <w:tcPr>
            <w:tcW w:w="940" w:type="dxa"/>
            <w:tcBorders>
              <w:top w:val="nil"/>
              <w:left w:val="nil"/>
              <w:bottom w:val="single" w:sz="4" w:space="0" w:color="auto"/>
              <w:right w:val="single" w:sz="4" w:space="0" w:color="auto"/>
            </w:tcBorders>
            <w:shd w:val="clear" w:color="auto" w:fill="auto"/>
            <w:noWrap/>
            <w:vAlign w:val="bottom"/>
            <w:hideMark/>
          </w:tcPr>
          <w:p w14:paraId="1A0614F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23,48</w:t>
            </w:r>
          </w:p>
        </w:tc>
        <w:tc>
          <w:tcPr>
            <w:tcW w:w="849" w:type="dxa"/>
            <w:tcBorders>
              <w:top w:val="nil"/>
              <w:left w:val="nil"/>
              <w:bottom w:val="single" w:sz="4" w:space="0" w:color="auto"/>
              <w:right w:val="single" w:sz="4" w:space="0" w:color="auto"/>
            </w:tcBorders>
            <w:shd w:val="clear" w:color="auto" w:fill="auto"/>
            <w:noWrap/>
            <w:vAlign w:val="bottom"/>
            <w:hideMark/>
          </w:tcPr>
          <w:p w14:paraId="765DEDB9"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133" w:type="dxa"/>
            <w:tcBorders>
              <w:top w:val="nil"/>
              <w:left w:val="nil"/>
              <w:bottom w:val="single" w:sz="4" w:space="0" w:color="auto"/>
              <w:right w:val="single" w:sz="4" w:space="0" w:color="auto"/>
            </w:tcBorders>
            <w:shd w:val="clear" w:color="auto" w:fill="auto"/>
            <w:noWrap/>
            <w:vAlign w:val="bottom"/>
            <w:hideMark/>
          </w:tcPr>
          <w:p w14:paraId="0C75D30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23,48</w:t>
            </w:r>
          </w:p>
        </w:tc>
        <w:tc>
          <w:tcPr>
            <w:tcW w:w="708" w:type="dxa"/>
            <w:tcBorders>
              <w:top w:val="nil"/>
              <w:left w:val="nil"/>
              <w:bottom w:val="single" w:sz="4" w:space="0" w:color="auto"/>
              <w:right w:val="single" w:sz="4" w:space="0" w:color="auto"/>
            </w:tcBorders>
            <w:shd w:val="clear" w:color="auto" w:fill="auto"/>
            <w:noWrap/>
            <w:vAlign w:val="bottom"/>
            <w:hideMark/>
          </w:tcPr>
          <w:p w14:paraId="1F2E46C2"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0,64</w:t>
            </w:r>
          </w:p>
        </w:tc>
        <w:tc>
          <w:tcPr>
            <w:tcW w:w="1133" w:type="dxa"/>
            <w:tcBorders>
              <w:top w:val="nil"/>
              <w:left w:val="nil"/>
              <w:bottom w:val="single" w:sz="4" w:space="0" w:color="auto"/>
              <w:right w:val="single" w:sz="4" w:space="0" w:color="auto"/>
            </w:tcBorders>
            <w:shd w:val="clear" w:color="auto" w:fill="auto"/>
            <w:noWrap/>
            <w:vAlign w:val="bottom"/>
            <w:hideMark/>
          </w:tcPr>
          <w:p w14:paraId="4D5D3A52"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0,4275</w:t>
            </w:r>
          </w:p>
        </w:tc>
        <w:tc>
          <w:tcPr>
            <w:tcW w:w="1327" w:type="dxa"/>
            <w:tcBorders>
              <w:top w:val="nil"/>
              <w:left w:val="nil"/>
              <w:bottom w:val="single" w:sz="4" w:space="0" w:color="auto"/>
              <w:right w:val="single" w:sz="4" w:space="0" w:color="auto"/>
            </w:tcBorders>
            <w:shd w:val="clear" w:color="auto" w:fill="auto"/>
            <w:noWrap/>
            <w:vAlign w:val="bottom"/>
            <w:hideMark/>
          </w:tcPr>
          <w:p w14:paraId="0C933E53"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0,42</w:t>
            </w:r>
          </w:p>
        </w:tc>
      </w:tr>
      <w:tr w:rsidR="007E253F" w:rsidRPr="007E253F" w14:paraId="591AC383"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408809B"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N*Dosis P</w:t>
            </w:r>
          </w:p>
        </w:tc>
        <w:tc>
          <w:tcPr>
            <w:tcW w:w="940" w:type="dxa"/>
            <w:tcBorders>
              <w:top w:val="nil"/>
              <w:left w:val="nil"/>
              <w:bottom w:val="single" w:sz="4" w:space="0" w:color="auto"/>
              <w:right w:val="single" w:sz="4" w:space="0" w:color="auto"/>
            </w:tcBorders>
            <w:shd w:val="clear" w:color="auto" w:fill="auto"/>
            <w:noWrap/>
            <w:vAlign w:val="bottom"/>
            <w:hideMark/>
          </w:tcPr>
          <w:p w14:paraId="553A6744"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185,84</w:t>
            </w:r>
          </w:p>
        </w:tc>
        <w:tc>
          <w:tcPr>
            <w:tcW w:w="849" w:type="dxa"/>
            <w:tcBorders>
              <w:top w:val="nil"/>
              <w:left w:val="nil"/>
              <w:bottom w:val="single" w:sz="4" w:space="0" w:color="auto"/>
              <w:right w:val="single" w:sz="4" w:space="0" w:color="auto"/>
            </w:tcBorders>
            <w:shd w:val="clear" w:color="auto" w:fill="auto"/>
            <w:noWrap/>
            <w:vAlign w:val="bottom"/>
            <w:hideMark/>
          </w:tcPr>
          <w:p w14:paraId="3C9874F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133" w:type="dxa"/>
            <w:tcBorders>
              <w:top w:val="nil"/>
              <w:left w:val="nil"/>
              <w:bottom w:val="single" w:sz="4" w:space="0" w:color="auto"/>
              <w:right w:val="single" w:sz="4" w:space="0" w:color="auto"/>
            </w:tcBorders>
            <w:shd w:val="clear" w:color="auto" w:fill="auto"/>
            <w:noWrap/>
            <w:vAlign w:val="bottom"/>
            <w:hideMark/>
          </w:tcPr>
          <w:p w14:paraId="3FCB2834"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185,84</w:t>
            </w:r>
          </w:p>
        </w:tc>
        <w:tc>
          <w:tcPr>
            <w:tcW w:w="708" w:type="dxa"/>
            <w:tcBorders>
              <w:top w:val="nil"/>
              <w:left w:val="nil"/>
              <w:bottom w:val="single" w:sz="4" w:space="0" w:color="auto"/>
              <w:right w:val="single" w:sz="4" w:space="0" w:color="auto"/>
            </w:tcBorders>
            <w:shd w:val="clear" w:color="auto" w:fill="auto"/>
            <w:noWrap/>
            <w:vAlign w:val="bottom"/>
            <w:hideMark/>
          </w:tcPr>
          <w:p w14:paraId="6FD226E2"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5,04</w:t>
            </w:r>
          </w:p>
        </w:tc>
        <w:tc>
          <w:tcPr>
            <w:tcW w:w="1133" w:type="dxa"/>
            <w:tcBorders>
              <w:top w:val="nil"/>
              <w:left w:val="nil"/>
              <w:bottom w:val="single" w:sz="4" w:space="0" w:color="auto"/>
              <w:right w:val="single" w:sz="4" w:space="0" w:color="auto"/>
            </w:tcBorders>
            <w:shd w:val="clear" w:color="auto" w:fill="auto"/>
            <w:noWrap/>
            <w:vAlign w:val="bottom"/>
            <w:hideMark/>
          </w:tcPr>
          <w:p w14:paraId="6C2A9DB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0,0277</w:t>
            </w:r>
          </w:p>
        </w:tc>
        <w:tc>
          <w:tcPr>
            <w:tcW w:w="1327" w:type="dxa"/>
            <w:tcBorders>
              <w:top w:val="nil"/>
              <w:left w:val="nil"/>
              <w:bottom w:val="single" w:sz="4" w:space="0" w:color="auto"/>
              <w:right w:val="single" w:sz="4" w:space="0" w:color="auto"/>
            </w:tcBorders>
            <w:shd w:val="clear" w:color="auto" w:fill="auto"/>
            <w:noWrap/>
            <w:vAlign w:val="bottom"/>
            <w:hideMark/>
          </w:tcPr>
          <w:p w14:paraId="39F0773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3,35</w:t>
            </w:r>
          </w:p>
        </w:tc>
      </w:tr>
      <w:tr w:rsidR="007E253F" w:rsidRPr="007E253F" w14:paraId="574934B4"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2CB5174"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Error</w:t>
            </w:r>
          </w:p>
        </w:tc>
        <w:tc>
          <w:tcPr>
            <w:tcW w:w="940" w:type="dxa"/>
            <w:tcBorders>
              <w:top w:val="nil"/>
              <w:left w:val="nil"/>
              <w:bottom w:val="single" w:sz="4" w:space="0" w:color="auto"/>
              <w:right w:val="single" w:sz="4" w:space="0" w:color="auto"/>
            </w:tcBorders>
            <w:shd w:val="clear" w:color="auto" w:fill="auto"/>
            <w:noWrap/>
            <w:vAlign w:val="bottom"/>
            <w:hideMark/>
          </w:tcPr>
          <w:p w14:paraId="7D00B95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2766</w:t>
            </w:r>
          </w:p>
        </w:tc>
        <w:tc>
          <w:tcPr>
            <w:tcW w:w="849" w:type="dxa"/>
            <w:tcBorders>
              <w:top w:val="nil"/>
              <w:left w:val="nil"/>
              <w:bottom w:val="single" w:sz="4" w:space="0" w:color="auto"/>
              <w:right w:val="single" w:sz="4" w:space="0" w:color="auto"/>
            </w:tcBorders>
            <w:shd w:val="clear" w:color="auto" w:fill="auto"/>
            <w:noWrap/>
            <w:vAlign w:val="bottom"/>
            <w:hideMark/>
          </w:tcPr>
          <w:p w14:paraId="1FD21AB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75</w:t>
            </w:r>
          </w:p>
        </w:tc>
        <w:tc>
          <w:tcPr>
            <w:tcW w:w="1133" w:type="dxa"/>
            <w:tcBorders>
              <w:top w:val="nil"/>
              <w:left w:val="nil"/>
              <w:bottom w:val="single" w:sz="4" w:space="0" w:color="auto"/>
              <w:right w:val="single" w:sz="4" w:space="0" w:color="auto"/>
            </w:tcBorders>
            <w:shd w:val="clear" w:color="auto" w:fill="auto"/>
            <w:noWrap/>
            <w:vAlign w:val="bottom"/>
            <w:hideMark/>
          </w:tcPr>
          <w:p w14:paraId="5A58950F"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36,88</w:t>
            </w:r>
          </w:p>
        </w:tc>
        <w:tc>
          <w:tcPr>
            <w:tcW w:w="708" w:type="dxa"/>
            <w:tcBorders>
              <w:top w:val="nil"/>
              <w:left w:val="nil"/>
              <w:bottom w:val="single" w:sz="4" w:space="0" w:color="auto"/>
              <w:right w:val="single" w:sz="4" w:space="0" w:color="auto"/>
            </w:tcBorders>
            <w:shd w:val="clear" w:color="auto" w:fill="auto"/>
            <w:noWrap/>
            <w:vAlign w:val="bottom"/>
            <w:hideMark/>
          </w:tcPr>
          <w:p w14:paraId="135B3678"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1133" w:type="dxa"/>
            <w:tcBorders>
              <w:top w:val="nil"/>
              <w:left w:val="nil"/>
              <w:bottom w:val="single" w:sz="4" w:space="0" w:color="auto"/>
              <w:right w:val="single" w:sz="4" w:space="0" w:color="auto"/>
            </w:tcBorders>
            <w:shd w:val="clear" w:color="auto" w:fill="auto"/>
            <w:noWrap/>
            <w:vAlign w:val="bottom"/>
            <w:hideMark/>
          </w:tcPr>
          <w:p w14:paraId="2D456127"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1327" w:type="dxa"/>
            <w:tcBorders>
              <w:top w:val="nil"/>
              <w:left w:val="nil"/>
              <w:bottom w:val="single" w:sz="4" w:space="0" w:color="auto"/>
              <w:right w:val="single" w:sz="4" w:space="0" w:color="auto"/>
            </w:tcBorders>
            <w:shd w:val="clear" w:color="auto" w:fill="auto"/>
            <w:noWrap/>
            <w:vAlign w:val="bottom"/>
            <w:hideMark/>
          </w:tcPr>
          <w:p w14:paraId="59ACDA8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49,88</w:t>
            </w:r>
          </w:p>
        </w:tc>
      </w:tr>
      <w:tr w:rsidR="007E253F" w:rsidRPr="007E253F" w14:paraId="60AC0ABC" w14:textId="77777777" w:rsidTr="009635E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E77C34B"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Total</w:t>
            </w:r>
          </w:p>
        </w:tc>
        <w:tc>
          <w:tcPr>
            <w:tcW w:w="940" w:type="dxa"/>
            <w:tcBorders>
              <w:top w:val="nil"/>
              <w:left w:val="nil"/>
              <w:bottom w:val="single" w:sz="4" w:space="0" w:color="auto"/>
              <w:right w:val="single" w:sz="4" w:space="0" w:color="auto"/>
            </w:tcBorders>
            <w:shd w:val="clear" w:color="auto" w:fill="auto"/>
            <w:noWrap/>
            <w:vAlign w:val="bottom"/>
            <w:hideMark/>
          </w:tcPr>
          <w:p w14:paraId="438BEF49"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5544,9</w:t>
            </w:r>
          </w:p>
        </w:tc>
        <w:tc>
          <w:tcPr>
            <w:tcW w:w="849" w:type="dxa"/>
            <w:tcBorders>
              <w:top w:val="nil"/>
              <w:left w:val="nil"/>
              <w:bottom w:val="single" w:sz="4" w:space="0" w:color="auto"/>
              <w:right w:val="single" w:sz="4" w:space="0" w:color="auto"/>
            </w:tcBorders>
            <w:shd w:val="clear" w:color="auto" w:fill="auto"/>
            <w:noWrap/>
            <w:vAlign w:val="bottom"/>
            <w:hideMark/>
          </w:tcPr>
          <w:p w14:paraId="6A679198"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w:t>
            </w:r>
          </w:p>
        </w:tc>
        <w:tc>
          <w:tcPr>
            <w:tcW w:w="1133" w:type="dxa"/>
            <w:tcBorders>
              <w:top w:val="nil"/>
              <w:left w:val="nil"/>
              <w:bottom w:val="single" w:sz="4" w:space="0" w:color="auto"/>
              <w:right w:val="single" w:sz="4" w:space="0" w:color="auto"/>
            </w:tcBorders>
            <w:shd w:val="clear" w:color="auto" w:fill="auto"/>
            <w:noWrap/>
            <w:vAlign w:val="bottom"/>
            <w:hideMark/>
          </w:tcPr>
          <w:p w14:paraId="22495866"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708" w:type="dxa"/>
            <w:tcBorders>
              <w:top w:val="nil"/>
              <w:left w:val="nil"/>
              <w:bottom w:val="single" w:sz="4" w:space="0" w:color="auto"/>
              <w:right w:val="single" w:sz="4" w:space="0" w:color="auto"/>
            </w:tcBorders>
            <w:shd w:val="clear" w:color="auto" w:fill="auto"/>
            <w:noWrap/>
            <w:vAlign w:val="bottom"/>
            <w:hideMark/>
          </w:tcPr>
          <w:p w14:paraId="72D11545"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1133" w:type="dxa"/>
            <w:tcBorders>
              <w:top w:val="nil"/>
              <w:left w:val="nil"/>
              <w:bottom w:val="single" w:sz="4" w:space="0" w:color="auto"/>
              <w:right w:val="single" w:sz="4" w:space="0" w:color="auto"/>
            </w:tcBorders>
            <w:shd w:val="clear" w:color="auto" w:fill="auto"/>
            <w:noWrap/>
            <w:vAlign w:val="bottom"/>
            <w:hideMark/>
          </w:tcPr>
          <w:p w14:paraId="5A29FE90"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1327" w:type="dxa"/>
            <w:tcBorders>
              <w:top w:val="nil"/>
              <w:left w:val="nil"/>
              <w:bottom w:val="single" w:sz="4" w:space="0" w:color="auto"/>
              <w:right w:val="single" w:sz="4" w:space="0" w:color="auto"/>
            </w:tcBorders>
            <w:shd w:val="clear" w:color="auto" w:fill="auto"/>
            <w:noWrap/>
            <w:vAlign w:val="bottom"/>
            <w:hideMark/>
          </w:tcPr>
          <w:p w14:paraId="1817B5F4" w14:textId="77777777" w:rsidR="007E253F" w:rsidRPr="007E253F" w:rsidRDefault="007E253F" w:rsidP="00A46E7F">
            <w:pPr>
              <w:spacing w:after="0" w:line="240" w:lineRule="auto"/>
              <w:jc w:val="center"/>
              <w:rPr>
                <w:rFonts w:eastAsia="Times New Roman" w:cs="Times New Roman"/>
                <w:color w:val="000000"/>
                <w:szCs w:val="24"/>
                <w:lang w:eastAsia="es-EC"/>
              </w:rPr>
            </w:pPr>
          </w:p>
        </w:tc>
      </w:tr>
    </w:tbl>
    <w:p w14:paraId="72AEBD3A" w14:textId="43CF601C" w:rsidR="007E253F" w:rsidRPr="007E253F" w:rsidRDefault="007E253F" w:rsidP="00A46E7F">
      <w:pPr>
        <w:autoSpaceDE w:val="0"/>
        <w:autoSpaceDN w:val="0"/>
        <w:adjustRightInd w:val="0"/>
        <w:spacing w:before="360" w:after="360" w:line="360" w:lineRule="auto"/>
        <w:rPr>
          <w:rFonts w:cs="Times New Roman"/>
          <w:bCs/>
          <w:szCs w:val="24"/>
        </w:rPr>
      </w:pPr>
      <w:r w:rsidRPr="007E253F">
        <w:rPr>
          <w:rFonts w:cs="Times New Roman"/>
          <w:bCs/>
          <w:szCs w:val="24"/>
        </w:rPr>
        <w:t>El modelo estadístico establecido explicó el 50,12% de la variación observada en los datos; el fósforo considera una variación del 7,85%, el nitrógeno nutriente con más importancia que explica el 11,84% de la variación observada. Un 49,88% de la variación se les atribuyó a efectos aleatorios que el modelo no pudo explicar (error). El potasio explicó el 18,23% de a</w:t>
      </w:r>
      <w:r w:rsidR="005F2CA6">
        <w:rPr>
          <w:rFonts w:cs="Times New Roman"/>
          <w:bCs/>
          <w:szCs w:val="24"/>
        </w:rPr>
        <w:t>b</w:t>
      </w:r>
      <w:r w:rsidRPr="007E253F">
        <w:rPr>
          <w:rFonts w:cs="Times New Roman"/>
          <w:bCs/>
          <w:szCs w:val="24"/>
        </w:rPr>
        <w:t xml:space="preserve">sorción total de fósforo, respectivamente. El resto de nutrientes y la interacción explicaron menos del 5% de la </w:t>
      </w:r>
      <w:r w:rsidRPr="007E253F">
        <w:rPr>
          <w:rFonts w:cs="Times New Roman"/>
          <w:szCs w:val="24"/>
        </w:rPr>
        <w:t>absorción total de fósforo</w:t>
      </w:r>
      <w:r w:rsidRPr="007E253F">
        <w:rPr>
          <w:rFonts w:cs="Times New Roman"/>
          <w:bCs/>
          <w:szCs w:val="24"/>
        </w:rPr>
        <w:t xml:space="preserve"> (</w:t>
      </w:r>
      <w:r w:rsidR="0072752C">
        <w:rPr>
          <w:rFonts w:cs="Times New Roman"/>
          <w:bCs/>
          <w:szCs w:val="24"/>
        </w:rPr>
        <w:t>Cuadro</w:t>
      </w:r>
      <w:r w:rsidR="00A05F3F">
        <w:rPr>
          <w:rFonts w:cs="Times New Roman"/>
          <w:bCs/>
          <w:szCs w:val="24"/>
        </w:rPr>
        <w:t xml:space="preserve"> </w:t>
      </w:r>
      <w:r w:rsidRPr="007E253F">
        <w:rPr>
          <w:rFonts w:cs="Times New Roman"/>
          <w:bCs/>
          <w:szCs w:val="24"/>
        </w:rPr>
        <w:t xml:space="preserve">30).  </w:t>
      </w:r>
    </w:p>
    <w:p w14:paraId="0B1F51ED" w14:textId="77777777" w:rsidR="00A46E7F" w:rsidRDefault="007E253F" w:rsidP="00A46E7F">
      <w:pPr>
        <w:autoSpaceDE w:val="0"/>
        <w:autoSpaceDN w:val="0"/>
        <w:adjustRightInd w:val="0"/>
        <w:spacing w:before="360" w:after="360" w:line="360" w:lineRule="auto"/>
        <w:rPr>
          <w:rFonts w:cs="Times New Roman"/>
          <w:bCs/>
          <w:szCs w:val="24"/>
        </w:rPr>
      </w:pPr>
      <w:r w:rsidRPr="007E253F">
        <w:rPr>
          <w:rFonts w:cs="Times New Roman"/>
          <w:bCs/>
          <w:szCs w:val="24"/>
        </w:rPr>
        <w:t xml:space="preserve">En </w:t>
      </w:r>
      <w:r w:rsidR="00A05F3F">
        <w:rPr>
          <w:rFonts w:cs="Times New Roman"/>
          <w:bCs/>
          <w:szCs w:val="24"/>
        </w:rPr>
        <w:t>l</w:t>
      </w:r>
      <w:r w:rsidR="0072752C">
        <w:rPr>
          <w:rFonts w:cs="Times New Roman"/>
          <w:bCs/>
          <w:szCs w:val="24"/>
        </w:rPr>
        <w:t>os cuadros</w:t>
      </w:r>
      <w:r w:rsidR="00A05F3F">
        <w:rPr>
          <w:rFonts w:cs="Times New Roman"/>
          <w:bCs/>
          <w:szCs w:val="24"/>
        </w:rPr>
        <w:t xml:space="preserve"> </w:t>
      </w:r>
      <w:r w:rsidRPr="007E253F">
        <w:rPr>
          <w:rFonts w:cs="Times New Roman"/>
          <w:bCs/>
          <w:szCs w:val="24"/>
        </w:rPr>
        <w:t>31, 32, 33, 34, 35y 36 se presentan los promedios y el error estándar de a</w:t>
      </w:r>
      <w:r w:rsidR="005F2CA6">
        <w:rPr>
          <w:rFonts w:cs="Times New Roman"/>
          <w:bCs/>
          <w:szCs w:val="24"/>
        </w:rPr>
        <w:t>b</w:t>
      </w:r>
      <w:r w:rsidRPr="007E253F">
        <w:rPr>
          <w:rFonts w:cs="Times New Roman"/>
          <w:bCs/>
          <w:szCs w:val="24"/>
        </w:rPr>
        <w:t>sorción de fósforo por efecto de las localidades (cantón) y los niveles de nitrógeno, fósforo, potasio, azufre, magnesio con su respectiva pru</w:t>
      </w:r>
      <w:r w:rsidR="009635E7">
        <w:rPr>
          <w:rFonts w:cs="Times New Roman"/>
          <w:bCs/>
          <w:szCs w:val="24"/>
        </w:rPr>
        <w:t xml:space="preserve">eba de Lsd Fisher (alfa=0,05). </w:t>
      </w:r>
      <w:bookmarkStart w:id="1397" w:name="_Toc79314023"/>
    </w:p>
    <w:p w14:paraId="0D9270EE" w14:textId="2178491D" w:rsidR="009635E7" w:rsidRPr="00A46E7F" w:rsidRDefault="009635E7" w:rsidP="00A46E7F">
      <w:pPr>
        <w:autoSpaceDE w:val="0"/>
        <w:autoSpaceDN w:val="0"/>
        <w:adjustRightInd w:val="0"/>
        <w:spacing w:before="360" w:after="120" w:line="360" w:lineRule="auto"/>
        <w:rPr>
          <w:rFonts w:cs="Times New Roman"/>
          <w:bCs/>
          <w:szCs w:val="24"/>
        </w:rPr>
      </w:pPr>
      <w:r w:rsidRPr="009635E7">
        <w:rPr>
          <w:rFonts w:cs="Times New Roman"/>
          <w:b/>
          <w:bCs/>
          <w:szCs w:val="24"/>
        </w:rPr>
        <w:t xml:space="preserve">Cuadro </w:t>
      </w:r>
      <w:r w:rsidRPr="009635E7">
        <w:rPr>
          <w:rFonts w:cs="Times New Roman"/>
          <w:b/>
          <w:bCs/>
          <w:i/>
          <w:iCs/>
          <w:szCs w:val="24"/>
        </w:rPr>
        <w:fldChar w:fldCharType="begin"/>
      </w:r>
      <w:r w:rsidRPr="009635E7">
        <w:rPr>
          <w:rFonts w:cs="Times New Roman"/>
          <w:b/>
          <w:bCs/>
          <w:szCs w:val="24"/>
        </w:rPr>
        <w:instrText xml:space="preserve"> SEQ Cuadro \* ARABIC </w:instrText>
      </w:r>
      <w:r w:rsidRPr="009635E7">
        <w:rPr>
          <w:rFonts w:cs="Times New Roman"/>
          <w:b/>
          <w:bCs/>
          <w:i/>
          <w:iCs/>
          <w:szCs w:val="24"/>
        </w:rPr>
        <w:fldChar w:fldCharType="separate"/>
      </w:r>
      <w:r w:rsidR="000D1F55">
        <w:rPr>
          <w:rFonts w:cs="Times New Roman"/>
          <w:b/>
          <w:bCs/>
          <w:noProof/>
          <w:szCs w:val="24"/>
        </w:rPr>
        <w:t>31</w:t>
      </w:r>
      <w:r w:rsidRPr="009635E7">
        <w:rPr>
          <w:rFonts w:cs="Times New Roman"/>
          <w:b/>
          <w:bCs/>
          <w:i/>
          <w:iCs/>
          <w:szCs w:val="24"/>
        </w:rPr>
        <w:fldChar w:fldCharType="end"/>
      </w:r>
      <w:r w:rsidRPr="009635E7">
        <w:rPr>
          <w:rFonts w:cs="Times New Roman"/>
          <w:b/>
          <w:bCs/>
          <w:szCs w:val="24"/>
        </w:rPr>
        <w:t>.</w:t>
      </w:r>
      <w:r w:rsidRPr="009635E7">
        <w:rPr>
          <w:rFonts w:cs="Times New Roman"/>
          <w:bCs/>
          <w:szCs w:val="24"/>
        </w:rPr>
        <w:t xml:space="preserve"> Absorción total de fósforo, evaluado por localidades (cantón) en la provincia de Bolívar del 2006 al 2011.</w:t>
      </w:r>
      <w:bookmarkEnd w:id="1397"/>
    </w:p>
    <w:tbl>
      <w:tblPr>
        <w:tblW w:w="4736" w:type="pct"/>
        <w:jc w:val="center"/>
        <w:tblCellMar>
          <w:left w:w="70" w:type="dxa"/>
          <w:right w:w="70" w:type="dxa"/>
        </w:tblCellMar>
        <w:tblLook w:val="04A0" w:firstRow="1" w:lastRow="0" w:firstColumn="1" w:lastColumn="0" w:noHBand="0" w:noVBand="1"/>
      </w:tblPr>
      <w:tblGrid>
        <w:gridCol w:w="1450"/>
        <w:gridCol w:w="887"/>
        <w:gridCol w:w="491"/>
        <w:gridCol w:w="2269"/>
        <w:gridCol w:w="595"/>
        <w:gridCol w:w="966"/>
        <w:gridCol w:w="850"/>
      </w:tblGrid>
      <w:tr w:rsidR="007E253F" w:rsidRPr="007E253F" w14:paraId="113D9DFC" w14:textId="77777777" w:rsidTr="00A46E7F">
        <w:trPr>
          <w:trHeight w:val="300"/>
          <w:jc w:val="center"/>
        </w:trPr>
        <w:tc>
          <w:tcPr>
            <w:tcW w:w="9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4D461"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Cantón</w:t>
            </w:r>
          </w:p>
        </w:tc>
        <w:tc>
          <w:tcPr>
            <w:tcW w:w="591" w:type="pct"/>
            <w:tcBorders>
              <w:top w:val="single" w:sz="4" w:space="0" w:color="auto"/>
              <w:left w:val="nil"/>
              <w:bottom w:val="single" w:sz="4" w:space="0" w:color="auto"/>
              <w:right w:val="single" w:sz="4" w:space="0" w:color="auto"/>
            </w:tcBorders>
            <w:shd w:val="clear" w:color="auto" w:fill="auto"/>
            <w:noWrap/>
            <w:vAlign w:val="bottom"/>
            <w:hideMark/>
          </w:tcPr>
          <w:p w14:paraId="71D45671"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14:paraId="7A0518A5"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511" w:type="pct"/>
            <w:tcBorders>
              <w:top w:val="single" w:sz="4" w:space="0" w:color="auto"/>
              <w:left w:val="nil"/>
              <w:bottom w:val="single" w:sz="4" w:space="0" w:color="auto"/>
              <w:right w:val="single" w:sz="4" w:space="0" w:color="auto"/>
            </w:tcBorders>
            <w:shd w:val="clear" w:color="auto" w:fill="auto"/>
            <w:noWrap/>
            <w:vAlign w:val="bottom"/>
            <w:hideMark/>
          </w:tcPr>
          <w:p w14:paraId="308F6BDA" w14:textId="77777777" w:rsidR="007E253F" w:rsidRPr="007E253F" w:rsidRDefault="007E253F" w:rsidP="00A46E7F">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606" w:type="pct"/>
            <w:gridSpan w:val="3"/>
            <w:tcBorders>
              <w:top w:val="single" w:sz="4" w:space="0" w:color="auto"/>
              <w:left w:val="nil"/>
              <w:bottom w:val="single" w:sz="4" w:space="0" w:color="auto"/>
              <w:right w:val="single" w:sz="4" w:space="0" w:color="auto"/>
            </w:tcBorders>
            <w:shd w:val="clear" w:color="auto" w:fill="auto"/>
            <w:noWrap/>
            <w:vAlign w:val="bottom"/>
            <w:hideMark/>
          </w:tcPr>
          <w:p w14:paraId="0929520E"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b/>
                <w:bCs/>
                <w:color w:val="000000"/>
                <w:szCs w:val="24"/>
                <w:lang w:eastAsia="es-EC"/>
              </w:rPr>
              <w:t>Lsd 0,05</w:t>
            </w:r>
          </w:p>
        </w:tc>
      </w:tr>
      <w:tr w:rsidR="007E253F" w:rsidRPr="007E253F" w14:paraId="70CCD30B" w14:textId="77777777" w:rsidTr="00A46E7F">
        <w:trPr>
          <w:trHeight w:val="300"/>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14:paraId="03E2772F"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Chillanes</w:t>
            </w:r>
          </w:p>
        </w:tc>
        <w:tc>
          <w:tcPr>
            <w:tcW w:w="591" w:type="pct"/>
            <w:tcBorders>
              <w:top w:val="nil"/>
              <w:left w:val="nil"/>
              <w:bottom w:val="single" w:sz="4" w:space="0" w:color="auto"/>
              <w:right w:val="single" w:sz="4" w:space="0" w:color="auto"/>
            </w:tcBorders>
            <w:shd w:val="clear" w:color="auto" w:fill="auto"/>
            <w:noWrap/>
            <w:vAlign w:val="bottom"/>
            <w:hideMark/>
          </w:tcPr>
          <w:p w14:paraId="2203071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14,77</w:t>
            </w:r>
          </w:p>
        </w:tc>
        <w:tc>
          <w:tcPr>
            <w:tcW w:w="327" w:type="pct"/>
            <w:tcBorders>
              <w:top w:val="nil"/>
              <w:left w:val="nil"/>
              <w:bottom w:val="single" w:sz="4" w:space="0" w:color="auto"/>
              <w:right w:val="single" w:sz="4" w:space="0" w:color="auto"/>
            </w:tcBorders>
            <w:shd w:val="clear" w:color="auto" w:fill="auto"/>
            <w:noWrap/>
            <w:vAlign w:val="bottom"/>
            <w:hideMark/>
          </w:tcPr>
          <w:p w14:paraId="6934B07C"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w:t>
            </w:r>
          </w:p>
        </w:tc>
        <w:tc>
          <w:tcPr>
            <w:tcW w:w="1511" w:type="pct"/>
            <w:tcBorders>
              <w:top w:val="nil"/>
              <w:left w:val="nil"/>
              <w:bottom w:val="single" w:sz="4" w:space="0" w:color="auto"/>
              <w:right w:val="single" w:sz="4" w:space="0" w:color="auto"/>
            </w:tcBorders>
            <w:shd w:val="clear" w:color="auto" w:fill="auto"/>
            <w:noWrap/>
            <w:vAlign w:val="bottom"/>
            <w:hideMark/>
          </w:tcPr>
          <w:p w14:paraId="256373CB"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1,26</w:t>
            </w:r>
          </w:p>
        </w:tc>
        <w:tc>
          <w:tcPr>
            <w:tcW w:w="396" w:type="pct"/>
            <w:tcBorders>
              <w:top w:val="nil"/>
              <w:left w:val="nil"/>
              <w:bottom w:val="single" w:sz="4" w:space="0" w:color="auto"/>
              <w:right w:val="single" w:sz="4" w:space="0" w:color="auto"/>
            </w:tcBorders>
            <w:shd w:val="clear" w:color="auto" w:fill="auto"/>
            <w:noWrap/>
            <w:vAlign w:val="bottom"/>
            <w:hideMark/>
          </w:tcPr>
          <w:p w14:paraId="735DF80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643" w:type="pct"/>
            <w:tcBorders>
              <w:top w:val="nil"/>
              <w:left w:val="nil"/>
              <w:bottom w:val="single" w:sz="4" w:space="0" w:color="auto"/>
              <w:right w:val="single" w:sz="4" w:space="0" w:color="auto"/>
            </w:tcBorders>
            <w:shd w:val="clear" w:color="auto" w:fill="auto"/>
            <w:noWrap/>
            <w:vAlign w:val="bottom"/>
            <w:hideMark/>
          </w:tcPr>
          <w:p w14:paraId="77020B99"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567" w:type="pct"/>
            <w:tcBorders>
              <w:top w:val="nil"/>
              <w:left w:val="nil"/>
              <w:bottom w:val="single" w:sz="4" w:space="0" w:color="auto"/>
              <w:right w:val="single" w:sz="4" w:space="0" w:color="auto"/>
            </w:tcBorders>
            <w:shd w:val="clear" w:color="auto" w:fill="auto"/>
            <w:noWrap/>
            <w:vAlign w:val="bottom"/>
            <w:hideMark/>
          </w:tcPr>
          <w:p w14:paraId="2483D69C" w14:textId="77777777" w:rsidR="007E253F" w:rsidRPr="007E253F" w:rsidRDefault="007E253F" w:rsidP="00A46E7F">
            <w:pPr>
              <w:spacing w:after="0" w:line="240" w:lineRule="auto"/>
              <w:jc w:val="center"/>
              <w:rPr>
                <w:rFonts w:eastAsia="Times New Roman" w:cs="Times New Roman"/>
                <w:color w:val="000000"/>
                <w:szCs w:val="24"/>
                <w:lang w:eastAsia="es-EC"/>
              </w:rPr>
            </w:pPr>
          </w:p>
        </w:tc>
      </w:tr>
      <w:tr w:rsidR="007E253F" w:rsidRPr="007E253F" w14:paraId="3C4B871D" w14:textId="77777777" w:rsidTr="00A46E7F">
        <w:trPr>
          <w:trHeight w:val="300"/>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14:paraId="7CC94BEC"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San Miguel</w:t>
            </w:r>
          </w:p>
        </w:tc>
        <w:tc>
          <w:tcPr>
            <w:tcW w:w="591" w:type="pct"/>
            <w:tcBorders>
              <w:top w:val="nil"/>
              <w:left w:val="nil"/>
              <w:bottom w:val="single" w:sz="4" w:space="0" w:color="auto"/>
              <w:right w:val="single" w:sz="4" w:space="0" w:color="auto"/>
            </w:tcBorders>
            <w:shd w:val="clear" w:color="auto" w:fill="auto"/>
            <w:noWrap/>
            <w:vAlign w:val="bottom"/>
            <w:hideMark/>
          </w:tcPr>
          <w:p w14:paraId="5172918C"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15,43</w:t>
            </w:r>
          </w:p>
        </w:tc>
        <w:tc>
          <w:tcPr>
            <w:tcW w:w="327" w:type="pct"/>
            <w:tcBorders>
              <w:top w:val="nil"/>
              <w:left w:val="nil"/>
              <w:bottom w:val="single" w:sz="4" w:space="0" w:color="auto"/>
              <w:right w:val="single" w:sz="4" w:space="0" w:color="auto"/>
            </w:tcBorders>
            <w:shd w:val="clear" w:color="auto" w:fill="auto"/>
            <w:noWrap/>
            <w:vAlign w:val="bottom"/>
            <w:hideMark/>
          </w:tcPr>
          <w:p w14:paraId="33468898"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1511" w:type="pct"/>
            <w:tcBorders>
              <w:top w:val="nil"/>
              <w:left w:val="nil"/>
              <w:bottom w:val="single" w:sz="4" w:space="0" w:color="auto"/>
              <w:right w:val="single" w:sz="4" w:space="0" w:color="auto"/>
            </w:tcBorders>
            <w:shd w:val="clear" w:color="auto" w:fill="auto"/>
            <w:noWrap/>
            <w:vAlign w:val="bottom"/>
            <w:hideMark/>
          </w:tcPr>
          <w:p w14:paraId="33F2F5C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1,56</w:t>
            </w:r>
          </w:p>
        </w:tc>
        <w:tc>
          <w:tcPr>
            <w:tcW w:w="396" w:type="pct"/>
            <w:tcBorders>
              <w:top w:val="nil"/>
              <w:left w:val="nil"/>
              <w:bottom w:val="single" w:sz="4" w:space="0" w:color="auto"/>
              <w:right w:val="single" w:sz="4" w:space="0" w:color="auto"/>
            </w:tcBorders>
            <w:shd w:val="clear" w:color="auto" w:fill="auto"/>
            <w:noWrap/>
            <w:vAlign w:val="bottom"/>
            <w:hideMark/>
          </w:tcPr>
          <w:p w14:paraId="0ACC975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643" w:type="pct"/>
            <w:tcBorders>
              <w:top w:val="nil"/>
              <w:left w:val="nil"/>
              <w:bottom w:val="single" w:sz="4" w:space="0" w:color="auto"/>
              <w:right w:val="single" w:sz="4" w:space="0" w:color="auto"/>
            </w:tcBorders>
            <w:shd w:val="clear" w:color="auto" w:fill="auto"/>
            <w:noWrap/>
            <w:vAlign w:val="bottom"/>
            <w:hideMark/>
          </w:tcPr>
          <w:p w14:paraId="65D76EC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567" w:type="pct"/>
            <w:tcBorders>
              <w:top w:val="nil"/>
              <w:left w:val="nil"/>
              <w:bottom w:val="single" w:sz="4" w:space="0" w:color="auto"/>
              <w:right w:val="single" w:sz="4" w:space="0" w:color="auto"/>
            </w:tcBorders>
            <w:shd w:val="clear" w:color="auto" w:fill="auto"/>
            <w:noWrap/>
            <w:vAlign w:val="bottom"/>
            <w:hideMark/>
          </w:tcPr>
          <w:p w14:paraId="14C09CC9" w14:textId="77777777" w:rsidR="007E253F" w:rsidRPr="007E253F" w:rsidRDefault="007E253F" w:rsidP="00A46E7F">
            <w:pPr>
              <w:spacing w:after="0" w:line="240" w:lineRule="auto"/>
              <w:jc w:val="center"/>
              <w:rPr>
                <w:rFonts w:eastAsia="Times New Roman" w:cs="Times New Roman"/>
                <w:color w:val="000000"/>
                <w:szCs w:val="24"/>
                <w:lang w:eastAsia="es-EC"/>
              </w:rPr>
            </w:pPr>
          </w:p>
        </w:tc>
      </w:tr>
      <w:tr w:rsidR="007E253F" w:rsidRPr="007E253F" w14:paraId="5922B50B" w14:textId="77777777" w:rsidTr="00A46E7F">
        <w:trPr>
          <w:trHeight w:val="300"/>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14:paraId="388B30F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Guaranda</w:t>
            </w:r>
          </w:p>
        </w:tc>
        <w:tc>
          <w:tcPr>
            <w:tcW w:w="591" w:type="pct"/>
            <w:tcBorders>
              <w:top w:val="nil"/>
              <w:left w:val="nil"/>
              <w:bottom w:val="single" w:sz="4" w:space="0" w:color="auto"/>
              <w:right w:val="single" w:sz="4" w:space="0" w:color="auto"/>
            </w:tcBorders>
            <w:shd w:val="clear" w:color="auto" w:fill="auto"/>
            <w:noWrap/>
            <w:vAlign w:val="bottom"/>
            <w:hideMark/>
          </w:tcPr>
          <w:p w14:paraId="4EE13304"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19,3</w:t>
            </w:r>
          </w:p>
        </w:tc>
        <w:tc>
          <w:tcPr>
            <w:tcW w:w="327" w:type="pct"/>
            <w:tcBorders>
              <w:top w:val="nil"/>
              <w:left w:val="nil"/>
              <w:bottom w:val="single" w:sz="4" w:space="0" w:color="auto"/>
              <w:right w:val="single" w:sz="4" w:space="0" w:color="auto"/>
            </w:tcBorders>
            <w:shd w:val="clear" w:color="auto" w:fill="auto"/>
            <w:noWrap/>
            <w:vAlign w:val="bottom"/>
            <w:hideMark/>
          </w:tcPr>
          <w:p w14:paraId="306EF366"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511" w:type="pct"/>
            <w:tcBorders>
              <w:top w:val="nil"/>
              <w:left w:val="nil"/>
              <w:bottom w:val="single" w:sz="4" w:space="0" w:color="auto"/>
              <w:right w:val="single" w:sz="4" w:space="0" w:color="auto"/>
            </w:tcBorders>
            <w:shd w:val="clear" w:color="auto" w:fill="auto"/>
            <w:noWrap/>
            <w:vAlign w:val="bottom"/>
            <w:hideMark/>
          </w:tcPr>
          <w:p w14:paraId="2B7C6CD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1,69</w:t>
            </w:r>
          </w:p>
        </w:tc>
        <w:tc>
          <w:tcPr>
            <w:tcW w:w="396" w:type="pct"/>
            <w:tcBorders>
              <w:top w:val="nil"/>
              <w:left w:val="nil"/>
              <w:bottom w:val="single" w:sz="4" w:space="0" w:color="auto"/>
              <w:right w:val="single" w:sz="4" w:space="0" w:color="auto"/>
            </w:tcBorders>
            <w:shd w:val="clear" w:color="auto" w:fill="auto"/>
            <w:noWrap/>
            <w:vAlign w:val="bottom"/>
            <w:hideMark/>
          </w:tcPr>
          <w:p w14:paraId="5F6762D1"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643" w:type="pct"/>
            <w:tcBorders>
              <w:top w:val="nil"/>
              <w:left w:val="nil"/>
              <w:bottom w:val="single" w:sz="4" w:space="0" w:color="auto"/>
              <w:right w:val="single" w:sz="4" w:space="0" w:color="auto"/>
            </w:tcBorders>
            <w:shd w:val="clear" w:color="auto" w:fill="auto"/>
            <w:noWrap/>
            <w:vAlign w:val="bottom"/>
            <w:hideMark/>
          </w:tcPr>
          <w:p w14:paraId="1C46E46A"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567" w:type="pct"/>
            <w:tcBorders>
              <w:top w:val="nil"/>
              <w:left w:val="nil"/>
              <w:bottom w:val="single" w:sz="4" w:space="0" w:color="auto"/>
              <w:right w:val="single" w:sz="4" w:space="0" w:color="auto"/>
            </w:tcBorders>
            <w:shd w:val="clear" w:color="auto" w:fill="auto"/>
            <w:noWrap/>
            <w:vAlign w:val="bottom"/>
            <w:hideMark/>
          </w:tcPr>
          <w:p w14:paraId="66B56CFB"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r w:rsidR="007E253F" w:rsidRPr="007E253F" w14:paraId="503F2009" w14:textId="77777777" w:rsidTr="00A46E7F">
        <w:trPr>
          <w:trHeight w:val="300"/>
          <w:jc w:val="center"/>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14:paraId="23885B5D"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Chimbo</w:t>
            </w:r>
          </w:p>
        </w:tc>
        <w:tc>
          <w:tcPr>
            <w:tcW w:w="591" w:type="pct"/>
            <w:tcBorders>
              <w:top w:val="nil"/>
              <w:left w:val="nil"/>
              <w:bottom w:val="single" w:sz="4" w:space="0" w:color="auto"/>
              <w:right w:val="single" w:sz="4" w:space="0" w:color="auto"/>
            </w:tcBorders>
            <w:shd w:val="clear" w:color="auto" w:fill="auto"/>
            <w:noWrap/>
            <w:vAlign w:val="bottom"/>
            <w:hideMark/>
          </w:tcPr>
          <w:p w14:paraId="4125B5A2"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19,42</w:t>
            </w:r>
          </w:p>
        </w:tc>
        <w:tc>
          <w:tcPr>
            <w:tcW w:w="327" w:type="pct"/>
            <w:tcBorders>
              <w:top w:val="nil"/>
              <w:left w:val="nil"/>
              <w:bottom w:val="single" w:sz="4" w:space="0" w:color="auto"/>
              <w:right w:val="single" w:sz="4" w:space="0" w:color="auto"/>
            </w:tcBorders>
            <w:shd w:val="clear" w:color="auto" w:fill="auto"/>
            <w:noWrap/>
            <w:vAlign w:val="bottom"/>
            <w:hideMark/>
          </w:tcPr>
          <w:p w14:paraId="5EB5E031"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w:t>
            </w:r>
          </w:p>
        </w:tc>
        <w:tc>
          <w:tcPr>
            <w:tcW w:w="1511" w:type="pct"/>
            <w:tcBorders>
              <w:top w:val="nil"/>
              <w:left w:val="nil"/>
              <w:bottom w:val="single" w:sz="4" w:space="0" w:color="auto"/>
              <w:right w:val="single" w:sz="4" w:space="0" w:color="auto"/>
            </w:tcBorders>
            <w:shd w:val="clear" w:color="auto" w:fill="auto"/>
            <w:noWrap/>
            <w:vAlign w:val="bottom"/>
            <w:hideMark/>
          </w:tcPr>
          <w:p w14:paraId="02669790"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1,48</w:t>
            </w:r>
          </w:p>
        </w:tc>
        <w:tc>
          <w:tcPr>
            <w:tcW w:w="396" w:type="pct"/>
            <w:tcBorders>
              <w:top w:val="nil"/>
              <w:left w:val="nil"/>
              <w:bottom w:val="single" w:sz="4" w:space="0" w:color="auto"/>
              <w:right w:val="single" w:sz="4" w:space="0" w:color="auto"/>
            </w:tcBorders>
            <w:shd w:val="clear" w:color="auto" w:fill="auto"/>
            <w:noWrap/>
            <w:vAlign w:val="bottom"/>
            <w:hideMark/>
          </w:tcPr>
          <w:p w14:paraId="34D12809"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643" w:type="pct"/>
            <w:tcBorders>
              <w:top w:val="nil"/>
              <w:left w:val="nil"/>
              <w:bottom w:val="single" w:sz="4" w:space="0" w:color="auto"/>
              <w:right w:val="single" w:sz="4" w:space="0" w:color="auto"/>
            </w:tcBorders>
            <w:shd w:val="clear" w:color="auto" w:fill="auto"/>
            <w:noWrap/>
            <w:vAlign w:val="bottom"/>
            <w:hideMark/>
          </w:tcPr>
          <w:p w14:paraId="56F9A801" w14:textId="77777777" w:rsidR="007E253F" w:rsidRPr="007E253F" w:rsidRDefault="007E253F" w:rsidP="00A46E7F">
            <w:pPr>
              <w:spacing w:after="0" w:line="240" w:lineRule="auto"/>
              <w:jc w:val="center"/>
              <w:rPr>
                <w:rFonts w:eastAsia="Times New Roman" w:cs="Times New Roman"/>
                <w:color w:val="000000"/>
                <w:szCs w:val="24"/>
                <w:lang w:eastAsia="es-EC"/>
              </w:rPr>
            </w:pPr>
          </w:p>
        </w:tc>
        <w:tc>
          <w:tcPr>
            <w:tcW w:w="567" w:type="pct"/>
            <w:tcBorders>
              <w:top w:val="nil"/>
              <w:left w:val="nil"/>
              <w:bottom w:val="single" w:sz="4" w:space="0" w:color="auto"/>
              <w:right w:val="single" w:sz="4" w:space="0" w:color="auto"/>
            </w:tcBorders>
            <w:shd w:val="clear" w:color="auto" w:fill="auto"/>
            <w:noWrap/>
            <w:vAlign w:val="bottom"/>
            <w:hideMark/>
          </w:tcPr>
          <w:p w14:paraId="42AF0AD3" w14:textId="77777777" w:rsidR="007E253F" w:rsidRPr="007E253F" w:rsidRDefault="007E253F" w:rsidP="00A46E7F">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084BFBB7" w14:textId="107D7542" w:rsidR="007E253F" w:rsidRPr="00A46E7F" w:rsidRDefault="007E253F" w:rsidP="00A46E7F">
      <w:pPr>
        <w:pStyle w:val="Sinespaciado"/>
        <w:rPr>
          <w:rFonts w:ascii="Times New Roman" w:hAnsi="Times New Roman" w:cs="Times New Roman"/>
          <w:sz w:val="24"/>
          <w:szCs w:val="24"/>
        </w:rPr>
      </w:pPr>
      <w:r w:rsidRPr="00A46E7F">
        <w:rPr>
          <w:rFonts w:ascii="Times New Roman" w:hAnsi="Times New Roman" w:cs="Times New Roman"/>
          <w:sz w:val="24"/>
          <w:szCs w:val="24"/>
        </w:rPr>
        <w:t>Medias con una letra común no son significativamente diferentes (p &gt; 0,05)</w:t>
      </w:r>
      <w:r w:rsidR="00FA6594" w:rsidRPr="00A46E7F">
        <w:rPr>
          <w:rFonts w:ascii="Times New Roman" w:hAnsi="Times New Roman" w:cs="Times New Roman"/>
          <w:sz w:val="24"/>
          <w:szCs w:val="24"/>
        </w:rPr>
        <w:t>.</w:t>
      </w:r>
    </w:p>
    <w:p w14:paraId="6A432E93" w14:textId="77777777" w:rsidR="000E7387" w:rsidRDefault="00402A83" w:rsidP="000E7387">
      <w:pPr>
        <w:autoSpaceDE w:val="0"/>
        <w:autoSpaceDN w:val="0"/>
        <w:adjustRightInd w:val="0"/>
        <w:spacing w:before="360" w:after="360" w:line="360" w:lineRule="auto"/>
        <w:rPr>
          <w:rFonts w:cs="Times New Roman"/>
          <w:bCs/>
          <w:szCs w:val="24"/>
        </w:rPr>
      </w:pPr>
      <w:r>
        <w:rPr>
          <w:rFonts w:cs="Times New Roman"/>
          <w:szCs w:val="24"/>
        </w:rPr>
        <w:lastRenderedPageBreak/>
        <w:t>Con</w:t>
      </w:r>
      <w:r w:rsidR="007E253F" w:rsidRPr="007E253F">
        <w:rPr>
          <w:rFonts w:cs="Times New Roman"/>
          <w:szCs w:val="24"/>
        </w:rPr>
        <w:t xml:space="preserve"> la evaluación estadística se determin</w:t>
      </w:r>
      <w:r>
        <w:rPr>
          <w:rFonts w:cs="Times New Roman"/>
          <w:szCs w:val="24"/>
        </w:rPr>
        <w:t xml:space="preserve">ó </w:t>
      </w:r>
      <w:r w:rsidR="007E253F" w:rsidRPr="007E253F">
        <w:rPr>
          <w:rFonts w:cs="Times New Roman"/>
          <w:szCs w:val="24"/>
        </w:rPr>
        <w:t xml:space="preserve">que el cantón con mayor significancia estadística para la absorción total de fósforo fue Chimbo con un </w:t>
      </w:r>
      <w:bookmarkStart w:id="1398" w:name="_Hlk69438131"/>
      <w:r w:rsidR="007E253F" w:rsidRPr="007E253F">
        <w:rPr>
          <w:rFonts w:cs="Times New Roman"/>
          <w:szCs w:val="24"/>
        </w:rPr>
        <w:t>19,42 Kg/ha</w:t>
      </w:r>
      <w:r w:rsidR="007E253F" w:rsidRPr="007E253F">
        <w:rPr>
          <w:rFonts w:cs="Times New Roman"/>
          <w:szCs w:val="24"/>
          <w:vertAlign w:val="superscript"/>
        </w:rPr>
        <w:t xml:space="preserve">-1 </w:t>
      </w:r>
      <w:r w:rsidR="007E253F" w:rsidRPr="007E253F">
        <w:rPr>
          <w:rFonts w:cs="Times New Roman"/>
          <w:szCs w:val="24"/>
        </w:rPr>
        <w:t>seguido por Guaranda con un 19,3 Kg/ha</w:t>
      </w:r>
      <w:r w:rsidR="007E253F" w:rsidRPr="007E253F">
        <w:rPr>
          <w:rFonts w:cs="Times New Roman"/>
          <w:szCs w:val="24"/>
          <w:vertAlign w:val="superscript"/>
        </w:rPr>
        <w:t>-1</w:t>
      </w:r>
      <w:r w:rsidR="007E253F" w:rsidRPr="007E253F">
        <w:rPr>
          <w:rFonts w:cs="Times New Roman"/>
          <w:szCs w:val="24"/>
        </w:rPr>
        <w:t xml:space="preserve"> </w:t>
      </w:r>
      <w:bookmarkEnd w:id="1398"/>
      <w:r w:rsidR="007E253F" w:rsidRPr="007E253F">
        <w:rPr>
          <w:rFonts w:cs="Times New Roman"/>
          <w:szCs w:val="24"/>
        </w:rPr>
        <w:t>de promedios más altos absorción de fósforo.</w:t>
      </w:r>
      <w:r w:rsidR="007E253F" w:rsidRPr="007E253F">
        <w:rPr>
          <w:rFonts w:cs="Times New Roman"/>
          <w:szCs w:val="24"/>
          <w:vertAlign w:val="superscript"/>
        </w:rPr>
        <w:t xml:space="preserve"> </w:t>
      </w:r>
      <w:r w:rsidR="007E253F" w:rsidRPr="007E253F">
        <w:rPr>
          <w:rFonts w:cs="Times New Roman"/>
          <w:szCs w:val="24"/>
        </w:rPr>
        <w:t>El promedio inferior se evaluó en la localidad de San Miguel con 15,43 Kg/ha</w:t>
      </w:r>
      <w:r w:rsidR="007E253F" w:rsidRPr="007E253F">
        <w:rPr>
          <w:rFonts w:cs="Times New Roman"/>
          <w:szCs w:val="24"/>
          <w:vertAlign w:val="superscript"/>
        </w:rPr>
        <w:t xml:space="preserve">-1 </w:t>
      </w:r>
      <w:r w:rsidR="007E253F" w:rsidRPr="007E253F">
        <w:rPr>
          <w:rFonts w:cs="Times New Roman"/>
          <w:szCs w:val="24"/>
        </w:rPr>
        <w:t>y Chillanes   con un 14,77 3 Kg/ha</w:t>
      </w:r>
      <w:r w:rsidR="007E253F" w:rsidRPr="007E253F">
        <w:rPr>
          <w:rFonts w:cs="Times New Roman"/>
          <w:szCs w:val="24"/>
          <w:vertAlign w:val="superscript"/>
        </w:rPr>
        <w:t>-1</w:t>
      </w:r>
      <w:r w:rsidR="007E253F" w:rsidRPr="007E253F">
        <w:rPr>
          <w:rFonts w:cs="Times New Roman"/>
          <w:szCs w:val="24"/>
        </w:rPr>
        <w:t xml:space="preserve"> en</w:t>
      </w:r>
      <w:r w:rsidR="007E253F" w:rsidRPr="007E253F">
        <w:rPr>
          <w:rFonts w:cs="Times New Roman"/>
          <w:bCs/>
          <w:szCs w:val="24"/>
        </w:rPr>
        <w:t xml:space="preserve"> cuanto es estadísticamente fueron diferente, según Lsd Fisher al 5% (</w:t>
      </w:r>
      <w:r w:rsidR="00404A09">
        <w:rPr>
          <w:rFonts w:cs="Times New Roman"/>
          <w:bCs/>
          <w:szCs w:val="24"/>
        </w:rPr>
        <w:t>Cuadro</w:t>
      </w:r>
      <w:r w:rsidR="00A05F3F">
        <w:rPr>
          <w:rFonts w:cs="Times New Roman"/>
          <w:bCs/>
          <w:szCs w:val="24"/>
        </w:rPr>
        <w:t xml:space="preserve"> </w:t>
      </w:r>
      <w:r w:rsidR="007E253F" w:rsidRPr="007E253F">
        <w:rPr>
          <w:rFonts w:cs="Times New Roman"/>
          <w:bCs/>
          <w:szCs w:val="24"/>
        </w:rPr>
        <w:t>32).</w:t>
      </w:r>
      <w:bookmarkStart w:id="1399" w:name="_Toc79314024"/>
    </w:p>
    <w:p w14:paraId="2A07E8C0" w14:textId="4D7E0EE6" w:rsidR="009635E7" w:rsidRPr="000E7387" w:rsidRDefault="009635E7" w:rsidP="000E7387">
      <w:pPr>
        <w:autoSpaceDE w:val="0"/>
        <w:autoSpaceDN w:val="0"/>
        <w:adjustRightInd w:val="0"/>
        <w:spacing w:before="360" w:after="120" w:line="360" w:lineRule="auto"/>
        <w:rPr>
          <w:rFonts w:cs="Times New Roman"/>
          <w:bCs/>
          <w:szCs w:val="24"/>
        </w:rPr>
      </w:pPr>
      <w:r w:rsidRPr="009635E7">
        <w:rPr>
          <w:rFonts w:cs="Times New Roman"/>
          <w:b/>
          <w:bCs/>
          <w:szCs w:val="24"/>
        </w:rPr>
        <w:t xml:space="preserve">Cuadro </w:t>
      </w:r>
      <w:r w:rsidRPr="009635E7">
        <w:rPr>
          <w:rFonts w:cs="Times New Roman"/>
          <w:b/>
          <w:bCs/>
          <w:i/>
          <w:iCs/>
          <w:szCs w:val="24"/>
        </w:rPr>
        <w:fldChar w:fldCharType="begin"/>
      </w:r>
      <w:r w:rsidRPr="009635E7">
        <w:rPr>
          <w:rFonts w:cs="Times New Roman"/>
          <w:b/>
          <w:bCs/>
          <w:szCs w:val="24"/>
        </w:rPr>
        <w:instrText xml:space="preserve"> SEQ Cuadro \* ARABIC </w:instrText>
      </w:r>
      <w:r w:rsidRPr="009635E7">
        <w:rPr>
          <w:rFonts w:cs="Times New Roman"/>
          <w:b/>
          <w:bCs/>
          <w:i/>
          <w:iCs/>
          <w:szCs w:val="24"/>
        </w:rPr>
        <w:fldChar w:fldCharType="separate"/>
      </w:r>
      <w:r w:rsidR="000D1F55">
        <w:rPr>
          <w:rFonts w:cs="Times New Roman"/>
          <w:b/>
          <w:bCs/>
          <w:noProof/>
          <w:szCs w:val="24"/>
        </w:rPr>
        <w:t>32</w:t>
      </w:r>
      <w:r w:rsidRPr="009635E7">
        <w:rPr>
          <w:rFonts w:cs="Times New Roman"/>
          <w:b/>
          <w:bCs/>
          <w:i/>
          <w:iCs/>
          <w:szCs w:val="24"/>
        </w:rPr>
        <w:fldChar w:fldCharType="end"/>
      </w:r>
      <w:r w:rsidRPr="009635E7">
        <w:rPr>
          <w:rFonts w:cs="Times New Roman"/>
          <w:b/>
          <w:bCs/>
          <w:szCs w:val="24"/>
        </w:rPr>
        <w:t>.</w:t>
      </w:r>
      <w:r w:rsidRPr="009635E7">
        <w:rPr>
          <w:rFonts w:cs="Times New Roman"/>
          <w:bCs/>
          <w:szCs w:val="24"/>
        </w:rPr>
        <w:t xml:space="preserve"> Absorción total de fósforo para diversas dosis de nitrógeno evaluadas en la provincia de Bolívar del 2006 al 2011.</w:t>
      </w:r>
      <w:bookmarkEnd w:id="1399"/>
    </w:p>
    <w:tbl>
      <w:tblPr>
        <w:tblW w:w="8217" w:type="dxa"/>
        <w:tblCellMar>
          <w:left w:w="70" w:type="dxa"/>
          <w:right w:w="70" w:type="dxa"/>
        </w:tblCellMar>
        <w:tblLook w:val="04A0" w:firstRow="1" w:lastRow="0" w:firstColumn="1" w:lastColumn="0" w:noHBand="0" w:noVBand="1"/>
      </w:tblPr>
      <w:tblGrid>
        <w:gridCol w:w="1980"/>
        <w:gridCol w:w="887"/>
        <w:gridCol w:w="672"/>
        <w:gridCol w:w="1728"/>
        <w:gridCol w:w="965"/>
        <w:gridCol w:w="993"/>
        <w:gridCol w:w="992"/>
      </w:tblGrid>
      <w:tr w:rsidR="000E7387" w:rsidRPr="007E253F" w14:paraId="1885D3E6" w14:textId="77777777" w:rsidTr="000E738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3821" w14:textId="77777777" w:rsidR="000E7387" w:rsidRPr="007E253F" w:rsidRDefault="000E7387"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N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26C00A94" w14:textId="77777777" w:rsidR="000E7387" w:rsidRPr="007E253F" w:rsidRDefault="000E7387"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30629946" w14:textId="77777777" w:rsidR="000E7387" w:rsidRPr="007E253F" w:rsidRDefault="000E7387"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519ECD2C" w14:textId="77777777" w:rsidR="000E7387" w:rsidRPr="007E253F" w:rsidRDefault="000E7387"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29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6BCCD" w14:textId="746E5F6E" w:rsidR="000E7387" w:rsidRPr="007E253F" w:rsidRDefault="000E7387" w:rsidP="000E7387">
            <w:pPr>
              <w:spacing w:after="0" w:line="240" w:lineRule="auto"/>
              <w:jc w:val="center"/>
              <w:rPr>
                <w:rFonts w:eastAsia="Times New Roman" w:cs="Times New Roman"/>
                <w:color w:val="000000"/>
                <w:szCs w:val="24"/>
                <w:lang w:eastAsia="es-EC"/>
              </w:rPr>
            </w:pPr>
            <w:r w:rsidRPr="007E253F">
              <w:rPr>
                <w:rFonts w:eastAsia="Times New Roman" w:cs="Times New Roman"/>
                <w:b/>
                <w:bCs/>
                <w:color w:val="000000"/>
                <w:szCs w:val="24"/>
                <w:lang w:eastAsia="es-EC"/>
              </w:rPr>
              <w:t>Lsd 0,05</w:t>
            </w:r>
          </w:p>
        </w:tc>
      </w:tr>
      <w:tr w:rsidR="007E253F" w:rsidRPr="007E253F" w14:paraId="13D20615"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1EE6B5"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7985AAE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12,28</w:t>
            </w:r>
          </w:p>
        </w:tc>
        <w:tc>
          <w:tcPr>
            <w:tcW w:w="672" w:type="dxa"/>
            <w:tcBorders>
              <w:top w:val="nil"/>
              <w:left w:val="nil"/>
              <w:bottom w:val="single" w:sz="4" w:space="0" w:color="auto"/>
              <w:right w:val="single" w:sz="4" w:space="0" w:color="auto"/>
            </w:tcBorders>
            <w:shd w:val="clear" w:color="auto" w:fill="auto"/>
            <w:noWrap/>
            <w:vAlign w:val="bottom"/>
            <w:hideMark/>
          </w:tcPr>
          <w:p w14:paraId="17F986FB"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w:t>
            </w:r>
          </w:p>
        </w:tc>
        <w:tc>
          <w:tcPr>
            <w:tcW w:w="1728" w:type="dxa"/>
            <w:tcBorders>
              <w:top w:val="nil"/>
              <w:left w:val="nil"/>
              <w:bottom w:val="single" w:sz="4" w:space="0" w:color="auto"/>
              <w:right w:val="single" w:sz="4" w:space="0" w:color="auto"/>
            </w:tcBorders>
            <w:shd w:val="clear" w:color="auto" w:fill="auto"/>
            <w:noWrap/>
            <w:vAlign w:val="bottom"/>
            <w:hideMark/>
          </w:tcPr>
          <w:p w14:paraId="5ABC0DCB"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1,77</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7B6A10F0"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F18D27B"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64F85EF" w14:textId="77777777" w:rsidR="007E253F" w:rsidRPr="007E253F" w:rsidRDefault="007E253F" w:rsidP="000E7387">
            <w:pPr>
              <w:spacing w:after="0" w:line="240" w:lineRule="auto"/>
              <w:jc w:val="center"/>
              <w:rPr>
                <w:rFonts w:eastAsia="Times New Roman" w:cs="Times New Roman"/>
                <w:color w:val="000000"/>
                <w:szCs w:val="24"/>
                <w:lang w:eastAsia="es-EC"/>
              </w:rPr>
            </w:pPr>
          </w:p>
        </w:tc>
      </w:tr>
      <w:tr w:rsidR="007E253F" w:rsidRPr="007E253F" w14:paraId="669AA062"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B400873"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shd w:val="clear" w:color="auto" w:fill="auto"/>
            <w:noWrap/>
            <w:vAlign w:val="bottom"/>
            <w:hideMark/>
          </w:tcPr>
          <w:p w14:paraId="62912627"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17,4</w:t>
            </w:r>
          </w:p>
        </w:tc>
        <w:tc>
          <w:tcPr>
            <w:tcW w:w="672" w:type="dxa"/>
            <w:tcBorders>
              <w:top w:val="nil"/>
              <w:left w:val="nil"/>
              <w:bottom w:val="single" w:sz="4" w:space="0" w:color="auto"/>
              <w:right w:val="single" w:sz="4" w:space="0" w:color="auto"/>
            </w:tcBorders>
            <w:shd w:val="clear" w:color="auto" w:fill="auto"/>
            <w:noWrap/>
            <w:vAlign w:val="bottom"/>
            <w:hideMark/>
          </w:tcPr>
          <w:p w14:paraId="7571821A"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32</w:t>
            </w:r>
          </w:p>
        </w:tc>
        <w:tc>
          <w:tcPr>
            <w:tcW w:w="1728" w:type="dxa"/>
            <w:tcBorders>
              <w:top w:val="nil"/>
              <w:left w:val="nil"/>
              <w:bottom w:val="single" w:sz="4" w:space="0" w:color="auto"/>
              <w:right w:val="single" w:sz="4" w:space="0" w:color="auto"/>
            </w:tcBorders>
            <w:shd w:val="clear" w:color="auto" w:fill="auto"/>
            <w:noWrap/>
            <w:vAlign w:val="bottom"/>
            <w:hideMark/>
          </w:tcPr>
          <w:p w14:paraId="1E991AC8"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1,24</w:t>
            </w:r>
          </w:p>
        </w:tc>
        <w:tc>
          <w:tcPr>
            <w:tcW w:w="965" w:type="dxa"/>
            <w:tcBorders>
              <w:top w:val="nil"/>
              <w:left w:val="nil"/>
              <w:bottom w:val="single" w:sz="4" w:space="0" w:color="auto"/>
              <w:right w:val="single" w:sz="4" w:space="0" w:color="auto"/>
            </w:tcBorders>
            <w:shd w:val="clear" w:color="auto" w:fill="auto"/>
            <w:noWrap/>
            <w:vAlign w:val="bottom"/>
            <w:hideMark/>
          </w:tcPr>
          <w:p w14:paraId="72A51D88"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3" w:type="dxa"/>
            <w:tcBorders>
              <w:top w:val="nil"/>
              <w:left w:val="nil"/>
              <w:bottom w:val="single" w:sz="4" w:space="0" w:color="auto"/>
              <w:right w:val="single" w:sz="4" w:space="0" w:color="auto"/>
            </w:tcBorders>
            <w:shd w:val="clear" w:color="auto" w:fill="auto"/>
            <w:noWrap/>
            <w:vAlign w:val="bottom"/>
            <w:hideMark/>
          </w:tcPr>
          <w:p w14:paraId="436AD10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992" w:type="dxa"/>
            <w:tcBorders>
              <w:top w:val="nil"/>
              <w:left w:val="nil"/>
              <w:bottom w:val="single" w:sz="4" w:space="0" w:color="auto"/>
              <w:right w:val="single" w:sz="4" w:space="0" w:color="auto"/>
            </w:tcBorders>
            <w:shd w:val="clear" w:color="auto" w:fill="auto"/>
            <w:noWrap/>
            <w:vAlign w:val="bottom"/>
            <w:hideMark/>
          </w:tcPr>
          <w:p w14:paraId="73E30097" w14:textId="77777777" w:rsidR="007E253F" w:rsidRPr="007E253F" w:rsidRDefault="007E253F" w:rsidP="000E7387">
            <w:pPr>
              <w:spacing w:after="0" w:line="240" w:lineRule="auto"/>
              <w:jc w:val="center"/>
              <w:rPr>
                <w:rFonts w:eastAsia="Times New Roman" w:cs="Times New Roman"/>
                <w:color w:val="000000"/>
                <w:szCs w:val="24"/>
                <w:lang w:eastAsia="es-EC"/>
              </w:rPr>
            </w:pPr>
          </w:p>
        </w:tc>
      </w:tr>
      <w:tr w:rsidR="007E253F" w:rsidRPr="007E253F" w14:paraId="6587666A"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07AF6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shd w:val="clear" w:color="auto" w:fill="auto"/>
            <w:noWrap/>
            <w:vAlign w:val="bottom"/>
            <w:hideMark/>
          </w:tcPr>
          <w:p w14:paraId="22E21B6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19,04</w:t>
            </w:r>
          </w:p>
        </w:tc>
        <w:tc>
          <w:tcPr>
            <w:tcW w:w="672" w:type="dxa"/>
            <w:tcBorders>
              <w:top w:val="nil"/>
              <w:left w:val="nil"/>
              <w:bottom w:val="single" w:sz="4" w:space="0" w:color="auto"/>
              <w:right w:val="single" w:sz="4" w:space="0" w:color="auto"/>
            </w:tcBorders>
            <w:shd w:val="clear" w:color="auto" w:fill="auto"/>
            <w:noWrap/>
            <w:vAlign w:val="bottom"/>
            <w:hideMark/>
          </w:tcPr>
          <w:p w14:paraId="57411AD9"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728" w:type="dxa"/>
            <w:tcBorders>
              <w:top w:val="nil"/>
              <w:left w:val="nil"/>
              <w:bottom w:val="single" w:sz="4" w:space="0" w:color="auto"/>
              <w:right w:val="single" w:sz="4" w:space="0" w:color="auto"/>
            </w:tcBorders>
            <w:shd w:val="clear" w:color="auto" w:fill="auto"/>
            <w:noWrap/>
            <w:vAlign w:val="bottom"/>
            <w:hideMark/>
          </w:tcPr>
          <w:p w14:paraId="77AFE307"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2,72</w:t>
            </w:r>
          </w:p>
        </w:tc>
        <w:tc>
          <w:tcPr>
            <w:tcW w:w="965" w:type="dxa"/>
            <w:tcBorders>
              <w:top w:val="nil"/>
              <w:left w:val="nil"/>
              <w:bottom w:val="single" w:sz="4" w:space="0" w:color="auto"/>
              <w:right w:val="single" w:sz="4" w:space="0" w:color="auto"/>
            </w:tcBorders>
            <w:shd w:val="clear" w:color="auto" w:fill="auto"/>
            <w:noWrap/>
            <w:vAlign w:val="bottom"/>
            <w:hideMark/>
          </w:tcPr>
          <w:p w14:paraId="31A56879"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3" w:type="dxa"/>
            <w:tcBorders>
              <w:top w:val="nil"/>
              <w:left w:val="nil"/>
              <w:bottom w:val="single" w:sz="4" w:space="0" w:color="auto"/>
              <w:right w:val="single" w:sz="4" w:space="0" w:color="auto"/>
            </w:tcBorders>
            <w:shd w:val="clear" w:color="auto" w:fill="auto"/>
            <w:noWrap/>
            <w:vAlign w:val="bottom"/>
            <w:hideMark/>
          </w:tcPr>
          <w:p w14:paraId="31A5B73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992" w:type="dxa"/>
            <w:tcBorders>
              <w:top w:val="nil"/>
              <w:left w:val="nil"/>
              <w:bottom w:val="single" w:sz="4" w:space="0" w:color="auto"/>
              <w:right w:val="single" w:sz="4" w:space="0" w:color="auto"/>
            </w:tcBorders>
            <w:shd w:val="clear" w:color="auto" w:fill="auto"/>
            <w:noWrap/>
            <w:vAlign w:val="bottom"/>
            <w:hideMark/>
          </w:tcPr>
          <w:p w14:paraId="3D72508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r w:rsidR="007E253F" w:rsidRPr="007E253F" w14:paraId="6A714B9C"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670CC8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140</w:t>
            </w:r>
          </w:p>
        </w:tc>
        <w:tc>
          <w:tcPr>
            <w:tcW w:w="887" w:type="dxa"/>
            <w:tcBorders>
              <w:top w:val="nil"/>
              <w:left w:val="nil"/>
              <w:bottom w:val="single" w:sz="4" w:space="0" w:color="auto"/>
              <w:right w:val="single" w:sz="4" w:space="0" w:color="auto"/>
            </w:tcBorders>
            <w:shd w:val="clear" w:color="auto" w:fill="auto"/>
            <w:noWrap/>
            <w:vAlign w:val="bottom"/>
            <w:hideMark/>
          </w:tcPr>
          <w:p w14:paraId="0062E64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20,84</w:t>
            </w:r>
          </w:p>
        </w:tc>
        <w:tc>
          <w:tcPr>
            <w:tcW w:w="672" w:type="dxa"/>
            <w:tcBorders>
              <w:top w:val="nil"/>
              <w:left w:val="nil"/>
              <w:bottom w:val="single" w:sz="4" w:space="0" w:color="auto"/>
              <w:right w:val="single" w:sz="4" w:space="0" w:color="auto"/>
            </w:tcBorders>
            <w:shd w:val="clear" w:color="auto" w:fill="auto"/>
            <w:noWrap/>
            <w:vAlign w:val="bottom"/>
            <w:hideMark/>
          </w:tcPr>
          <w:p w14:paraId="6D282094"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w:t>
            </w:r>
          </w:p>
        </w:tc>
        <w:tc>
          <w:tcPr>
            <w:tcW w:w="1728" w:type="dxa"/>
            <w:tcBorders>
              <w:top w:val="nil"/>
              <w:left w:val="nil"/>
              <w:bottom w:val="single" w:sz="4" w:space="0" w:color="auto"/>
              <w:right w:val="single" w:sz="4" w:space="0" w:color="auto"/>
            </w:tcBorders>
            <w:shd w:val="clear" w:color="auto" w:fill="auto"/>
            <w:noWrap/>
            <w:vAlign w:val="bottom"/>
            <w:hideMark/>
          </w:tcPr>
          <w:p w14:paraId="3776CD39"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1,21</w:t>
            </w:r>
          </w:p>
        </w:tc>
        <w:tc>
          <w:tcPr>
            <w:tcW w:w="965" w:type="dxa"/>
            <w:tcBorders>
              <w:top w:val="nil"/>
              <w:left w:val="nil"/>
              <w:bottom w:val="single" w:sz="4" w:space="0" w:color="auto"/>
              <w:right w:val="single" w:sz="4" w:space="0" w:color="auto"/>
            </w:tcBorders>
            <w:shd w:val="clear" w:color="auto" w:fill="auto"/>
            <w:noWrap/>
            <w:vAlign w:val="bottom"/>
            <w:hideMark/>
          </w:tcPr>
          <w:p w14:paraId="63ABC485"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3" w:type="dxa"/>
            <w:tcBorders>
              <w:top w:val="nil"/>
              <w:left w:val="nil"/>
              <w:bottom w:val="single" w:sz="4" w:space="0" w:color="auto"/>
              <w:right w:val="single" w:sz="4" w:space="0" w:color="auto"/>
            </w:tcBorders>
            <w:shd w:val="clear" w:color="auto" w:fill="auto"/>
            <w:noWrap/>
            <w:vAlign w:val="bottom"/>
            <w:hideMark/>
          </w:tcPr>
          <w:p w14:paraId="4F9F00BA"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21EBB45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569C3728" w14:textId="77777777" w:rsidR="000E7387" w:rsidRDefault="007E253F" w:rsidP="000E7387">
      <w:pPr>
        <w:autoSpaceDE w:val="0"/>
        <w:autoSpaceDN w:val="0"/>
        <w:adjustRightInd w:val="0"/>
        <w:spacing w:after="0" w:line="360" w:lineRule="auto"/>
        <w:rPr>
          <w:rFonts w:cs="Times New Roman"/>
          <w:szCs w:val="24"/>
        </w:rPr>
      </w:pPr>
      <w:r w:rsidRPr="007E253F">
        <w:rPr>
          <w:rFonts w:cs="Times New Roman"/>
          <w:szCs w:val="24"/>
        </w:rPr>
        <w:t>Medias con una letra común no son significa</w:t>
      </w:r>
      <w:r w:rsidR="009635E7">
        <w:rPr>
          <w:rFonts w:cs="Times New Roman"/>
          <w:szCs w:val="24"/>
        </w:rPr>
        <w:t>tivamente diferentes (p &gt; 0,05)</w:t>
      </w:r>
      <w:bookmarkStart w:id="1400" w:name="_Toc79314025"/>
    </w:p>
    <w:p w14:paraId="1D647EF6" w14:textId="4577310D" w:rsidR="009635E7" w:rsidRPr="000E7387" w:rsidRDefault="009635E7" w:rsidP="000E7387">
      <w:pPr>
        <w:autoSpaceDE w:val="0"/>
        <w:autoSpaceDN w:val="0"/>
        <w:adjustRightInd w:val="0"/>
        <w:spacing w:before="360" w:after="0" w:line="360" w:lineRule="auto"/>
        <w:rPr>
          <w:rFonts w:cs="Times New Roman"/>
          <w:szCs w:val="24"/>
        </w:rPr>
      </w:pPr>
      <w:r w:rsidRPr="009635E7">
        <w:rPr>
          <w:rFonts w:cs="Times New Roman"/>
          <w:b/>
          <w:szCs w:val="24"/>
        </w:rPr>
        <w:t xml:space="preserve">Cuadro </w:t>
      </w:r>
      <w:r w:rsidRPr="009635E7">
        <w:rPr>
          <w:rFonts w:cs="Times New Roman"/>
          <w:b/>
          <w:i/>
          <w:iCs/>
          <w:szCs w:val="24"/>
        </w:rPr>
        <w:fldChar w:fldCharType="begin"/>
      </w:r>
      <w:r w:rsidRPr="009635E7">
        <w:rPr>
          <w:rFonts w:cs="Times New Roman"/>
          <w:b/>
          <w:szCs w:val="24"/>
        </w:rPr>
        <w:instrText xml:space="preserve"> SEQ Cuadro \* ARABIC </w:instrText>
      </w:r>
      <w:r w:rsidRPr="009635E7">
        <w:rPr>
          <w:rFonts w:cs="Times New Roman"/>
          <w:b/>
          <w:i/>
          <w:iCs/>
          <w:szCs w:val="24"/>
        </w:rPr>
        <w:fldChar w:fldCharType="separate"/>
      </w:r>
      <w:r w:rsidR="000D1F55">
        <w:rPr>
          <w:rFonts w:cs="Times New Roman"/>
          <w:b/>
          <w:noProof/>
          <w:szCs w:val="24"/>
        </w:rPr>
        <w:t>33</w:t>
      </w:r>
      <w:r w:rsidRPr="009635E7">
        <w:rPr>
          <w:rFonts w:cs="Times New Roman"/>
          <w:b/>
          <w:i/>
          <w:iCs/>
          <w:szCs w:val="24"/>
        </w:rPr>
        <w:fldChar w:fldCharType="end"/>
      </w:r>
      <w:r w:rsidRPr="009635E7">
        <w:rPr>
          <w:rFonts w:cs="Times New Roman"/>
          <w:b/>
          <w:szCs w:val="24"/>
        </w:rPr>
        <w:t>.</w:t>
      </w:r>
      <w:r w:rsidRPr="009635E7">
        <w:rPr>
          <w:rFonts w:cs="Times New Roman"/>
          <w:szCs w:val="24"/>
        </w:rPr>
        <w:t xml:space="preserve"> Absorción total de fósforo para diversas dosis de fósforo evaluadas en la provincia de Bolívar del 2006 al 2011.</w:t>
      </w:r>
      <w:bookmarkEnd w:id="1400"/>
    </w:p>
    <w:tbl>
      <w:tblPr>
        <w:tblW w:w="7667" w:type="dxa"/>
        <w:tblCellMar>
          <w:left w:w="70" w:type="dxa"/>
          <w:right w:w="70" w:type="dxa"/>
        </w:tblCellMar>
        <w:tblLook w:val="04A0" w:firstRow="1" w:lastRow="0" w:firstColumn="1" w:lastColumn="0" w:noHBand="0" w:noVBand="1"/>
      </w:tblPr>
      <w:tblGrid>
        <w:gridCol w:w="1980"/>
        <w:gridCol w:w="887"/>
        <w:gridCol w:w="672"/>
        <w:gridCol w:w="1728"/>
        <w:gridCol w:w="1200"/>
        <w:gridCol w:w="1200"/>
      </w:tblGrid>
      <w:tr w:rsidR="007E253F" w:rsidRPr="007E253F" w14:paraId="4D68E93E" w14:textId="77777777" w:rsidTr="009635E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3DB3F"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P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B8EED35"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152EE4B2"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43083D5B"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tcBorders>
            <w:shd w:val="clear" w:color="auto" w:fill="auto"/>
            <w:noWrap/>
            <w:vAlign w:val="bottom"/>
            <w:hideMark/>
          </w:tcPr>
          <w:p w14:paraId="2E26AAD8" w14:textId="77777777" w:rsidR="007E253F" w:rsidRPr="007E253F" w:rsidRDefault="007E253F" w:rsidP="00313B1A">
            <w:pPr>
              <w:spacing w:after="0" w:line="240" w:lineRule="auto"/>
              <w:jc w:val="right"/>
              <w:rPr>
                <w:rFonts w:eastAsia="Times New Roman" w:cs="Times New Roman"/>
                <w:b/>
                <w:bCs/>
                <w:color w:val="000000"/>
                <w:szCs w:val="24"/>
                <w:lang w:eastAsia="es-EC"/>
              </w:rPr>
            </w:pPr>
            <w:r w:rsidRPr="007E253F">
              <w:rPr>
                <w:rFonts w:eastAsia="Times New Roman" w:cs="Times New Roman"/>
                <w:b/>
                <w:bCs/>
                <w:color w:val="000000"/>
                <w:szCs w:val="24"/>
                <w:lang w:eastAsia="es-EC"/>
              </w:rPr>
              <w:t>Lsd</w:t>
            </w:r>
          </w:p>
        </w:tc>
        <w:tc>
          <w:tcPr>
            <w:tcW w:w="1200" w:type="dxa"/>
            <w:tcBorders>
              <w:top w:val="single" w:sz="4" w:space="0" w:color="auto"/>
              <w:bottom w:val="single" w:sz="4" w:space="0" w:color="auto"/>
              <w:right w:val="single" w:sz="4" w:space="0" w:color="auto"/>
            </w:tcBorders>
            <w:shd w:val="clear" w:color="auto" w:fill="auto"/>
            <w:noWrap/>
            <w:vAlign w:val="bottom"/>
            <w:hideMark/>
          </w:tcPr>
          <w:p w14:paraId="1C74F1B2" w14:textId="77777777" w:rsidR="007E253F" w:rsidRPr="007E253F" w:rsidRDefault="007E253F" w:rsidP="00313B1A">
            <w:pPr>
              <w:spacing w:after="0" w:line="240" w:lineRule="auto"/>
              <w:rPr>
                <w:rFonts w:eastAsia="Times New Roman" w:cs="Times New Roman"/>
                <w:b/>
                <w:bCs/>
                <w:color w:val="000000"/>
                <w:szCs w:val="24"/>
                <w:lang w:eastAsia="es-EC"/>
              </w:rPr>
            </w:pPr>
            <w:r w:rsidRPr="007E253F">
              <w:rPr>
                <w:rFonts w:eastAsia="Times New Roman" w:cs="Times New Roman"/>
                <w:b/>
                <w:bCs/>
                <w:color w:val="000000"/>
                <w:szCs w:val="24"/>
                <w:lang w:eastAsia="es-EC"/>
              </w:rPr>
              <w:t>0,05</w:t>
            </w:r>
          </w:p>
        </w:tc>
      </w:tr>
      <w:tr w:rsidR="007E253F" w:rsidRPr="007E253F" w14:paraId="2B8A9D5C" w14:textId="77777777" w:rsidTr="009635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CC8D679"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shd w:val="clear" w:color="auto" w:fill="auto"/>
            <w:noWrap/>
            <w:vAlign w:val="bottom"/>
            <w:hideMark/>
          </w:tcPr>
          <w:p w14:paraId="4FD8CFD3"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14,48</w:t>
            </w:r>
          </w:p>
        </w:tc>
        <w:tc>
          <w:tcPr>
            <w:tcW w:w="672" w:type="dxa"/>
            <w:tcBorders>
              <w:top w:val="nil"/>
              <w:left w:val="nil"/>
              <w:bottom w:val="single" w:sz="4" w:space="0" w:color="auto"/>
              <w:right w:val="single" w:sz="4" w:space="0" w:color="auto"/>
            </w:tcBorders>
            <w:shd w:val="clear" w:color="auto" w:fill="auto"/>
            <w:noWrap/>
            <w:vAlign w:val="bottom"/>
            <w:hideMark/>
          </w:tcPr>
          <w:p w14:paraId="4BA9B2C2"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shd w:val="clear" w:color="auto" w:fill="auto"/>
            <w:noWrap/>
            <w:vAlign w:val="bottom"/>
            <w:hideMark/>
          </w:tcPr>
          <w:p w14:paraId="483BA5E7"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3585833"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3C68BA" w14:textId="77777777" w:rsidR="007E253F" w:rsidRPr="007E253F" w:rsidRDefault="007E253F" w:rsidP="00313B1A">
            <w:pPr>
              <w:spacing w:after="0" w:line="240" w:lineRule="auto"/>
              <w:jc w:val="center"/>
              <w:rPr>
                <w:rFonts w:eastAsia="Times New Roman" w:cs="Times New Roman"/>
                <w:color w:val="000000"/>
                <w:szCs w:val="24"/>
                <w:lang w:eastAsia="es-EC"/>
              </w:rPr>
            </w:pPr>
          </w:p>
        </w:tc>
      </w:tr>
      <w:tr w:rsidR="007E253F" w:rsidRPr="007E253F" w14:paraId="1AD4D514" w14:textId="77777777" w:rsidTr="009635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FC39A93"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0E0DF689"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17,38</w:t>
            </w:r>
          </w:p>
        </w:tc>
        <w:tc>
          <w:tcPr>
            <w:tcW w:w="672" w:type="dxa"/>
            <w:tcBorders>
              <w:top w:val="nil"/>
              <w:left w:val="nil"/>
              <w:bottom w:val="single" w:sz="4" w:space="0" w:color="auto"/>
              <w:right w:val="single" w:sz="4" w:space="0" w:color="auto"/>
            </w:tcBorders>
            <w:shd w:val="clear" w:color="auto" w:fill="auto"/>
            <w:noWrap/>
            <w:vAlign w:val="bottom"/>
            <w:hideMark/>
          </w:tcPr>
          <w:p w14:paraId="48B7A66F"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728" w:type="dxa"/>
            <w:tcBorders>
              <w:top w:val="nil"/>
              <w:left w:val="nil"/>
              <w:bottom w:val="single" w:sz="4" w:space="0" w:color="auto"/>
              <w:right w:val="single" w:sz="4" w:space="0" w:color="auto"/>
            </w:tcBorders>
            <w:shd w:val="clear" w:color="auto" w:fill="auto"/>
            <w:noWrap/>
            <w:vAlign w:val="bottom"/>
            <w:hideMark/>
          </w:tcPr>
          <w:p w14:paraId="4878C0CC"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1,79</w:t>
            </w:r>
          </w:p>
        </w:tc>
        <w:tc>
          <w:tcPr>
            <w:tcW w:w="1200" w:type="dxa"/>
            <w:tcBorders>
              <w:top w:val="nil"/>
              <w:left w:val="nil"/>
              <w:bottom w:val="single" w:sz="4" w:space="0" w:color="auto"/>
              <w:right w:val="single" w:sz="4" w:space="0" w:color="auto"/>
            </w:tcBorders>
            <w:shd w:val="clear" w:color="auto" w:fill="auto"/>
            <w:noWrap/>
            <w:vAlign w:val="bottom"/>
            <w:hideMark/>
          </w:tcPr>
          <w:p w14:paraId="5B892F18"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00" w:type="dxa"/>
            <w:tcBorders>
              <w:top w:val="nil"/>
              <w:left w:val="nil"/>
              <w:bottom w:val="single" w:sz="4" w:space="0" w:color="auto"/>
              <w:right w:val="single" w:sz="4" w:space="0" w:color="auto"/>
            </w:tcBorders>
            <w:shd w:val="clear" w:color="auto" w:fill="auto"/>
            <w:noWrap/>
            <w:vAlign w:val="bottom"/>
            <w:hideMark/>
          </w:tcPr>
          <w:p w14:paraId="38E09585" w14:textId="77777777" w:rsidR="007E253F" w:rsidRPr="007E253F" w:rsidRDefault="007E253F" w:rsidP="00313B1A">
            <w:pPr>
              <w:spacing w:after="0" w:line="240" w:lineRule="auto"/>
              <w:jc w:val="center"/>
              <w:rPr>
                <w:rFonts w:eastAsia="Times New Roman" w:cs="Times New Roman"/>
                <w:color w:val="000000"/>
                <w:szCs w:val="24"/>
                <w:lang w:eastAsia="es-EC"/>
              </w:rPr>
            </w:pPr>
          </w:p>
        </w:tc>
      </w:tr>
      <w:tr w:rsidR="007E253F" w:rsidRPr="007E253F" w14:paraId="2F9275AA" w14:textId="77777777" w:rsidTr="009635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1FF17DC"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shd w:val="clear" w:color="auto" w:fill="auto"/>
            <w:noWrap/>
            <w:vAlign w:val="bottom"/>
            <w:hideMark/>
          </w:tcPr>
          <w:p w14:paraId="62434A9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19,04</w:t>
            </w:r>
          </w:p>
        </w:tc>
        <w:tc>
          <w:tcPr>
            <w:tcW w:w="672" w:type="dxa"/>
            <w:tcBorders>
              <w:top w:val="nil"/>
              <w:left w:val="nil"/>
              <w:bottom w:val="single" w:sz="4" w:space="0" w:color="auto"/>
              <w:right w:val="single" w:sz="4" w:space="0" w:color="auto"/>
            </w:tcBorders>
            <w:shd w:val="clear" w:color="auto" w:fill="auto"/>
            <w:noWrap/>
            <w:vAlign w:val="bottom"/>
            <w:hideMark/>
          </w:tcPr>
          <w:p w14:paraId="4A91131D"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728" w:type="dxa"/>
            <w:tcBorders>
              <w:top w:val="nil"/>
              <w:left w:val="nil"/>
              <w:bottom w:val="single" w:sz="4" w:space="0" w:color="auto"/>
              <w:right w:val="single" w:sz="4" w:space="0" w:color="auto"/>
            </w:tcBorders>
            <w:shd w:val="clear" w:color="auto" w:fill="auto"/>
            <w:noWrap/>
            <w:vAlign w:val="bottom"/>
            <w:hideMark/>
          </w:tcPr>
          <w:p w14:paraId="3A972956"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2,72</w:t>
            </w:r>
          </w:p>
        </w:tc>
        <w:tc>
          <w:tcPr>
            <w:tcW w:w="1200" w:type="dxa"/>
            <w:tcBorders>
              <w:top w:val="nil"/>
              <w:left w:val="nil"/>
              <w:bottom w:val="single" w:sz="4" w:space="0" w:color="auto"/>
              <w:right w:val="single" w:sz="4" w:space="0" w:color="auto"/>
            </w:tcBorders>
            <w:shd w:val="clear" w:color="auto" w:fill="auto"/>
            <w:noWrap/>
            <w:vAlign w:val="bottom"/>
            <w:hideMark/>
          </w:tcPr>
          <w:p w14:paraId="54198E00"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00" w:type="dxa"/>
            <w:tcBorders>
              <w:top w:val="nil"/>
              <w:left w:val="nil"/>
              <w:bottom w:val="single" w:sz="4" w:space="0" w:color="auto"/>
              <w:right w:val="single" w:sz="4" w:space="0" w:color="auto"/>
            </w:tcBorders>
            <w:shd w:val="clear" w:color="auto" w:fill="auto"/>
            <w:noWrap/>
            <w:vAlign w:val="bottom"/>
            <w:hideMark/>
          </w:tcPr>
          <w:p w14:paraId="736973F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r w:rsidR="007E253F" w:rsidRPr="007E253F" w14:paraId="1ECCF1E2" w14:textId="77777777" w:rsidTr="009635E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0B8D7BF"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w:t>
            </w:r>
          </w:p>
        </w:tc>
        <w:tc>
          <w:tcPr>
            <w:tcW w:w="887" w:type="dxa"/>
            <w:tcBorders>
              <w:top w:val="nil"/>
              <w:left w:val="nil"/>
              <w:bottom w:val="single" w:sz="4" w:space="0" w:color="auto"/>
              <w:right w:val="single" w:sz="4" w:space="0" w:color="auto"/>
            </w:tcBorders>
            <w:shd w:val="clear" w:color="auto" w:fill="auto"/>
            <w:noWrap/>
            <w:vAlign w:val="bottom"/>
            <w:hideMark/>
          </w:tcPr>
          <w:p w14:paraId="6E397DD2"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21,9</w:t>
            </w:r>
          </w:p>
        </w:tc>
        <w:tc>
          <w:tcPr>
            <w:tcW w:w="672" w:type="dxa"/>
            <w:tcBorders>
              <w:top w:val="nil"/>
              <w:left w:val="nil"/>
              <w:bottom w:val="single" w:sz="4" w:space="0" w:color="auto"/>
              <w:right w:val="single" w:sz="4" w:space="0" w:color="auto"/>
            </w:tcBorders>
            <w:shd w:val="clear" w:color="auto" w:fill="auto"/>
            <w:noWrap/>
            <w:vAlign w:val="bottom"/>
            <w:hideMark/>
          </w:tcPr>
          <w:p w14:paraId="2E9CCD69"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38</w:t>
            </w:r>
          </w:p>
        </w:tc>
        <w:tc>
          <w:tcPr>
            <w:tcW w:w="1728" w:type="dxa"/>
            <w:tcBorders>
              <w:top w:val="nil"/>
              <w:left w:val="nil"/>
              <w:bottom w:val="single" w:sz="4" w:space="0" w:color="auto"/>
              <w:right w:val="single" w:sz="4" w:space="0" w:color="auto"/>
            </w:tcBorders>
            <w:shd w:val="clear" w:color="auto" w:fill="auto"/>
            <w:noWrap/>
            <w:vAlign w:val="bottom"/>
            <w:hideMark/>
          </w:tcPr>
          <w:p w14:paraId="5081132E"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1,33</w:t>
            </w:r>
          </w:p>
        </w:tc>
        <w:tc>
          <w:tcPr>
            <w:tcW w:w="1200" w:type="dxa"/>
            <w:tcBorders>
              <w:top w:val="nil"/>
              <w:left w:val="nil"/>
              <w:bottom w:val="single" w:sz="4" w:space="0" w:color="auto"/>
              <w:right w:val="single" w:sz="4" w:space="0" w:color="auto"/>
            </w:tcBorders>
            <w:shd w:val="clear" w:color="auto" w:fill="auto"/>
            <w:noWrap/>
            <w:vAlign w:val="bottom"/>
            <w:hideMark/>
          </w:tcPr>
          <w:p w14:paraId="02C9A3FB" w14:textId="77777777" w:rsidR="007E253F" w:rsidRPr="007E253F" w:rsidRDefault="007E253F" w:rsidP="00313B1A">
            <w:pPr>
              <w:spacing w:after="0" w:line="240" w:lineRule="auto"/>
              <w:jc w:val="center"/>
              <w:rPr>
                <w:rFonts w:eastAsia="Times New Roman" w:cs="Times New Roman"/>
                <w:color w:val="000000"/>
                <w:szCs w:val="24"/>
                <w:lang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14:paraId="0CA4869D"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bl>
    <w:p w14:paraId="4A36CF05" w14:textId="77777777" w:rsidR="000E7387" w:rsidRDefault="007E253F" w:rsidP="000E7387">
      <w:pPr>
        <w:autoSpaceDE w:val="0"/>
        <w:autoSpaceDN w:val="0"/>
        <w:adjustRightInd w:val="0"/>
        <w:spacing w:after="0" w:line="360" w:lineRule="auto"/>
        <w:rPr>
          <w:rFonts w:cs="Times New Roman"/>
          <w:szCs w:val="24"/>
        </w:rPr>
      </w:pPr>
      <w:r w:rsidRPr="007E253F">
        <w:rPr>
          <w:rFonts w:cs="Times New Roman"/>
          <w:szCs w:val="24"/>
        </w:rPr>
        <w:t>Medias con una letra común no son significativamente dife</w:t>
      </w:r>
      <w:r w:rsidR="009635E7">
        <w:rPr>
          <w:rFonts w:cs="Times New Roman"/>
          <w:szCs w:val="24"/>
        </w:rPr>
        <w:t>rentes (p &gt; 0,05)</w:t>
      </w:r>
      <w:bookmarkStart w:id="1401" w:name="_Toc79314026"/>
    </w:p>
    <w:p w14:paraId="3952B289" w14:textId="21D36BA5" w:rsidR="009635E7" w:rsidRPr="000E7387" w:rsidRDefault="009635E7" w:rsidP="000E7387">
      <w:pPr>
        <w:autoSpaceDE w:val="0"/>
        <w:autoSpaceDN w:val="0"/>
        <w:adjustRightInd w:val="0"/>
        <w:spacing w:before="360" w:after="0" w:line="360" w:lineRule="auto"/>
        <w:rPr>
          <w:rFonts w:cs="Times New Roman"/>
          <w:szCs w:val="24"/>
        </w:rPr>
      </w:pPr>
      <w:r w:rsidRPr="009635E7">
        <w:rPr>
          <w:rFonts w:cs="Times New Roman"/>
          <w:b/>
          <w:szCs w:val="24"/>
        </w:rPr>
        <w:t xml:space="preserve">Cuadro </w:t>
      </w:r>
      <w:r w:rsidRPr="009635E7">
        <w:rPr>
          <w:rFonts w:cs="Times New Roman"/>
          <w:b/>
          <w:i/>
          <w:iCs/>
          <w:szCs w:val="24"/>
        </w:rPr>
        <w:fldChar w:fldCharType="begin"/>
      </w:r>
      <w:r w:rsidRPr="009635E7">
        <w:rPr>
          <w:rFonts w:cs="Times New Roman"/>
          <w:b/>
          <w:szCs w:val="24"/>
        </w:rPr>
        <w:instrText xml:space="preserve"> SEQ Cuadro \* ARABIC </w:instrText>
      </w:r>
      <w:r w:rsidRPr="009635E7">
        <w:rPr>
          <w:rFonts w:cs="Times New Roman"/>
          <w:b/>
          <w:i/>
          <w:iCs/>
          <w:szCs w:val="24"/>
        </w:rPr>
        <w:fldChar w:fldCharType="separate"/>
      </w:r>
      <w:r w:rsidR="000D1F55">
        <w:rPr>
          <w:rFonts w:cs="Times New Roman"/>
          <w:b/>
          <w:noProof/>
          <w:szCs w:val="24"/>
        </w:rPr>
        <w:t>34</w:t>
      </w:r>
      <w:r w:rsidRPr="009635E7">
        <w:rPr>
          <w:rFonts w:cs="Times New Roman"/>
          <w:b/>
          <w:i/>
          <w:iCs/>
          <w:szCs w:val="24"/>
        </w:rPr>
        <w:fldChar w:fldCharType="end"/>
      </w:r>
      <w:r w:rsidRPr="009635E7">
        <w:rPr>
          <w:rFonts w:cs="Times New Roman"/>
          <w:b/>
          <w:szCs w:val="24"/>
        </w:rPr>
        <w:t>.</w:t>
      </w:r>
      <w:r w:rsidRPr="009635E7">
        <w:rPr>
          <w:rFonts w:cs="Times New Roman"/>
          <w:szCs w:val="24"/>
        </w:rPr>
        <w:t xml:space="preserve"> Absorción total de fósforo para diversas dosis de potasio evaluadas en la provincia de Bolívar del 2006 al 2011.</w:t>
      </w:r>
      <w:bookmarkEnd w:id="1401"/>
    </w:p>
    <w:tbl>
      <w:tblPr>
        <w:tblW w:w="7650" w:type="dxa"/>
        <w:tblCellMar>
          <w:left w:w="70" w:type="dxa"/>
          <w:right w:w="70" w:type="dxa"/>
        </w:tblCellMar>
        <w:tblLook w:val="04A0" w:firstRow="1" w:lastRow="0" w:firstColumn="1" w:lastColumn="0" w:noHBand="0" w:noVBand="1"/>
      </w:tblPr>
      <w:tblGrid>
        <w:gridCol w:w="1980"/>
        <w:gridCol w:w="887"/>
        <w:gridCol w:w="672"/>
        <w:gridCol w:w="1728"/>
        <w:gridCol w:w="540"/>
        <w:gridCol w:w="851"/>
        <w:gridCol w:w="992"/>
      </w:tblGrid>
      <w:tr w:rsidR="000E7387" w:rsidRPr="007E253F" w14:paraId="2A683579" w14:textId="77777777" w:rsidTr="000E7387">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C9607" w14:textId="77777777" w:rsidR="000E7387" w:rsidRPr="007E253F" w:rsidRDefault="000E7387"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K(kg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3CB46714" w14:textId="77777777" w:rsidR="000E7387" w:rsidRPr="007E253F" w:rsidRDefault="000E7387"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6FE3509D" w14:textId="77777777" w:rsidR="000E7387" w:rsidRPr="007E253F" w:rsidRDefault="000E7387"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7E989BE1" w14:textId="77777777" w:rsidR="000E7387" w:rsidRPr="007E253F" w:rsidRDefault="000E7387"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23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B8E20" w14:textId="451ECB83" w:rsidR="000E7387" w:rsidRPr="007E253F" w:rsidRDefault="000E7387" w:rsidP="000E7387">
            <w:pPr>
              <w:spacing w:after="0" w:line="240" w:lineRule="auto"/>
              <w:jc w:val="center"/>
              <w:rPr>
                <w:rFonts w:eastAsia="Times New Roman" w:cs="Times New Roman"/>
                <w:color w:val="000000"/>
                <w:szCs w:val="24"/>
                <w:lang w:eastAsia="es-EC"/>
              </w:rPr>
            </w:pPr>
            <w:r w:rsidRPr="007E253F">
              <w:rPr>
                <w:rFonts w:eastAsia="Times New Roman" w:cs="Times New Roman"/>
                <w:b/>
                <w:bCs/>
                <w:color w:val="000000"/>
                <w:szCs w:val="24"/>
                <w:lang w:eastAsia="es-EC"/>
              </w:rPr>
              <w:t>Lsd 0,05</w:t>
            </w:r>
          </w:p>
        </w:tc>
      </w:tr>
      <w:tr w:rsidR="007E253F" w:rsidRPr="007E253F" w14:paraId="3AC86F3C"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D8203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shd w:val="clear" w:color="auto" w:fill="auto"/>
            <w:noWrap/>
            <w:vAlign w:val="bottom"/>
            <w:hideMark/>
          </w:tcPr>
          <w:p w14:paraId="505A010E"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13,32</w:t>
            </w:r>
          </w:p>
        </w:tc>
        <w:tc>
          <w:tcPr>
            <w:tcW w:w="672" w:type="dxa"/>
            <w:tcBorders>
              <w:top w:val="nil"/>
              <w:left w:val="nil"/>
              <w:bottom w:val="single" w:sz="4" w:space="0" w:color="auto"/>
              <w:right w:val="single" w:sz="4" w:space="0" w:color="auto"/>
            </w:tcBorders>
            <w:shd w:val="clear" w:color="auto" w:fill="auto"/>
            <w:noWrap/>
            <w:vAlign w:val="bottom"/>
            <w:hideMark/>
          </w:tcPr>
          <w:p w14:paraId="27E74CC8"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shd w:val="clear" w:color="auto" w:fill="auto"/>
            <w:noWrap/>
            <w:vAlign w:val="bottom"/>
            <w:hideMark/>
          </w:tcPr>
          <w:p w14:paraId="6F794E33"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2,97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BB9E78D"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5F4CACA"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B14748F" w14:textId="77777777" w:rsidR="007E253F" w:rsidRPr="007E253F" w:rsidRDefault="007E253F" w:rsidP="000E7387">
            <w:pPr>
              <w:spacing w:after="0" w:line="240" w:lineRule="auto"/>
              <w:jc w:val="center"/>
              <w:rPr>
                <w:rFonts w:eastAsia="Times New Roman" w:cs="Times New Roman"/>
                <w:color w:val="000000"/>
                <w:szCs w:val="24"/>
                <w:lang w:eastAsia="es-EC"/>
              </w:rPr>
            </w:pPr>
          </w:p>
        </w:tc>
      </w:tr>
      <w:tr w:rsidR="007E253F" w:rsidRPr="007E253F" w14:paraId="5440995E"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660301B"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shd w:val="clear" w:color="auto" w:fill="auto"/>
            <w:noWrap/>
            <w:vAlign w:val="bottom"/>
            <w:hideMark/>
          </w:tcPr>
          <w:p w14:paraId="23225773"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14,42</w:t>
            </w:r>
          </w:p>
        </w:tc>
        <w:tc>
          <w:tcPr>
            <w:tcW w:w="672" w:type="dxa"/>
            <w:tcBorders>
              <w:top w:val="nil"/>
              <w:left w:val="nil"/>
              <w:bottom w:val="single" w:sz="4" w:space="0" w:color="auto"/>
              <w:right w:val="single" w:sz="4" w:space="0" w:color="auto"/>
            </w:tcBorders>
            <w:shd w:val="clear" w:color="auto" w:fill="auto"/>
            <w:noWrap/>
            <w:vAlign w:val="bottom"/>
            <w:hideMark/>
          </w:tcPr>
          <w:p w14:paraId="77818FD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shd w:val="clear" w:color="auto" w:fill="auto"/>
            <w:noWrap/>
            <w:vAlign w:val="bottom"/>
            <w:hideMark/>
          </w:tcPr>
          <w:p w14:paraId="4079479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1,28</w:t>
            </w:r>
          </w:p>
        </w:tc>
        <w:tc>
          <w:tcPr>
            <w:tcW w:w="540" w:type="dxa"/>
            <w:tcBorders>
              <w:top w:val="nil"/>
              <w:left w:val="nil"/>
              <w:bottom w:val="single" w:sz="4" w:space="0" w:color="auto"/>
              <w:right w:val="single" w:sz="4" w:space="0" w:color="auto"/>
            </w:tcBorders>
            <w:shd w:val="clear" w:color="auto" w:fill="auto"/>
            <w:noWrap/>
            <w:vAlign w:val="bottom"/>
            <w:hideMark/>
          </w:tcPr>
          <w:p w14:paraId="07BC1CCA"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851" w:type="dxa"/>
            <w:tcBorders>
              <w:top w:val="nil"/>
              <w:left w:val="nil"/>
              <w:bottom w:val="single" w:sz="4" w:space="0" w:color="auto"/>
              <w:right w:val="single" w:sz="4" w:space="0" w:color="auto"/>
            </w:tcBorders>
            <w:shd w:val="clear" w:color="auto" w:fill="auto"/>
            <w:noWrap/>
            <w:vAlign w:val="bottom"/>
            <w:hideMark/>
          </w:tcPr>
          <w:p w14:paraId="56A915F2"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2FBBD755" w14:textId="77777777" w:rsidR="007E253F" w:rsidRPr="007E253F" w:rsidRDefault="007E253F" w:rsidP="000E7387">
            <w:pPr>
              <w:spacing w:after="0" w:line="240" w:lineRule="auto"/>
              <w:jc w:val="center"/>
              <w:rPr>
                <w:rFonts w:eastAsia="Times New Roman" w:cs="Times New Roman"/>
                <w:color w:val="000000"/>
                <w:szCs w:val="24"/>
                <w:lang w:eastAsia="es-EC"/>
              </w:rPr>
            </w:pPr>
          </w:p>
        </w:tc>
      </w:tr>
      <w:tr w:rsidR="007E253F" w:rsidRPr="007E253F" w14:paraId="2DA8F42A"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D487B8C"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70B87FE0"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14,69</w:t>
            </w:r>
          </w:p>
        </w:tc>
        <w:tc>
          <w:tcPr>
            <w:tcW w:w="672" w:type="dxa"/>
            <w:tcBorders>
              <w:top w:val="nil"/>
              <w:left w:val="nil"/>
              <w:bottom w:val="single" w:sz="4" w:space="0" w:color="auto"/>
              <w:right w:val="single" w:sz="4" w:space="0" w:color="auto"/>
            </w:tcBorders>
            <w:shd w:val="clear" w:color="auto" w:fill="auto"/>
            <w:noWrap/>
            <w:vAlign w:val="bottom"/>
            <w:hideMark/>
          </w:tcPr>
          <w:p w14:paraId="710EA24B"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shd w:val="clear" w:color="auto" w:fill="auto"/>
            <w:noWrap/>
            <w:vAlign w:val="bottom"/>
            <w:hideMark/>
          </w:tcPr>
          <w:p w14:paraId="5975031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2,97</w:t>
            </w:r>
          </w:p>
        </w:tc>
        <w:tc>
          <w:tcPr>
            <w:tcW w:w="540" w:type="dxa"/>
            <w:tcBorders>
              <w:top w:val="nil"/>
              <w:left w:val="nil"/>
              <w:bottom w:val="single" w:sz="4" w:space="0" w:color="auto"/>
              <w:right w:val="single" w:sz="4" w:space="0" w:color="auto"/>
            </w:tcBorders>
            <w:shd w:val="clear" w:color="auto" w:fill="auto"/>
            <w:noWrap/>
            <w:vAlign w:val="bottom"/>
            <w:hideMark/>
          </w:tcPr>
          <w:p w14:paraId="79038BB3"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851" w:type="dxa"/>
            <w:tcBorders>
              <w:top w:val="nil"/>
              <w:left w:val="nil"/>
              <w:bottom w:val="single" w:sz="4" w:space="0" w:color="auto"/>
              <w:right w:val="single" w:sz="4" w:space="0" w:color="auto"/>
            </w:tcBorders>
            <w:shd w:val="clear" w:color="auto" w:fill="auto"/>
            <w:noWrap/>
            <w:vAlign w:val="bottom"/>
            <w:hideMark/>
          </w:tcPr>
          <w:p w14:paraId="18133AC8"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34C2BBBC" w14:textId="77777777" w:rsidR="007E253F" w:rsidRPr="007E253F" w:rsidRDefault="007E253F" w:rsidP="000E7387">
            <w:pPr>
              <w:spacing w:after="0" w:line="240" w:lineRule="auto"/>
              <w:jc w:val="center"/>
              <w:rPr>
                <w:rFonts w:eastAsia="Times New Roman" w:cs="Times New Roman"/>
                <w:color w:val="000000"/>
                <w:szCs w:val="24"/>
                <w:lang w:eastAsia="es-EC"/>
              </w:rPr>
            </w:pPr>
          </w:p>
        </w:tc>
      </w:tr>
      <w:tr w:rsidR="007E253F" w:rsidRPr="007E253F" w14:paraId="6D95CC10"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5ABB31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67017BC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21,46</w:t>
            </w:r>
          </w:p>
        </w:tc>
        <w:tc>
          <w:tcPr>
            <w:tcW w:w="672" w:type="dxa"/>
            <w:tcBorders>
              <w:top w:val="nil"/>
              <w:left w:val="nil"/>
              <w:bottom w:val="single" w:sz="4" w:space="0" w:color="auto"/>
              <w:right w:val="single" w:sz="4" w:space="0" w:color="auto"/>
            </w:tcBorders>
            <w:shd w:val="clear" w:color="auto" w:fill="auto"/>
            <w:noWrap/>
            <w:vAlign w:val="bottom"/>
            <w:hideMark/>
          </w:tcPr>
          <w:p w14:paraId="3EF64AA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728" w:type="dxa"/>
            <w:tcBorders>
              <w:top w:val="nil"/>
              <w:left w:val="nil"/>
              <w:bottom w:val="single" w:sz="4" w:space="0" w:color="auto"/>
              <w:right w:val="single" w:sz="4" w:space="0" w:color="auto"/>
            </w:tcBorders>
            <w:shd w:val="clear" w:color="auto" w:fill="auto"/>
            <w:noWrap/>
            <w:vAlign w:val="bottom"/>
            <w:hideMark/>
          </w:tcPr>
          <w:p w14:paraId="099A957B"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1,11</w:t>
            </w:r>
          </w:p>
        </w:tc>
        <w:tc>
          <w:tcPr>
            <w:tcW w:w="540" w:type="dxa"/>
            <w:tcBorders>
              <w:top w:val="nil"/>
              <w:left w:val="nil"/>
              <w:bottom w:val="single" w:sz="4" w:space="0" w:color="auto"/>
              <w:right w:val="single" w:sz="4" w:space="0" w:color="auto"/>
            </w:tcBorders>
            <w:shd w:val="clear" w:color="auto" w:fill="auto"/>
            <w:noWrap/>
            <w:vAlign w:val="bottom"/>
            <w:hideMark/>
          </w:tcPr>
          <w:p w14:paraId="0A6534A0"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851" w:type="dxa"/>
            <w:tcBorders>
              <w:top w:val="nil"/>
              <w:left w:val="nil"/>
              <w:bottom w:val="single" w:sz="4" w:space="0" w:color="auto"/>
              <w:right w:val="single" w:sz="4" w:space="0" w:color="auto"/>
            </w:tcBorders>
            <w:shd w:val="clear" w:color="auto" w:fill="auto"/>
            <w:noWrap/>
            <w:vAlign w:val="bottom"/>
            <w:hideMark/>
          </w:tcPr>
          <w:p w14:paraId="67A0A6A7"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992" w:type="dxa"/>
            <w:tcBorders>
              <w:top w:val="nil"/>
              <w:left w:val="nil"/>
              <w:bottom w:val="single" w:sz="4" w:space="0" w:color="auto"/>
              <w:right w:val="single" w:sz="4" w:space="0" w:color="auto"/>
            </w:tcBorders>
            <w:shd w:val="clear" w:color="auto" w:fill="auto"/>
            <w:noWrap/>
            <w:vAlign w:val="bottom"/>
            <w:hideMark/>
          </w:tcPr>
          <w:p w14:paraId="19264E47" w14:textId="77777777" w:rsidR="007E253F" w:rsidRPr="007E253F" w:rsidRDefault="007E253F" w:rsidP="000E7387">
            <w:pPr>
              <w:spacing w:after="0" w:line="240" w:lineRule="auto"/>
              <w:jc w:val="center"/>
              <w:rPr>
                <w:rFonts w:eastAsia="Times New Roman" w:cs="Times New Roman"/>
                <w:color w:val="000000"/>
                <w:szCs w:val="24"/>
                <w:lang w:eastAsia="es-EC"/>
              </w:rPr>
            </w:pPr>
          </w:p>
        </w:tc>
      </w:tr>
      <w:tr w:rsidR="007E253F" w:rsidRPr="007E253F" w14:paraId="5395A3E1" w14:textId="77777777" w:rsidTr="000E7387">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C26C9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shd w:val="clear" w:color="auto" w:fill="auto"/>
            <w:noWrap/>
            <w:vAlign w:val="bottom"/>
            <w:hideMark/>
          </w:tcPr>
          <w:p w14:paraId="0BCC8A3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41,88</w:t>
            </w:r>
          </w:p>
        </w:tc>
        <w:tc>
          <w:tcPr>
            <w:tcW w:w="672" w:type="dxa"/>
            <w:tcBorders>
              <w:top w:val="nil"/>
              <w:left w:val="nil"/>
              <w:bottom w:val="single" w:sz="4" w:space="0" w:color="auto"/>
              <w:right w:val="single" w:sz="4" w:space="0" w:color="auto"/>
            </w:tcBorders>
            <w:shd w:val="clear" w:color="auto" w:fill="auto"/>
            <w:noWrap/>
            <w:vAlign w:val="bottom"/>
            <w:hideMark/>
          </w:tcPr>
          <w:p w14:paraId="40DE2928"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shd w:val="clear" w:color="auto" w:fill="auto"/>
            <w:noWrap/>
            <w:vAlign w:val="bottom"/>
            <w:hideMark/>
          </w:tcPr>
          <w:p w14:paraId="25DDB594"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6,63</w:t>
            </w:r>
          </w:p>
        </w:tc>
        <w:tc>
          <w:tcPr>
            <w:tcW w:w="540" w:type="dxa"/>
            <w:tcBorders>
              <w:top w:val="nil"/>
              <w:left w:val="nil"/>
              <w:bottom w:val="single" w:sz="4" w:space="0" w:color="auto"/>
              <w:right w:val="single" w:sz="4" w:space="0" w:color="auto"/>
            </w:tcBorders>
            <w:shd w:val="clear" w:color="auto" w:fill="auto"/>
            <w:noWrap/>
            <w:vAlign w:val="bottom"/>
            <w:hideMark/>
          </w:tcPr>
          <w:p w14:paraId="458BC4A2"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851" w:type="dxa"/>
            <w:tcBorders>
              <w:top w:val="nil"/>
              <w:left w:val="nil"/>
              <w:bottom w:val="single" w:sz="4" w:space="0" w:color="auto"/>
              <w:right w:val="single" w:sz="4" w:space="0" w:color="auto"/>
            </w:tcBorders>
            <w:shd w:val="clear" w:color="auto" w:fill="auto"/>
            <w:noWrap/>
            <w:vAlign w:val="bottom"/>
            <w:hideMark/>
          </w:tcPr>
          <w:p w14:paraId="1E035AD6"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01C0915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359C12F5" w14:textId="77777777" w:rsidR="000E7387" w:rsidRDefault="007E253F" w:rsidP="000E7387">
      <w:pPr>
        <w:autoSpaceDE w:val="0"/>
        <w:autoSpaceDN w:val="0"/>
        <w:adjustRightInd w:val="0"/>
        <w:spacing w:after="0" w:line="360" w:lineRule="auto"/>
        <w:rPr>
          <w:rFonts w:cs="Times New Roman"/>
          <w:szCs w:val="24"/>
        </w:rPr>
      </w:pPr>
      <w:r w:rsidRPr="007E253F">
        <w:rPr>
          <w:rFonts w:cs="Times New Roman"/>
          <w:szCs w:val="24"/>
        </w:rPr>
        <w:t>Medias con una letra común no son significa</w:t>
      </w:r>
      <w:r w:rsidR="009635E7">
        <w:rPr>
          <w:rFonts w:cs="Times New Roman"/>
          <w:szCs w:val="24"/>
        </w:rPr>
        <w:t>tivamente diferentes (p &gt; 0,05)</w:t>
      </w:r>
      <w:bookmarkStart w:id="1402" w:name="_Toc79314027"/>
    </w:p>
    <w:p w14:paraId="22F89E92" w14:textId="40FADF3E" w:rsidR="009635E7" w:rsidRPr="000E7387" w:rsidRDefault="009635E7" w:rsidP="000E7387">
      <w:pPr>
        <w:autoSpaceDE w:val="0"/>
        <w:autoSpaceDN w:val="0"/>
        <w:adjustRightInd w:val="0"/>
        <w:spacing w:before="360" w:after="0" w:line="360" w:lineRule="auto"/>
        <w:rPr>
          <w:rFonts w:cs="Times New Roman"/>
          <w:szCs w:val="24"/>
        </w:rPr>
      </w:pPr>
      <w:r w:rsidRPr="009635E7">
        <w:rPr>
          <w:rFonts w:cs="Times New Roman"/>
          <w:b/>
          <w:szCs w:val="24"/>
        </w:rPr>
        <w:lastRenderedPageBreak/>
        <w:t xml:space="preserve">Cuadro </w:t>
      </w:r>
      <w:r w:rsidRPr="009635E7">
        <w:rPr>
          <w:rFonts w:cs="Times New Roman"/>
          <w:b/>
          <w:i/>
          <w:iCs/>
          <w:szCs w:val="24"/>
        </w:rPr>
        <w:fldChar w:fldCharType="begin"/>
      </w:r>
      <w:r w:rsidRPr="009635E7">
        <w:rPr>
          <w:rFonts w:cs="Times New Roman"/>
          <w:b/>
          <w:szCs w:val="24"/>
        </w:rPr>
        <w:instrText xml:space="preserve"> SEQ Cuadro \* ARABIC </w:instrText>
      </w:r>
      <w:r w:rsidRPr="009635E7">
        <w:rPr>
          <w:rFonts w:cs="Times New Roman"/>
          <w:b/>
          <w:i/>
          <w:iCs/>
          <w:szCs w:val="24"/>
        </w:rPr>
        <w:fldChar w:fldCharType="separate"/>
      </w:r>
      <w:r w:rsidR="000D1F55">
        <w:rPr>
          <w:rFonts w:cs="Times New Roman"/>
          <w:b/>
          <w:noProof/>
          <w:szCs w:val="24"/>
        </w:rPr>
        <w:t>35</w:t>
      </w:r>
      <w:r w:rsidRPr="009635E7">
        <w:rPr>
          <w:rFonts w:cs="Times New Roman"/>
          <w:b/>
          <w:i/>
          <w:iCs/>
          <w:szCs w:val="24"/>
        </w:rPr>
        <w:fldChar w:fldCharType="end"/>
      </w:r>
      <w:r w:rsidRPr="009635E7">
        <w:rPr>
          <w:rFonts w:cs="Times New Roman"/>
          <w:b/>
          <w:szCs w:val="24"/>
        </w:rPr>
        <w:t xml:space="preserve">. </w:t>
      </w:r>
      <w:r w:rsidRPr="009635E7">
        <w:rPr>
          <w:rFonts w:cs="Times New Roman"/>
          <w:szCs w:val="24"/>
        </w:rPr>
        <w:t>Absorción total de fósforo para diversas dosis de azufre evaluadas en la provincia de Bolívar del 2006 al 2011.</w:t>
      </w:r>
      <w:bookmarkEnd w:id="1402"/>
    </w:p>
    <w:tbl>
      <w:tblPr>
        <w:tblW w:w="5409" w:type="dxa"/>
        <w:jc w:val="center"/>
        <w:tblCellMar>
          <w:left w:w="70" w:type="dxa"/>
          <w:right w:w="70" w:type="dxa"/>
        </w:tblCellMar>
        <w:tblLook w:val="04A0" w:firstRow="1" w:lastRow="0" w:firstColumn="1" w:lastColumn="0" w:noHBand="0" w:noVBand="1"/>
      </w:tblPr>
      <w:tblGrid>
        <w:gridCol w:w="2122"/>
        <w:gridCol w:w="887"/>
        <w:gridCol w:w="672"/>
        <w:gridCol w:w="1728"/>
      </w:tblGrid>
      <w:tr w:rsidR="007E253F" w:rsidRPr="007E253F" w14:paraId="2B11EA0F" w14:textId="77777777" w:rsidTr="00404A09">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C825D"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S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4DD1FC5B"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0BCB0F58"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0818661C"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799AF9A8" w14:textId="77777777" w:rsidTr="00404A0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94D0987"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shd w:val="clear" w:color="auto" w:fill="auto"/>
            <w:noWrap/>
            <w:vAlign w:val="bottom"/>
            <w:hideMark/>
          </w:tcPr>
          <w:p w14:paraId="4B737634"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14,21</w:t>
            </w:r>
          </w:p>
        </w:tc>
        <w:tc>
          <w:tcPr>
            <w:tcW w:w="672" w:type="dxa"/>
            <w:tcBorders>
              <w:top w:val="nil"/>
              <w:left w:val="nil"/>
              <w:bottom w:val="single" w:sz="4" w:space="0" w:color="auto"/>
              <w:right w:val="single" w:sz="4" w:space="0" w:color="auto"/>
            </w:tcBorders>
            <w:shd w:val="clear" w:color="auto" w:fill="auto"/>
            <w:noWrap/>
            <w:vAlign w:val="bottom"/>
            <w:hideMark/>
          </w:tcPr>
          <w:p w14:paraId="278A93E4"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shd w:val="clear" w:color="auto" w:fill="auto"/>
            <w:noWrap/>
            <w:vAlign w:val="bottom"/>
            <w:hideMark/>
          </w:tcPr>
          <w:p w14:paraId="0A5853FE"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1,28</w:t>
            </w:r>
          </w:p>
        </w:tc>
      </w:tr>
      <w:tr w:rsidR="007E253F" w:rsidRPr="007E253F" w14:paraId="4F769B57" w14:textId="77777777" w:rsidTr="00404A0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9689FB0"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4DC2EDF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17,58</w:t>
            </w:r>
          </w:p>
        </w:tc>
        <w:tc>
          <w:tcPr>
            <w:tcW w:w="672" w:type="dxa"/>
            <w:tcBorders>
              <w:top w:val="nil"/>
              <w:left w:val="nil"/>
              <w:bottom w:val="single" w:sz="4" w:space="0" w:color="auto"/>
              <w:right w:val="single" w:sz="4" w:space="0" w:color="auto"/>
            </w:tcBorders>
            <w:shd w:val="clear" w:color="auto" w:fill="auto"/>
            <w:noWrap/>
            <w:vAlign w:val="bottom"/>
            <w:hideMark/>
          </w:tcPr>
          <w:p w14:paraId="4A2F099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728" w:type="dxa"/>
            <w:tcBorders>
              <w:top w:val="nil"/>
              <w:left w:val="nil"/>
              <w:bottom w:val="single" w:sz="4" w:space="0" w:color="auto"/>
              <w:right w:val="single" w:sz="4" w:space="0" w:color="auto"/>
            </w:tcBorders>
            <w:shd w:val="clear" w:color="auto" w:fill="auto"/>
            <w:noWrap/>
            <w:vAlign w:val="bottom"/>
            <w:hideMark/>
          </w:tcPr>
          <w:p w14:paraId="098F09C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2,01</w:t>
            </w:r>
          </w:p>
        </w:tc>
      </w:tr>
      <w:tr w:rsidR="007E253F" w:rsidRPr="007E253F" w14:paraId="7D48E99A" w14:textId="77777777" w:rsidTr="00404A0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4322B1B"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63AC5DC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21,46</w:t>
            </w:r>
          </w:p>
        </w:tc>
        <w:tc>
          <w:tcPr>
            <w:tcW w:w="672" w:type="dxa"/>
            <w:tcBorders>
              <w:top w:val="nil"/>
              <w:left w:val="nil"/>
              <w:bottom w:val="single" w:sz="4" w:space="0" w:color="auto"/>
              <w:right w:val="single" w:sz="4" w:space="0" w:color="auto"/>
            </w:tcBorders>
            <w:shd w:val="clear" w:color="auto" w:fill="auto"/>
            <w:noWrap/>
            <w:vAlign w:val="bottom"/>
            <w:hideMark/>
          </w:tcPr>
          <w:p w14:paraId="6695C918"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728" w:type="dxa"/>
            <w:tcBorders>
              <w:top w:val="nil"/>
              <w:left w:val="nil"/>
              <w:bottom w:val="single" w:sz="4" w:space="0" w:color="auto"/>
              <w:right w:val="single" w:sz="4" w:space="0" w:color="auto"/>
            </w:tcBorders>
            <w:shd w:val="clear" w:color="auto" w:fill="auto"/>
            <w:noWrap/>
            <w:vAlign w:val="bottom"/>
            <w:hideMark/>
          </w:tcPr>
          <w:p w14:paraId="1B5093F5"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1,11</w:t>
            </w:r>
          </w:p>
        </w:tc>
      </w:tr>
    </w:tbl>
    <w:p w14:paraId="3654D4DF" w14:textId="469B1EA3" w:rsidR="009635E7" w:rsidRPr="009635E7" w:rsidRDefault="009635E7" w:rsidP="000E7387">
      <w:pPr>
        <w:pStyle w:val="Descripcin"/>
        <w:keepNext/>
        <w:spacing w:before="360"/>
        <w:rPr>
          <w:rFonts w:cs="Times New Roman"/>
          <w:i w:val="0"/>
          <w:iCs w:val="0"/>
          <w:color w:val="auto"/>
          <w:sz w:val="24"/>
          <w:szCs w:val="24"/>
          <w:lang w:eastAsia="en-US"/>
        </w:rPr>
      </w:pPr>
      <w:bookmarkStart w:id="1403" w:name="_Toc79314028"/>
      <w:r w:rsidRPr="009635E7">
        <w:rPr>
          <w:rFonts w:cs="Times New Roman"/>
          <w:b/>
          <w:i w:val="0"/>
          <w:iCs w:val="0"/>
          <w:color w:val="auto"/>
          <w:sz w:val="24"/>
          <w:szCs w:val="24"/>
          <w:lang w:eastAsia="en-US"/>
        </w:rPr>
        <w:t xml:space="preserve">Cuadro </w:t>
      </w:r>
      <w:r w:rsidRPr="009635E7">
        <w:rPr>
          <w:rFonts w:cs="Times New Roman"/>
          <w:b/>
          <w:i w:val="0"/>
          <w:iCs w:val="0"/>
          <w:color w:val="auto"/>
          <w:sz w:val="24"/>
          <w:szCs w:val="24"/>
          <w:lang w:eastAsia="en-US"/>
        </w:rPr>
        <w:fldChar w:fldCharType="begin"/>
      </w:r>
      <w:r w:rsidRPr="009635E7">
        <w:rPr>
          <w:rFonts w:cs="Times New Roman"/>
          <w:b/>
          <w:i w:val="0"/>
          <w:iCs w:val="0"/>
          <w:color w:val="auto"/>
          <w:sz w:val="24"/>
          <w:szCs w:val="24"/>
          <w:lang w:eastAsia="en-US"/>
        </w:rPr>
        <w:instrText xml:space="preserve"> SEQ Cuadro \* ARABIC </w:instrText>
      </w:r>
      <w:r w:rsidRPr="009635E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36</w:t>
      </w:r>
      <w:r w:rsidRPr="009635E7">
        <w:rPr>
          <w:rFonts w:cs="Times New Roman"/>
          <w:b/>
          <w:i w:val="0"/>
          <w:iCs w:val="0"/>
          <w:color w:val="auto"/>
          <w:sz w:val="24"/>
          <w:szCs w:val="24"/>
          <w:lang w:eastAsia="en-US"/>
        </w:rPr>
        <w:fldChar w:fldCharType="end"/>
      </w:r>
      <w:r w:rsidRPr="009635E7">
        <w:rPr>
          <w:rFonts w:cs="Times New Roman"/>
          <w:b/>
          <w:i w:val="0"/>
          <w:iCs w:val="0"/>
          <w:color w:val="auto"/>
          <w:sz w:val="24"/>
          <w:szCs w:val="24"/>
          <w:lang w:eastAsia="en-US"/>
        </w:rPr>
        <w:t>.</w:t>
      </w:r>
      <w:r w:rsidRPr="009635E7">
        <w:rPr>
          <w:rFonts w:cs="Times New Roman"/>
          <w:i w:val="0"/>
          <w:iCs w:val="0"/>
          <w:color w:val="auto"/>
          <w:sz w:val="24"/>
          <w:szCs w:val="24"/>
          <w:lang w:eastAsia="en-US"/>
        </w:rPr>
        <w:t xml:space="preserve"> Absorción total de fósforo para diversas dosis de magnesio evaluadas en la provincia de Bolívar del 2006 al 2011.</w:t>
      </w:r>
      <w:bookmarkEnd w:id="1403"/>
    </w:p>
    <w:tbl>
      <w:tblPr>
        <w:tblpPr w:leftFromText="141" w:rightFromText="141" w:vertAnchor="text" w:tblpXSpec="center" w:tblpY="1"/>
        <w:tblOverlap w:val="never"/>
        <w:tblW w:w="5807" w:type="dxa"/>
        <w:tblCellMar>
          <w:left w:w="70" w:type="dxa"/>
          <w:right w:w="70" w:type="dxa"/>
        </w:tblCellMar>
        <w:tblLook w:val="04A0" w:firstRow="1" w:lastRow="0" w:firstColumn="1" w:lastColumn="0" w:noHBand="0" w:noVBand="1"/>
      </w:tblPr>
      <w:tblGrid>
        <w:gridCol w:w="2122"/>
        <w:gridCol w:w="1134"/>
        <w:gridCol w:w="567"/>
        <w:gridCol w:w="1984"/>
      </w:tblGrid>
      <w:tr w:rsidR="007E253F" w:rsidRPr="007E253F" w14:paraId="60F20220" w14:textId="77777777" w:rsidTr="00404A09">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CC9A3"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Mg(kg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E706F32"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A66B87D"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1C07FC1"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14739F8A" w14:textId="77777777" w:rsidTr="00404A0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F487EDC"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1134" w:type="dxa"/>
            <w:tcBorders>
              <w:top w:val="nil"/>
              <w:left w:val="nil"/>
              <w:bottom w:val="single" w:sz="4" w:space="0" w:color="auto"/>
              <w:right w:val="single" w:sz="4" w:space="0" w:color="auto"/>
            </w:tcBorders>
            <w:shd w:val="clear" w:color="auto" w:fill="auto"/>
            <w:noWrap/>
            <w:vAlign w:val="bottom"/>
            <w:hideMark/>
          </w:tcPr>
          <w:p w14:paraId="5B3793B7"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14,16</w:t>
            </w:r>
          </w:p>
        </w:tc>
        <w:tc>
          <w:tcPr>
            <w:tcW w:w="567" w:type="dxa"/>
            <w:tcBorders>
              <w:top w:val="nil"/>
              <w:left w:val="nil"/>
              <w:bottom w:val="single" w:sz="4" w:space="0" w:color="auto"/>
              <w:right w:val="single" w:sz="4" w:space="0" w:color="auto"/>
            </w:tcBorders>
            <w:shd w:val="clear" w:color="auto" w:fill="auto"/>
            <w:noWrap/>
            <w:vAlign w:val="bottom"/>
            <w:hideMark/>
          </w:tcPr>
          <w:p w14:paraId="7E2AAC7E"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984" w:type="dxa"/>
            <w:tcBorders>
              <w:top w:val="nil"/>
              <w:left w:val="nil"/>
              <w:bottom w:val="single" w:sz="4" w:space="0" w:color="auto"/>
              <w:right w:val="single" w:sz="4" w:space="0" w:color="auto"/>
            </w:tcBorders>
            <w:shd w:val="clear" w:color="auto" w:fill="auto"/>
            <w:noWrap/>
            <w:vAlign w:val="bottom"/>
            <w:hideMark/>
          </w:tcPr>
          <w:p w14:paraId="462855E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1,28</w:t>
            </w:r>
          </w:p>
        </w:tc>
      </w:tr>
      <w:tr w:rsidR="007E253F" w:rsidRPr="007E253F" w14:paraId="38A687E3" w14:textId="77777777" w:rsidTr="00404A0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2BC1BD8"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1134" w:type="dxa"/>
            <w:tcBorders>
              <w:top w:val="nil"/>
              <w:left w:val="nil"/>
              <w:bottom w:val="single" w:sz="4" w:space="0" w:color="auto"/>
              <w:right w:val="single" w:sz="4" w:space="0" w:color="auto"/>
            </w:tcBorders>
            <w:shd w:val="clear" w:color="auto" w:fill="auto"/>
            <w:noWrap/>
            <w:vAlign w:val="bottom"/>
            <w:hideMark/>
          </w:tcPr>
          <w:p w14:paraId="7584F579"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17,69</w:t>
            </w:r>
          </w:p>
        </w:tc>
        <w:tc>
          <w:tcPr>
            <w:tcW w:w="567" w:type="dxa"/>
            <w:tcBorders>
              <w:top w:val="nil"/>
              <w:left w:val="nil"/>
              <w:bottom w:val="single" w:sz="4" w:space="0" w:color="auto"/>
              <w:right w:val="single" w:sz="4" w:space="0" w:color="auto"/>
            </w:tcBorders>
            <w:shd w:val="clear" w:color="auto" w:fill="auto"/>
            <w:noWrap/>
            <w:vAlign w:val="bottom"/>
            <w:hideMark/>
          </w:tcPr>
          <w:p w14:paraId="08CA1228"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984" w:type="dxa"/>
            <w:tcBorders>
              <w:top w:val="nil"/>
              <w:left w:val="nil"/>
              <w:bottom w:val="single" w:sz="4" w:space="0" w:color="auto"/>
              <w:right w:val="single" w:sz="4" w:space="0" w:color="auto"/>
            </w:tcBorders>
            <w:shd w:val="clear" w:color="auto" w:fill="auto"/>
            <w:noWrap/>
            <w:vAlign w:val="bottom"/>
            <w:hideMark/>
          </w:tcPr>
          <w:p w14:paraId="4B272AEC"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2,01</w:t>
            </w:r>
          </w:p>
        </w:tc>
      </w:tr>
      <w:tr w:rsidR="007E253F" w:rsidRPr="007E253F" w14:paraId="09F8613A" w14:textId="77777777" w:rsidTr="00404A0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7B7D55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2818969"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21,46</w:t>
            </w:r>
          </w:p>
        </w:tc>
        <w:tc>
          <w:tcPr>
            <w:tcW w:w="567" w:type="dxa"/>
            <w:tcBorders>
              <w:top w:val="nil"/>
              <w:left w:val="nil"/>
              <w:bottom w:val="single" w:sz="4" w:space="0" w:color="auto"/>
              <w:right w:val="single" w:sz="4" w:space="0" w:color="auto"/>
            </w:tcBorders>
            <w:shd w:val="clear" w:color="auto" w:fill="auto"/>
            <w:noWrap/>
            <w:vAlign w:val="bottom"/>
            <w:hideMark/>
          </w:tcPr>
          <w:p w14:paraId="0E814A34"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984" w:type="dxa"/>
            <w:tcBorders>
              <w:top w:val="nil"/>
              <w:left w:val="nil"/>
              <w:bottom w:val="single" w:sz="4" w:space="0" w:color="auto"/>
              <w:right w:val="single" w:sz="4" w:space="0" w:color="auto"/>
            </w:tcBorders>
            <w:shd w:val="clear" w:color="auto" w:fill="auto"/>
            <w:noWrap/>
            <w:vAlign w:val="bottom"/>
            <w:hideMark/>
          </w:tcPr>
          <w:p w14:paraId="1108643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1,11</w:t>
            </w:r>
          </w:p>
        </w:tc>
      </w:tr>
    </w:tbl>
    <w:p w14:paraId="322DDD30" w14:textId="30496449" w:rsidR="000E7387" w:rsidRDefault="000E7387" w:rsidP="000E7387">
      <w:pPr>
        <w:spacing w:before="360" w:after="360"/>
      </w:pPr>
    </w:p>
    <w:p w14:paraId="0A991CDD" w14:textId="77777777" w:rsidR="00954C1A" w:rsidRDefault="00954C1A" w:rsidP="000E7387">
      <w:pPr>
        <w:spacing w:before="360" w:after="360"/>
        <w:rPr>
          <w:rFonts w:cs="Times New Roman"/>
          <w:bCs/>
          <w:szCs w:val="24"/>
        </w:rPr>
      </w:pPr>
    </w:p>
    <w:p w14:paraId="5A085808" w14:textId="77777777" w:rsidR="000E7387" w:rsidRDefault="008971CA" w:rsidP="000E7387">
      <w:pPr>
        <w:spacing w:before="360" w:after="360"/>
      </w:pPr>
      <w:r w:rsidRPr="007E253F">
        <w:rPr>
          <w:rFonts w:cs="Times New Roman"/>
          <w:bCs/>
          <w:szCs w:val="24"/>
        </w:rPr>
        <w:t>La tendencia de las dosis de N, P, K</w:t>
      </w:r>
      <w:r>
        <w:rPr>
          <w:rFonts w:cs="Times New Roman"/>
          <w:bCs/>
          <w:szCs w:val="24"/>
        </w:rPr>
        <w:t xml:space="preserve">, S y Mg </w:t>
      </w:r>
      <w:r w:rsidRPr="007E253F">
        <w:rPr>
          <w:rFonts w:cs="Times New Roman"/>
          <w:bCs/>
          <w:szCs w:val="24"/>
        </w:rPr>
        <w:t>sobre la a</w:t>
      </w:r>
      <w:r w:rsidR="005F2CA6">
        <w:rPr>
          <w:rFonts w:cs="Times New Roman"/>
          <w:bCs/>
          <w:szCs w:val="24"/>
        </w:rPr>
        <w:t>b</w:t>
      </w:r>
      <w:r w:rsidRPr="007E253F">
        <w:rPr>
          <w:rFonts w:cs="Times New Roman"/>
          <w:bCs/>
          <w:szCs w:val="24"/>
        </w:rPr>
        <w:t xml:space="preserve">sorción de P </w:t>
      </w:r>
      <w:r>
        <w:rPr>
          <w:rFonts w:cs="Times New Roman"/>
          <w:bCs/>
          <w:szCs w:val="24"/>
        </w:rPr>
        <w:t>tuvo un R2 muy bajo, por lo cual los datos no muestran ninguna tendencia. Existieron otros parámetros fuera de los factores analizados que influyeron en la absorción de P.</w:t>
      </w:r>
    </w:p>
    <w:p w14:paraId="7EC84782" w14:textId="0DDFB3FB" w:rsidR="008A49A0" w:rsidRPr="000E7387" w:rsidRDefault="007E253F" w:rsidP="000E7387">
      <w:pPr>
        <w:spacing w:before="360" w:after="360"/>
      </w:pPr>
      <w:r w:rsidRPr="007E253F">
        <w:rPr>
          <w:rFonts w:cs="Times New Roman"/>
          <w:bCs/>
          <w:szCs w:val="24"/>
        </w:rPr>
        <w:t xml:space="preserve">El efecto de los nutrientes que fueron significativos </w:t>
      </w:r>
      <w:r w:rsidR="008971CA">
        <w:rPr>
          <w:rFonts w:cs="Times New Roman"/>
          <w:bCs/>
          <w:szCs w:val="24"/>
        </w:rPr>
        <w:t xml:space="preserve">(p&lt;0,001) </w:t>
      </w:r>
      <w:r w:rsidRPr="007E253F">
        <w:rPr>
          <w:rFonts w:cs="Times New Roman"/>
          <w:bCs/>
          <w:szCs w:val="24"/>
        </w:rPr>
        <w:t xml:space="preserve">sobre la absorción total de fósforo de maíz en la provincia de Bolívar se observa en </w:t>
      </w:r>
      <w:r w:rsidR="00185D16">
        <w:rPr>
          <w:rFonts w:cs="Times New Roman"/>
          <w:bCs/>
          <w:szCs w:val="24"/>
        </w:rPr>
        <w:t>la</w:t>
      </w:r>
      <w:r w:rsidRPr="007E253F">
        <w:rPr>
          <w:rFonts w:cs="Times New Roman"/>
          <w:bCs/>
          <w:szCs w:val="24"/>
        </w:rPr>
        <w:t xml:space="preserve"> siguiente </w:t>
      </w:r>
      <w:r w:rsidR="00185D16">
        <w:rPr>
          <w:rFonts w:cs="Times New Roman"/>
          <w:bCs/>
          <w:szCs w:val="24"/>
        </w:rPr>
        <w:t>figura</w:t>
      </w:r>
      <w:r w:rsidR="008971CA">
        <w:rPr>
          <w:rFonts w:cs="Times New Roman"/>
          <w:bCs/>
          <w:szCs w:val="24"/>
        </w:rPr>
        <w:t>:</w:t>
      </w:r>
    </w:p>
    <w:p w14:paraId="72CE773A" w14:textId="42CEA1FB" w:rsidR="007E253F" w:rsidRPr="00DE3875" w:rsidRDefault="008A49A0" w:rsidP="00135DE8">
      <w:pPr>
        <w:pStyle w:val="Prrafodelista"/>
        <w:numPr>
          <w:ilvl w:val="0"/>
          <w:numId w:val="35"/>
        </w:numPr>
        <w:autoSpaceDE w:val="0"/>
        <w:autoSpaceDN w:val="0"/>
        <w:adjustRightInd w:val="0"/>
        <w:spacing w:after="0" w:line="360" w:lineRule="auto"/>
        <w:rPr>
          <w:rFonts w:cs="Times New Roman"/>
          <w:szCs w:val="24"/>
        </w:rPr>
      </w:pPr>
      <w:r w:rsidRPr="00DE3875">
        <w:rPr>
          <w:rFonts w:cs="Times New Roman"/>
          <w:bCs/>
          <w:szCs w:val="24"/>
        </w:rPr>
        <w:t>Potasio</w:t>
      </w:r>
      <w:r w:rsidR="007E253F" w:rsidRPr="00DE3875">
        <w:rPr>
          <w:rFonts w:cs="Times New Roman"/>
          <w:bCs/>
          <w:szCs w:val="24"/>
        </w:rPr>
        <w:t xml:space="preserve"> </w:t>
      </w:r>
    </w:p>
    <w:p w14:paraId="75C0EED1" w14:textId="77777777" w:rsidR="007E253F" w:rsidRPr="00FA6594" w:rsidRDefault="007E253F" w:rsidP="007E253F">
      <w:pPr>
        <w:spacing w:line="360" w:lineRule="auto"/>
        <w:jc w:val="center"/>
        <w:rPr>
          <w:rFonts w:cs="Times New Roman"/>
          <w:b/>
          <w:bCs/>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E253F">
        <w:rPr>
          <w:rFonts w:cs="Times New Roman"/>
          <w:noProof/>
          <w:szCs w:val="24"/>
          <w:lang w:eastAsia="es-EC"/>
        </w:rPr>
        <w:drawing>
          <wp:inline distT="0" distB="0" distL="0" distR="0" wp14:anchorId="203C02F3" wp14:editId="49A1818E">
            <wp:extent cx="3834332" cy="1921008"/>
            <wp:effectExtent l="0" t="0" r="13970" b="3175"/>
            <wp:docPr id="17" name="Gráfico 17">
              <a:extLst xmlns:a="http://schemas.openxmlformats.org/drawingml/2006/main">
                <a:ext uri="{FF2B5EF4-FFF2-40B4-BE49-F238E27FC236}">
                  <a16:creationId xmlns:a16="http://schemas.microsoft.com/office/drawing/2014/main" id="{EFE1D3EB-2F5B-4490-ABBC-8A5D3216A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96C6C9" w14:textId="3CD98758" w:rsidR="007E253F" w:rsidRPr="007E253F" w:rsidRDefault="007E253F" w:rsidP="007E253F">
      <w:pPr>
        <w:spacing w:line="360" w:lineRule="auto"/>
        <w:rPr>
          <w:rFonts w:cs="Times New Roman"/>
          <w:szCs w:val="24"/>
        </w:rPr>
      </w:pPr>
      <w:r w:rsidRPr="007E253F">
        <w:rPr>
          <w:rFonts w:cs="Times New Roman"/>
          <w:szCs w:val="24"/>
        </w:rPr>
        <w:t>Efecto de los macronutrientes</w:t>
      </w:r>
      <w:r w:rsidR="00DE3875">
        <w:rPr>
          <w:rFonts w:cs="Times New Roman"/>
          <w:szCs w:val="24"/>
        </w:rPr>
        <w:t xml:space="preserve"> de </w:t>
      </w:r>
      <w:r w:rsidR="00313B1A">
        <w:rPr>
          <w:rFonts w:cs="Times New Roman"/>
          <w:szCs w:val="24"/>
        </w:rPr>
        <w:t xml:space="preserve">potasio </w:t>
      </w:r>
      <w:r w:rsidR="00313B1A" w:rsidRPr="007E253F">
        <w:rPr>
          <w:rFonts w:cs="Times New Roman"/>
          <w:szCs w:val="24"/>
        </w:rPr>
        <w:t>sobre</w:t>
      </w:r>
      <w:r w:rsidRPr="007E253F">
        <w:rPr>
          <w:rFonts w:cs="Times New Roman"/>
          <w:szCs w:val="24"/>
        </w:rPr>
        <w:t xml:space="preserve"> la absorción total de fósforo maíz suave en la provincia de Bolívar (2006-2011).</w:t>
      </w:r>
    </w:p>
    <w:p w14:paraId="0454AE11" w14:textId="66054134" w:rsidR="007E253F" w:rsidRPr="007E253F" w:rsidRDefault="007E253F" w:rsidP="00380191">
      <w:pPr>
        <w:pStyle w:val="Ttulo3"/>
        <w:numPr>
          <w:ilvl w:val="2"/>
          <w:numId w:val="50"/>
        </w:numPr>
      </w:pPr>
      <w:bookmarkStart w:id="1404" w:name="_Toc80312311"/>
      <w:r w:rsidRPr="007E253F">
        <w:lastRenderedPageBreak/>
        <w:t xml:space="preserve">Absorción de </w:t>
      </w:r>
      <w:r w:rsidRPr="00380191">
        <w:rPr>
          <w:color w:val="000000"/>
        </w:rPr>
        <w:t>potasio</w:t>
      </w:r>
      <w:r w:rsidRPr="007E253F">
        <w:t xml:space="preserve"> (Kg</w:t>
      </w:r>
      <w:r w:rsidRPr="00380191">
        <w:rPr>
          <w:rFonts w:eastAsia="Times New Roman"/>
          <w:color w:val="000000"/>
          <w:lang w:eastAsia="es-EC"/>
        </w:rPr>
        <w:t>/</w:t>
      </w:r>
      <w:r w:rsidRPr="007E253F">
        <w:t>ha</w:t>
      </w:r>
      <w:r w:rsidRPr="00380191">
        <w:rPr>
          <w:vertAlign w:val="superscript"/>
        </w:rPr>
        <w:t>-1</w:t>
      </w:r>
      <w:r w:rsidRPr="007E253F">
        <w:t>)</w:t>
      </w:r>
      <w:bookmarkEnd w:id="1404"/>
    </w:p>
    <w:p w14:paraId="1BC99AC3" w14:textId="26B5A04E" w:rsidR="007E253F" w:rsidRPr="009635E7" w:rsidRDefault="007E253F" w:rsidP="009635E7">
      <w:pPr>
        <w:autoSpaceDE w:val="0"/>
        <w:autoSpaceDN w:val="0"/>
        <w:adjustRightInd w:val="0"/>
        <w:spacing w:after="0" w:line="360" w:lineRule="auto"/>
        <w:rPr>
          <w:rFonts w:cs="Times New Roman"/>
          <w:b/>
          <w:bCs/>
          <w:color w:val="0000FF"/>
        </w:rPr>
      </w:pPr>
      <w:r w:rsidRPr="007E253F">
        <w:rPr>
          <w:rFonts w:cs="Times New Roman"/>
          <w:szCs w:val="24"/>
        </w:rPr>
        <w:t>Al utilizar el modelo estadístico para la absorción total de potasio, se detectaron diferencias estadísticas significativas (p &lt;0,05) para las fuentes de variación de nitrógeno, potasio, y la interacción entre dosis de N y P; mientras que no fueron significativos para dosis de fósforo, azufre y magnesio (</w:t>
      </w:r>
      <w:r w:rsidR="00404A09">
        <w:rPr>
          <w:rFonts w:cs="Times New Roman"/>
          <w:szCs w:val="24"/>
        </w:rPr>
        <w:t>Cuadro</w:t>
      </w:r>
      <w:r w:rsidRPr="007E253F">
        <w:rPr>
          <w:rFonts w:cs="Times New Roman"/>
          <w:szCs w:val="24"/>
        </w:rPr>
        <w:t xml:space="preserve"> 37). Por lo tanto, las dosis de los fertilizantes con nitrógeno, potasio y la interacción entre N y P afectaron a esta variable. La variable cantón tuvo un efecto significativo sobre la a</w:t>
      </w:r>
      <w:r w:rsidR="005F2CA6">
        <w:rPr>
          <w:rFonts w:cs="Times New Roman"/>
          <w:szCs w:val="24"/>
        </w:rPr>
        <w:t>b</w:t>
      </w:r>
      <w:r w:rsidRPr="007E253F">
        <w:rPr>
          <w:rFonts w:cs="Times New Roman"/>
          <w:szCs w:val="24"/>
        </w:rPr>
        <w:t xml:space="preserve">sorción de potasio. El promedio general de la absorción total de potasio fue </w:t>
      </w:r>
      <w:bookmarkStart w:id="1405" w:name="_Hlk69439258"/>
      <w:r w:rsidRPr="007E253F">
        <w:rPr>
          <w:rFonts w:cs="Times New Roman"/>
          <w:szCs w:val="24"/>
        </w:rPr>
        <w:t>121,14 Kg/ha</w:t>
      </w:r>
      <w:r w:rsidRPr="007E253F">
        <w:rPr>
          <w:rFonts w:cs="Times New Roman"/>
          <w:szCs w:val="24"/>
          <w:vertAlign w:val="superscript"/>
        </w:rPr>
        <w:t>-1</w:t>
      </w:r>
      <w:r w:rsidRPr="007E253F">
        <w:rPr>
          <w:rFonts w:cs="Times New Roman"/>
          <w:szCs w:val="24"/>
        </w:rPr>
        <w:t>; con un R</w:t>
      </w:r>
      <w:r w:rsidRPr="007E253F">
        <w:rPr>
          <w:rFonts w:cs="Times New Roman"/>
          <w:szCs w:val="24"/>
          <w:vertAlign w:val="superscript"/>
        </w:rPr>
        <w:t>2</w:t>
      </w:r>
      <w:r w:rsidRPr="007E253F">
        <w:rPr>
          <w:rFonts w:cs="Times New Roman"/>
          <w:szCs w:val="24"/>
        </w:rPr>
        <w:t xml:space="preserve"> de 0,45 y un coeficiente de variación fue de 30,41 %</w:t>
      </w:r>
      <w:r w:rsidRPr="007E253F">
        <w:rPr>
          <w:rFonts w:cs="Times New Roman"/>
          <w:b/>
          <w:bCs/>
          <w:color w:val="0000FF"/>
        </w:rPr>
        <w:t>.</w:t>
      </w:r>
      <w:bookmarkEnd w:id="1405"/>
    </w:p>
    <w:p w14:paraId="3120FB23" w14:textId="384B981E" w:rsidR="009635E7" w:rsidRPr="009635E7" w:rsidRDefault="009635E7" w:rsidP="000E7387">
      <w:pPr>
        <w:pStyle w:val="Descripcin"/>
        <w:keepNext/>
        <w:spacing w:before="360"/>
        <w:rPr>
          <w:rFonts w:cs="Times New Roman"/>
          <w:i w:val="0"/>
          <w:iCs w:val="0"/>
          <w:color w:val="auto"/>
          <w:sz w:val="24"/>
          <w:szCs w:val="24"/>
          <w:lang w:eastAsia="en-US"/>
        </w:rPr>
      </w:pPr>
      <w:bookmarkStart w:id="1406" w:name="_Toc79314029"/>
      <w:r w:rsidRPr="009635E7">
        <w:rPr>
          <w:rFonts w:cs="Times New Roman"/>
          <w:b/>
          <w:i w:val="0"/>
          <w:iCs w:val="0"/>
          <w:color w:val="auto"/>
          <w:sz w:val="24"/>
          <w:szCs w:val="24"/>
          <w:lang w:eastAsia="en-US"/>
        </w:rPr>
        <w:t xml:space="preserve">Cuadro </w:t>
      </w:r>
      <w:r w:rsidRPr="009635E7">
        <w:rPr>
          <w:rFonts w:cs="Times New Roman"/>
          <w:b/>
          <w:i w:val="0"/>
          <w:iCs w:val="0"/>
          <w:color w:val="auto"/>
          <w:sz w:val="24"/>
          <w:szCs w:val="24"/>
          <w:lang w:eastAsia="en-US"/>
        </w:rPr>
        <w:fldChar w:fldCharType="begin"/>
      </w:r>
      <w:r w:rsidRPr="009635E7">
        <w:rPr>
          <w:rFonts w:cs="Times New Roman"/>
          <w:b/>
          <w:i w:val="0"/>
          <w:iCs w:val="0"/>
          <w:color w:val="auto"/>
          <w:sz w:val="24"/>
          <w:szCs w:val="24"/>
          <w:lang w:eastAsia="en-US"/>
        </w:rPr>
        <w:instrText xml:space="preserve"> SEQ Cuadro \* ARABIC </w:instrText>
      </w:r>
      <w:r w:rsidRPr="009635E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37</w:t>
      </w:r>
      <w:r w:rsidRPr="009635E7">
        <w:rPr>
          <w:rFonts w:cs="Times New Roman"/>
          <w:b/>
          <w:i w:val="0"/>
          <w:iCs w:val="0"/>
          <w:color w:val="auto"/>
          <w:sz w:val="24"/>
          <w:szCs w:val="24"/>
          <w:lang w:eastAsia="en-US"/>
        </w:rPr>
        <w:fldChar w:fldCharType="end"/>
      </w:r>
      <w:r w:rsidRPr="009635E7">
        <w:rPr>
          <w:rFonts w:cs="Times New Roman"/>
          <w:b/>
          <w:i w:val="0"/>
          <w:iCs w:val="0"/>
          <w:color w:val="auto"/>
          <w:sz w:val="24"/>
          <w:szCs w:val="24"/>
          <w:lang w:eastAsia="en-US"/>
        </w:rPr>
        <w:t>.</w:t>
      </w:r>
      <w:r w:rsidRPr="009635E7">
        <w:rPr>
          <w:rFonts w:cs="Times New Roman"/>
          <w:i w:val="0"/>
          <w:iCs w:val="0"/>
          <w:color w:val="auto"/>
          <w:sz w:val="24"/>
          <w:szCs w:val="24"/>
          <w:lang w:eastAsia="en-US"/>
        </w:rPr>
        <w:t xml:space="preserve"> Cuadro de Análisis de la Varianza (SC tipo I) para absorción total de potasio en la provincia de Bolívar del 2006 al 2011.</w:t>
      </w:r>
      <w:bookmarkEnd w:id="1406"/>
    </w:p>
    <w:tbl>
      <w:tblPr>
        <w:tblW w:w="5000" w:type="pct"/>
        <w:tblCellMar>
          <w:left w:w="70" w:type="dxa"/>
          <w:right w:w="70" w:type="dxa"/>
        </w:tblCellMar>
        <w:tblLook w:val="04A0" w:firstRow="1" w:lastRow="0" w:firstColumn="1" w:lastColumn="0" w:noHBand="0" w:noVBand="1"/>
      </w:tblPr>
      <w:tblGrid>
        <w:gridCol w:w="1781"/>
        <w:gridCol w:w="1160"/>
        <w:gridCol w:w="926"/>
        <w:gridCol w:w="1040"/>
        <w:gridCol w:w="697"/>
        <w:gridCol w:w="936"/>
        <w:gridCol w:w="1387"/>
      </w:tblGrid>
      <w:tr w:rsidR="007E253F" w:rsidRPr="007E253F" w14:paraId="68A1AAE5" w14:textId="77777777" w:rsidTr="009635E7">
        <w:trPr>
          <w:trHeight w:val="300"/>
        </w:trPr>
        <w:tc>
          <w:tcPr>
            <w:tcW w:w="10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2E357"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F.V.</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118326F"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SC</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14:paraId="58539E25"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Gl</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14:paraId="1AE6D8C5"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CM</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14:paraId="2516C38D"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w:t>
            </w:r>
          </w:p>
        </w:tc>
        <w:tc>
          <w:tcPr>
            <w:tcW w:w="633" w:type="pct"/>
            <w:tcBorders>
              <w:top w:val="single" w:sz="4" w:space="0" w:color="auto"/>
              <w:left w:val="nil"/>
              <w:bottom w:val="single" w:sz="4" w:space="0" w:color="auto"/>
              <w:right w:val="single" w:sz="4" w:space="0" w:color="auto"/>
            </w:tcBorders>
            <w:shd w:val="clear" w:color="auto" w:fill="auto"/>
            <w:noWrap/>
            <w:vAlign w:val="bottom"/>
            <w:hideMark/>
          </w:tcPr>
          <w:p w14:paraId="7558C4B9"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p-valor</w:t>
            </w:r>
          </w:p>
        </w:tc>
        <w:tc>
          <w:tcPr>
            <w:tcW w:w="817" w:type="pct"/>
            <w:tcBorders>
              <w:top w:val="single" w:sz="4" w:space="0" w:color="auto"/>
              <w:left w:val="nil"/>
              <w:bottom w:val="single" w:sz="4" w:space="0" w:color="auto"/>
              <w:right w:val="single" w:sz="4" w:space="0" w:color="auto"/>
            </w:tcBorders>
            <w:shd w:val="clear" w:color="auto" w:fill="auto"/>
            <w:noWrap/>
            <w:vAlign w:val="bottom"/>
            <w:hideMark/>
          </w:tcPr>
          <w:p w14:paraId="697FD881" w14:textId="77777777" w:rsidR="007E253F" w:rsidRPr="007E253F" w:rsidRDefault="007E253F" w:rsidP="00313B1A">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Varianza %</w:t>
            </w:r>
          </w:p>
        </w:tc>
      </w:tr>
      <w:tr w:rsidR="007E253F" w:rsidRPr="007E253F" w14:paraId="3542C04F"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1D2611D3"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Modelo</w:t>
            </w:r>
          </w:p>
        </w:tc>
        <w:tc>
          <w:tcPr>
            <w:tcW w:w="683" w:type="pct"/>
            <w:tcBorders>
              <w:top w:val="nil"/>
              <w:left w:val="nil"/>
              <w:bottom w:val="single" w:sz="4" w:space="0" w:color="auto"/>
              <w:right w:val="single" w:sz="4" w:space="0" w:color="auto"/>
            </w:tcBorders>
            <w:shd w:val="clear" w:color="auto" w:fill="auto"/>
            <w:noWrap/>
            <w:vAlign w:val="bottom"/>
            <w:hideMark/>
          </w:tcPr>
          <w:p w14:paraId="58867E14"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116074,32</w:t>
            </w:r>
          </w:p>
        </w:tc>
        <w:tc>
          <w:tcPr>
            <w:tcW w:w="645" w:type="pct"/>
            <w:tcBorders>
              <w:top w:val="nil"/>
              <w:left w:val="nil"/>
              <w:bottom w:val="single" w:sz="4" w:space="0" w:color="auto"/>
              <w:right w:val="single" w:sz="4" w:space="0" w:color="auto"/>
            </w:tcBorders>
            <w:shd w:val="clear" w:color="auto" w:fill="auto"/>
            <w:noWrap/>
            <w:vAlign w:val="bottom"/>
            <w:hideMark/>
          </w:tcPr>
          <w:p w14:paraId="3A9FA879"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w:t>
            </w:r>
          </w:p>
        </w:tc>
        <w:tc>
          <w:tcPr>
            <w:tcW w:w="645" w:type="pct"/>
            <w:tcBorders>
              <w:top w:val="nil"/>
              <w:left w:val="nil"/>
              <w:bottom w:val="single" w:sz="4" w:space="0" w:color="auto"/>
              <w:right w:val="single" w:sz="4" w:space="0" w:color="auto"/>
            </w:tcBorders>
            <w:shd w:val="clear" w:color="auto" w:fill="auto"/>
            <w:noWrap/>
            <w:vAlign w:val="bottom"/>
            <w:hideMark/>
          </w:tcPr>
          <w:p w14:paraId="1A0EF051"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8291,02</w:t>
            </w:r>
          </w:p>
        </w:tc>
        <w:tc>
          <w:tcPr>
            <w:tcW w:w="500" w:type="pct"/>
            <w:tcBorders>
              <w:top w:val="nil"/>
              <w:left w:val="nil"/>
              <w:bottom w:val="single" w:sz="4" w:space="0" w:color="auto"/>
              <w:right w:val="single" w:sz="4" w:space="0" w:color="auto"/>
            </w:tcBorders>
            <w:shd w:val="clear" w:color="auto" w:fill="auto"/>
            <w:noWrap/>
            <w:vAlign w:val="bottom"/>
            <w:hideMark/>
          </w:tcPr>
          <w:p w14:paraId="4A261C68"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6,11</w:t>
            </w:r>
          </w:p>
        </w:tc>
        <w:tc>
          <w:tcPr>
            <w:tcW w:w="633" w:type="pct"/>
            <w:tcBorders>
              <w:top w:val="nil"/>
              <w:left w:val="nil"/>
              <w:bottom w:val="single" w:sz="4" w:space="0" w:color="auto"/>
              <w:right w:val="single" w:sz="4" w:space="0" w:color="auto"/>
            </w:tcBorders>
            <w:shd w:val="clear" w:color="auto" w:fill="auto"/>
            <w:noWrap/>
            <w:vAlign w:val="bottom"/>
            <w:hideMark/>
          </w:tcPr>
          <w:p w14:paraId="331C9879"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shd w:val="clear" w:color="auto" w:fill="auto"/>
            <w:noWrap/>
            <w:vAlign w:val="bottom"/>
            <w:hideMark/>
          </w:tcPr>
          <w:p w14:paraId="6B1239DD"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53,28</w:t>
            </w:r>
          </w:p>
        </w:tc>
      </w:tr>
      <w:tr w:rsidR="007E253F" w:rsidRPr="007E253F" w14:paraId="6DC2F615"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5CD85543"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Cantón</w:t>
            </w:r>
          </w:p>
        </w:tc>
        <w:tc>
          <w:tcPr>
            <w:tcW w:w="683" w:type="pct"/>
            <w:tcBorders>
              <w:top w:val="nil"/>
              <w:left w:val="nil"/>
              <w:bottom w:val="single" w:sz="4" w:space="0" w:color="auto"/>
              <w:right w:val="single" w:sz="4" w:space="0" w:color="auto"/>
            </w:tcBorders>
            <w:shd w:val="clear" w:color="auto" w:fill="auto"/>
            <w:noWrap/>
            <w:vAlign w:val="bottom"/>
            <w:hideMark/>
          </w:tcPr>
          <w:p w14:paraId="724BDEE0"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13398,48</w:t>
            </w:r>
          </w:p>
        </w:tc>
        <w:tc>
          <w:tcPr>
            <w:tcW w:w="645" w:type="pct"/>
            <w:tcBorders>
              <w:top w:val="nil"/>
              <w:left w:val="nil"/>
              <w:bottom w:val="single" w:sz="4" w:space="0" w:color="auto"/>
              <w:right w:val="single" w:sz="4" w:space="0" w:color="auto"/>
            </w:tcBorders>
            <w:shd w:val="clear" w:color="auto" w:fill="auto"/>
            <w:noWrap/>
            <w:vAlign w:val="bottom"/>
            <w:hideMark/>
          </w:tcPr>
          <w:p w14:paraId="63B23B06"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645" w:type="pct"/>
            <w:tcBorders>
              <w:top w:val="nil"/>
              <w:left w:val="nil"/>
              <w:bottom w:val="single" w:sz="4" w:space="0" w:color="auto"/>
              <w:right w:val="single" w:sz="4" w:space="0" w:color="auto"/>
            </w:tcBorders>
            <w:shd w:val="clear" w:color="auto" w:fill="auto"/>
            <w:noWrap/>
            <w:vAlign w:val="bottom"/>
            <w:hideMark/>
          </w:tcPr>
          <w:p w14:paraId="478F3490"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4466,16</w:t>
            </w:r>
          </w:p>
        </w:tc>
        <w:tc>
          <w:tcPr>
            <w:tcW w:w="500" w:type="pct"/>
            <w:tcBorders>
              <w:top w:val="nil"/>
              <w:left w:val="nil"/>
              <w:bottom w:val="single" w:sz="4" w:space="0" w:color="auto"/>
              <w:right w:val="single" w:sz="4" w:space="0" w:color="auto"/>
            </w:tcBorders>
            <w:shd w:val="clear" w:color="auto" w:fill="auto"/>
            <w:noWrap/>
            <w:vAlign w:val="bottom"/>
            <w:hideMark/>
          </w:tcPr>
          <w:p w14:paraId="5BE05AEB"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3,29</w:t>
            </w:r>
          </w:p>
        </w:tc>
        <w:tc>
          <w:tcPr>
            <w:tcW w:w="633" w:type="pct"/>
            <w:tcBorders>
              <w:top w:val="nil"/>
              <w:left w:val="nil"/>
              <w:bottom w:val="single" w:sz="4" w:space="0" w:color="auto"/>
              <w:right w:val="single" w:sz="4" w:space="0" w:color="auto"/>
            </w:tcBorders>
            <w:shd w:val="clear" w:color="auto" w:fill="auto"/>
            <w:noWrap/>
            <w:vAlign w:val="bottom"/>
            <w:hideMark/>
          </w:tcPr>
          <w:p w14:paraId="490CC4B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0,0252</w:t>
            </w:r>
          </w:p>
        </w:tc>
        <w:tc>
          <w:tcPr>
            <w:tcW w:w="817" w:type="pct"/>
            <w:tcBorders>
              <w:top w:val="nil"/>
              <w:left w:val="nil"/>
              <w:bottom w:val="single" w:sz="4" w:space="0" w:color="auto"/>
              <w:right w:val="single" w:sz="4" w:space="0" w:color="auto"/>
            </w:tcBorders>
            <w:shd w:val="clear" w:color="auto" w:fill="auto"/>
            <w:noWrap/>
            <w:vAlign w:val="bottom"/>
            <w:hideMark/>
          </w:tcPr>
          <w:p w14:paraId="09E33DB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6,15</w:t>
            </w:r>
          </w:p>
        </w:tc>
      </w:tr>
      <w:tr w:rsidR="007E253F" w:rsidRPr="007E253F" w14:paraId="5145AC62"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6B677FB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w:t>
            </w:r>
          </w:p>
        </w:tc>
        <w:tc>
          <w:tcPr>
            <w:tcW w:w="683" w:type="pct"/>
            <w:tcBorders>
              <w:top w:val="nil"/>
              <w:left w:val="nil"/>
              <w:bottom w:val="single" w:sz="4" w:space="0" w:color="auto"/>
              <w:right w:val="single" w:sz="4" w:space="0" w:color="auto"/>
            </w:tcBorders>
            <w:shd w:val="clear" w:color="auto" w:fill="auto"/>
            <w:noWrap/>
            <w:vAlign w:val="bottom"/>
            <w:hideMark/>
          </w:tcPr>
          <w:p w14:paraId="7C9B3B29"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61886,53</w:t>
            </w:r>
          </w:p>
        </w:tc>
        <w:tc>
          <w:tcPr>
            <w:tcW w:w="645" w:type="pct"/>
            <w:tcBorders>
              <w:top w:val="nil"/>
              <w:left w:val="nil"/>
              <w:bottom w:val="single" w:sz="4" w:space="0" w:color="auto"/>
              <w:right w:val="single" w:sz="4" w:space="0" w:color="auto"/>
            </w:tcBorders>
            <w:shd w:val="clear" w:color="auto" w:fill="auto"/>
            <w:noWrap/>
            <w:vAlign w:val="bottom"/>
            <w:hideMark/>
          </w:tcPr>
          <w:p w14:paraId="6A399033"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645" w:type="pct"/>
            <w:tcBorders>
              <w:top w:val="nil"/>
              <w:left w:val="nil"/>
              <w:bottom w:val="single" w:sz="4" w:space="0" w:color="auto"/>
              <w:right w:val="single" w:sz="4" w:space="0" w:color="auto"/>
            </w:tcBorders>
            <w:shd w:val="clear" w:color="auto" w:fill="auto"/>
            <w:noWrap/>
            <w:vAlign w:val="bottom"/>
            <w:hideMark/>
          </w:tcPr>
          <w:p w14:paraId="3D5DDB8E"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20628,84</w:t>
            </w:r>
          </w:p>
        </w:tc>
        <w:tc>
          <w:tcPr>
            <w:tcW w:w="500" w:type="pct"/>
            <w:tcBorders>
              <w:top w:val="nil"/>
              <w:left w:val="nil"/>
              <w:bottom w:val="single" w:sz="4" w:space="0" w:color="auto"/>
              <w:right w:val="single" w:sz="4" w:space="0" w:color="auto"/>
            </w:tcBorders>
            <w:shd w:val="clear" w:color="auto" w:fill="auto"/>
            <w:noWrap/>
            <w:vAlign w:val="bottom"/>
            <w:hideMark/>
          </w:tcPr>
          <w:p w14:paraId="54BCA70F"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15,2</w:t>
            </w:r>
          </w:p>
        </w:tc>
        <w:tc>
          <w:tcPr>
            <w:tcW w:w="633" w:type="pct"/>
            <w:tcBorders>
              <w:top w:val="nil"/>
              <w:left w:val="nil"/>
              <w:bottom w:val="single" w:sz="4" w:space="0" w:color="auto"/>
              <w:right w:val="single" w:sz="4" w:space="0" w:color="auto"/>
            </w:tcBorders>
            <w:shd w:val="clear" w:color="auto" w:fill="auto"/>
            <w:noWrap/>
            <w:vAlign w:val="bottom"/>
            <w:hideMark/>
          </w:tcPr>
          <w:p w14:paraId="6461C76F"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shd w:val="clear" w:color="auto" w:fill="auto"/>
            <w:noWrap/>
            <w:vAlign w:val="bottom"/>
            <w:hideMark/>
          </w:tcPr>
          <w:p w14:paraId="162CD720"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28,41</w:t>
            </w:r>
          </w:p>
        </w:tc>
      </w:tr>
      <w:tr w:rsidR="007E253F" w:rsidRPr="007E253F" w14:paraId="7ED7A817"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78F3098F"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P</w:t>
            </w:r>
          </w:p>
        </w:tc>
        <w:tc>
          <w:tcPr>
            <w:tcW w:w="683" w:type="pct"/>
            <w:tcBorders>
              <w:top w:val="nil"/>
              <w:left w:val="nil"/>
              <w:bottom w:val="single" w:sz="4" w:space="0" w:color="auto"/>
              <w:right w:val="single" w:sz="4" w:space="0" w:color="auto"/>
            </w:tcBorders>
            <w:shd w:val="clear" w:color="auto" w:fill="auto"/>
            <w:noWrap/>
            <w:vAlign w:val="bottom"/>
            <w:hideMark/>
          </w:tcPr>
          <w:p w14:paraId="1EC2AA9D"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3100,9</w:t>
            </w:r>
          </w:p>
        </w:tc>
        <w:tc>
          <w:tcPr>
            <w:tcW w:w="645" w:type="pct"/>
            <w:tcBorders>
              <w:top w:val="nil"/>
              <w:left w:val="nil"/>
              <w:bottom w:val="single" w:sz="4" w:space="0" w:color="auto"/>
              <w:right w:val="single" w:sz="4" w:space="0" w:color="auto"/>
            </w:tcBorders>
            <w:shd w:val="clear" w:color="auto" w:fill="auto"/>
            <w:noWrap/>
            <w:vAlign w:val="bottom"/>
            <w:hideMark/>
          </w:tcPr>
          <w:p w14:paraId="2D17FFA9"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w:t>
            </w:r>
          </w:p>
        </w:tc>
        <w:tc>
          <w:tcPr>
            <w:tcW w:w="645" w:type="pct"/>
            <w:tcBorders>
              <w:top w:val="nil"/>
              <w:left w:val="nil"/>
              <w:bottom w:val="single" w:sz="4" w:space="0" w:color="auto"/>
              <w:right w:val="single" w:sz="4" w:space="0" w:color="auto"/>
            </w:tcBorders>
            <w:shd w:val="clear" w:color="auto" w:fill="auto"/>
            <w:noWrap/>
            <w:vAlign w:val="bottom"/>
            <w:hideMark/>
          </w:tcPr>
          <w:p w14:paraId="0CB7B9D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1550,45</w:t>
            </w:r>
          </w:p>
        </w:tc>
        <w:tc>
          <w:tcPr>
            <w:tcW w:w="500" w:type="pct"/>
            <w:tcBorders>
              <w:top w:val="nil"/>
              <w:left w:val="nil"/>
              <w:bottom w:val="single" w:sz="4" w:space="0" w:color="auto"/>
              <w:right w:val="single" w:sz="4" w:space="0" w:color="auto"/>
            </w:tcBorders>
            <w:shd w:val="clear" w:color="auto" w:fill="auto"/>
            <w:noWrap/>
            <w:vAlign w:val="bottom"/>
            <w:hideMark/>
          </w:tcPr>
          <w:p w14:paraId="7F60E622"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1,14</w:t>
            </w:r>
          </w:p>
        </w:tc>
        <w:tc>
          <w:tcPr>
            <w:tcW w:w="633" w:type="pct"/>
            <w:tcBorders>
              <w:top w:val="nil"/>
              <w:left w:val="nil"/>
              <w:bottom w:val="single" w:sz="4" w:space="0" w:color="auto"/>
              <w:right w:val="single" w:sz="4" w:space="0" w:color="auto"/>
            </w:tcBorders>
            <w:shd w:val="clear" w:color="auto" w:fill="auto"/>
            <w:noWrap/>
            <w:vAlign w:val="bottom"/>
            <w:hideMark/>
          </w:tcPr>
          <w:p w14:paraId="4369AAAD"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0,3246</w:t>
            </w:r>
          </w:p>
        </w:tc>
        <w:tc>
          <w:tcPr>
            <w:tcW w:w="817" w:type="pct"/>
            <w:tcBorders>
              <w:top w:val="nil"/>
              <w:left w:val="nil"/>
              <w:bottom w:val="single" w:sz="4" w:space="0" w:color="auto"/>
              <w:right w:val="single" w:sz="4" w:space="0" w:color="auto"/>
            </w:tcBorders>
            <w:shd w:val="clear" w:color="auto" w:fill="auto"/>
            <w:noWrap/>
            <w:vAlign w:val="bottom"/>
            <w:hideMark/>
          </w:tcPr>
          <w:p w14:paraId="47C5804B"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1,42</w:t>
            </w:r>
          </w:p>
        </w:tc>
      </w:tr>
      <w:tr w:rsidR="007E253F" w:rsidRPr="007E253F" w14:paraId="6135DD85"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32587B4F"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K</w:t>
            </w:r>
          </w:p>
        </w:tc>
        <w:tc>
          <w:tcPr>
            <w:tcW w:w="683" w:type="pct"/>
            <w:tcBorders>
              <w:top w:val="nil"/>
              <w:left w:val="nil"/>
              <w:bottom w:val="single" w:sz="4" w:space="0" w:color="auto"/>
              <w:right w:val="single" w:sz="4" w:space="0" w:color="auto"/>
            </w:tcBorders>
            <w:shd w:val="clear" w:color="auto" w:fill="auto"/>
            <w:noWrap/>
            <w:vAlign w:val="bottom"/>
            <w:hideMark/>
          </w:tcPr>
          <w:p w14:paraId="077F5068"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21692,7</w:t>
            </w:r>
          </w:p>
        </w:tc>
        <w:tc>
          <w:tcPr>
            <w:tcW w:w="645" w:type="pct"/>
            <w:tcBorders>
              <w:top w:val="nil"/>
              <w:left w:val="nil"/>
              <w:bottom w:val="single" w:sz="4" w:space="0" w:color="auto"/>
              <w:right w:val="single" w:sz="4" w:space="0" w:color="auto"/>
            </w:tcBorders>
            <w:shd w:val="clear" w:color="auto" w:fill="auto"/>
            <w:noWrap/>
            <w:vAlign w:val="bottom"/>
            <w:hideMark/>
          </w:tcPr>
          <w:p w14:paraId="3A3C5CEE"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645" w:type="pct"/>
            <w:tcBorders>
              <w:top w:val="nil"/>
              <w:left w:val="nil"/>
              <w:bottom w:val="single" w:sz="4" w:space="0" w:color="auto"/>
              <w:right w:val="single" w:sz="4" w:space="0" w:color="auto"/>
            </w:tcBorders>
            <w:shd w:val="clear" w:color="auto" w:fill="auto"/>
            <w:noWrap/>
            <w:vAlign w:val="bottom"/>
            <w:hideMark/>
          </w:tcPr>
          <w:p w14:paraId="38C5E450"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7230,9</w:t>
            </w:r>
          </w:p>
        </w:tc>
        <w:tc>
          <w:tcPr>
            <w:tcW w:w="500" w:type="pct"/>
            <w:tcBorders>
              <w:top w:val="nil"/>
              <w:left w:val="nil"/>
              <w:bottom w:val="single" w:sz="4" w:space="0" w:color="auto"/>
              <w:right w:val="single" w:sz="4" w:space="0" w:color="auto"/>
            </w:tcBorders>
            <w:shd w:val="clear" w:color="auto" w:fill="auto"/>
            <w:noWrap/>
            <w:vAlign w:val="bottom"/>
            <w:hideMark/>
          </w:tcPr>
          <w:p w14:paraId="1AD4A057"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5,33</w:t>
            </w:r>
          </w:p>
        </w:tc>
        <w:tc>
          <w:tcPr>
            <w:tcW w:w="633" w:type="pct"/>
            <w:tcBorders>
              <w:top w:val="nil"/>
              <w:left w:val="nil"/>
              <w:bottom w:val="single" w:sz="4" w:space="0" w:color="auto"/>
              <w:right w:val="single" w:sz="4" w:space="0" w:color="auto"/>
            </w:tcBorders>
            <w:shd w:val="clear" w:color="auto" w:fill="auto"/>
            <w:noWrap/>
            <w:vAlign w:val="bottom"/>
            <w:hideMark/>
          </w:tcPr>
          <w:p w14:paraId="6A17E3D3"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0,0022</w:t>
            </w:r>
          </w:p>
        </w:tc>
        <w:tc>
          <w:tcPr>
            <w:tcW w:w="817" w:type="pct"/>
            <w:tcBorders>
              <w:top w:val="nil"/>
              <w:left w:val="nil"/>
              <w:bottom w:val="single" w:sz="4" w:space="0" w:color="auto"/>
              <w:right w:val="single" w:sz="4" w:space="0" w:color="auto"/>
            </w:tcBorders>
            <w:shd w:val="clear" w:color="auto" w:fill="auto"/>
            <w:noWrap/>
            <w:vAlign w:val="bottom"/>
            <w:hideMark/>
          </w:tcPr>
          <w:p w14:paraId="318BF4AA"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9,96</w:t>
            </w:r>
          </w:p>
        </w:tc>
      </w:tr>
      <w:tr w:rsidR="007E253F" w:rsidRPr="007E253F" w14:paraId="16CD3201"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6A802742"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S</w:t>
            </w:r>
          </w:p>
        </w:tc>
        <w:tc>
          <w:tcPr>
            <w:tcW w:w="683" w:type="pct"/>
            <w:tcBorders>
              <w:top w:val="nil"/>
              <w:left w:val="nil"/>
              <w:bottom w:val="single" w:sz="4" w:space="0" w:color="auto"/>
              <w:right w:val="single" w:sz="4" w:space="0" w:color="auto"/>
            </w:tcBorders>
            <w:shd w:val="clear" w:color="auto" w:fill="auto"/>
            <w:noWrap/>
            <w:vAlign w:val="bottom"/>
            <w:hideMark/>
          </w:tcPr>
          <w:p w14:paraId="516EF70D"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2844,56</w:t>
            </w:r>
          </w:p>
        </w:tc>
        <w:tc>
          <w:tcPr>
            <w:tcW w:w="645" w:type="pct"/>
            <w:tcBorders>
              <w:top w:val="nil"/>
              <w:left w:val="nil"/>
              <w:bottom w:val="single" w:sz="4" w:space="0" w:color="auto"/>
              <w:right w:val="single" w:sz="4" w:space="0" w:color="auto"/>
            </w:tcBorders>
            <w:shd w:val="clear" w:color="auto" w:fill="auto"/>
            <w:noWrap/>
            <w:vAlign w:val="bottom"/>
            <w:hideMark/>
          </w:tcPr>
          <w:p w14:paraId="29089307"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645" w:type="pct"/>
            <w:tcBorders>
              <w:top w:val="nil"/>
              <w:left w:val="nil"/>
              <w:bottom w:val="single" w:sz="4" w:space="0" w:color="auto"/>
              <w:right w:val="single" w:sz="4" w:space="0" w:color="auto"/>
            </w:tcBorders>
            <w:shd w:val="clear" w:color="auto" w:fill="auto"/>
            <w:noWrap/>
            <w:vAlign w:val="bottom"/>
            <w:hideMark/>
          </w:tcPr>
          <w:p w14:paraId="48FD3D32"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2844,56</w:t>
            </w:r>
          </w:p>
        </w:tc>
        <w:tc>
          <w:tcPr>
            <w:tcW w:w="500" w:type="pct"/>
            <w:tcBorders>
              <w:top w:val="nil"/>
              <w:left w:val="nil"/>
              <w:bottom w:val="single" w:sz="4" w:space="0" w:color="auto"/>
              <w:right w:val="single" w:sz="4" w:space="0" w:color="auto"/>
            </w:tcBorders>
            <w:shd w:val="clear" w:color="auto" w:fill="auto"/>
            <w:noWrap/>
            <w:vAlign w:val="bottom"/>
            <w:hideMark/>
          </w:tcPr>
          <w:p w14:paraId="3621963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w:t>
            </w:r>
          </w:p>
        </w:tc>
        <w:tc>
          <w:tcPr>
            <w:tcW w:w="633" w:type="pct"/>
            <w:tcBorders>
              <w:top w:val="nil"/>
              <w:left w:val="nil"/>
              <w:bottom w:val="single" w:sz="4" w:space="0" w:color="auto"/>
              <w:right w:val="single" w:sz="4" w:space="0" w:color="auto"/>
            </w:tcBorders>
            <w:shd w:val="clear" w:color="auto" w:fill="auto"/>
            <w:noWrap/>
            <w:vAlign w:val="bottom"/>
            <w:hideMark/>
          </w:tcPr>
          <w:p w14:paraId="418C5070"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0,1519</w:t>
            </w:r>
          </w:p>
        </w:tc>
        <w:tc>
          <w:tcPr>
            <w:tcW w:w="817" w:type="pct"/>
            <w:tcBorders>
              <w:top w:val="nil"/>
              <w:left w:val="nil"/>
              <w:bottom w:val="single" w:sz="4" w:space="0" w:color="auto"/>
              <w:right w:val="single" w:sz="4" w:space="0" w:color="auto"/>
            </w:tcBorders>
            <w:shd w:val="clear" w:color="auto" w:fill="auto"/>
            <w:noWrap/>
            <w:vAlign w:val="bottom"/>
            <w:hideMark/>
          </w:tcPr>
          <w:p w14:paraId="3EF6A2B8"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1,31</w:t>
            </w:r>
          </w:p>
        </w:tc>
      </w:tr>
      <w:tr w:rsidR="007E253F" w:rsidRPr="007E253F" w14:paraId="78772047"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59041CF0"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Mg</w:t>
            </w:r>
          </w:p>
        </w:tc>
        <w:tc>
          <w:tcPr>
            <w:tcW w:w="683" w:type="pct"/>
            <w:tcBorders>
              <w:top w:val="nil"/>
              <w:left w:val="nil"/>
              <w:bottom w:val="single" w:sz="4" w:space="0" w:color="auto"/>
              <w:right w:val="single" w:sz="4" w:space="0" w:color="auto"/>
            </w:tcBorders>
            <w:shd w:val="clear" w:color="auto" w:fill="auto"/>
            <w:noWrap/>
            <w:vAlign w:val="bottom"/>
            <w:hideMark/>
          </w:tcPr>
          <w:p w14:paraId="0DD7157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3330,14</w:t>
            </w:r>
          </w:p>
        </w:tc>
        <w:tc>
          <w:tcPr>
            <w:tcW w:w="645" w:type="pct"/>
            <w:tcBorders>
              <w:top w:val="nil"/>
              <w:left w:val="nil"/>
              <w:bottom w:val="single" w:sz="4" w:space="0" w:color="auto"/>
              <w:right w:val="single" w:sz="4" w:space="0" w:color="auto"/>
            </w:tcBorders>
            <w:shd w:val="clear" w:color="auto" w:fill="auto"/>
            <w:noWrap/>
            <w:vAlign w:val="bottom"/>
            <w:hideMark/>
          </w:tcPr>
          <w:p w14:paraId="0F5EDD0F"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645" w:type="pct"/>
            <w:tcBorders>
              <w:top w:val="nil"/>
              <w:left w:val="nil"/>
              <w:bottom w:val="single" w:sz="4" w:space="0" w:color="auto"/>
              <w:right w:val="single" w:sz="4" w:space="0" w:color="auto"/>
            </w:tcBorders>
            <w:shd w:val="clear" w:color="auto" w:fill="auto"/>
            <w:noWrap/>
            <w:vAlign w:val="bottom"/>
            <w:hideMark/>
          </w:tcPr>
          <w:p w14:paraId="45533ABA"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3330,14</w:t>
            </w:r>
          </w:p>
        </w:tc>
        <w:tc>
          <w:tcPr>
            <w:tcW w:w="500" w:type="pct"/>
            <w:tcBorders>
              <w:top w:val="nil"/>
              <w:left w:val="nil"/>
              <w:bottom w:val="single" w:sz="4" w:space="0" w:color="auto"/>
              <w:right w:val="single" w:sz="4" w:space="0" w:color="auto"/>
            </w:tcBorders>
            <w:shd w:val="clear" w:color="auto" w:fill="auto"/>
            <w:noWrap/>
            <w:vAlign w:val="bottom"/>
            <w:hideMark/>
          </w:tcPr>
          <w:p w14:paraId="2500C6D7"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2,45</w:t>
            </w:r>
          </w:p>
        </w:tc>
        <w:tc>
          <w:tcPr>
            <w:tcW w:w="633" w:type="pct"/>
            <w:tcBorders>
              <w:top w:val="nil"/>
              <w:left w:val="nil"/>
              <w:bottom w:val="single" w:sz="4" w:space="0" w:color="auto"/>
              <w:right w:val="single" w:sz="4" w:space="0" w:color="auto"/>
            </w:tcBorders>
            <w:shd w:val="clear" w:color="auto" w:fill="auto"/>
            <w:noWrap/>
            <w:vAlign w:val="bottom"/>
            <w:hideMark/>
          </w:tcPr>
          <w:p w14:paraId="29D8F4B5"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0,1215</w:t>
            </w:r>
          </w:p>
        </w:tc>
        <w:tc>
          <w:tcPr>
            <w:tcW w:w="817" w:type="pct"/>
            <w:tcBorders>
              <w:top w:val="nil"/>
              <w:left w:val="nil"/>
              <w:bottom w:val="single" w:sz="4" w:space="0" w:color="auto"/>
              <w:right w:val="single" w:sz="4" w:space="0" w:color="auto"/>
            </w:tcBorders>
            <w:shd w:val="clear" w:color="auto" w:fill="auto"/>
            <w:noWrap/>
            <w:vAlign w:val="bottom"/>
            <w:hideMark/>
          </w:tcPr>
          <w:p w14:paraId="03308BFD"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1,53</w:t>
            </w:r>
          </w:p>
        </w:tc>
      </w:tr>
      <w:tr w:rsidR="007E253F" w:rsidRPr="007E253F" w14:paraId="05BD9DB7"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0D1E4CEB"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N*Dosis P</w:t>
            </w:r>
          </w:p>
        </w:tc>
        <w:tc>
          <w:tcPr>
            <w:tcW w:w="683" w:type="pct"/>
            <w:tcBorders>
              <w:top w:val="nil"/>
              <w:left w:val="nil"/>
              <w:bottom w:val="single" w:sz="4" w:space="0" w:color="auto"/>
              <w:right w:val="single" w:sz="4" w:space="0" w:color="auto"/>
            </w:tcBorders>
            <w:shd w:val="clear" w:color="auto" w:fill="auto"/>
            <w:noWrap/>
            <w:vAlign w:val="bottom"/>
            <w:hideMark/>
          </w:tcPr>
          <w:p w14:paraId="5E7986FF"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9821,01</w:t>
            </w:r>
          </w:p>
        </w:tc>
        <w:tc>
          <w:tcPr>
            <w:tcW w:w="645" w:type="pct"/>
            <w:tcBorders>
              <w:top w:val="nil"/>
              <w:left w:val="nil"/>
              <w:bottom w:val="single" w:sz="4" w:space="0" w:color="auto"/>
              <w:right w:val="single" w:sz="4" w:space="0" w:color="auto"/>
            </w:tcBorders>
            <w:shd w:val="clear" w:color="auto" w:fill="auto"/>
            <w:noWrap/>
            <w:vAlign w:val="bottom"/>
            <w:hideMark/>
          </w:tcPr>
          <w:p w14:paraId="773CC43E"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645" w:type="pct"/>
            <w:tcBorders>
              <w:top w:val="nil"/>
              <w:left w:val="nil"/>
              <w:bottom w:val="single" w:sz="4" w:space="0" w:color="auto"/>
              <w:right w:val="single" w:sz="4" w:space="0" w:color="auto"/>
            </w:tcBorders>
            <w:shd w:val="clear" w:color="auto" w:fill="auto"/>
            <w:noWrap/>
            <w:vAlign w:val="bottom"/>
            <w:hideMark/>
          </w:tcPr>
          <w:p w14:paraId="71417608"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9821,01</w:t>
            </w:r>
          </w:p>
        </w:tc>
        <w:tc>
          <w:tcPr>
            <w:tcW w:w="500" w:type="pct"/>
            <w:tcBorders>
              <w:top w:val="nil"/>
              <w:left w:val="nil"/>
              <w:bottom w:val="single" w:sz="4" w:space="0" w:color="auto"/>
              <w:right w:val="single" w:sz="4" w:space="0" w:color="auto"/>
            </w:tcBorders>
            <w:shd w:val="clear" w:color="auto" w:fill="auto"/>
            <w:noWrap/>
            <w:vAlign w:val="bottom"/>
            <w:hideMark/>
          </w:tcPr>
          <w:p w14:paraId="775A0651"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7,24</w:t>
            </w:r>
          </w:p>
        </w:tc>
        <w:tc>
          <w:tcPr>
            <w:tcW w:w="633" w:type="pct"/>
            <w:tcBorders>
              <w:top w:val="nil"/>
              <w:left w:val="nil"/>
              <w:bottom w:val="single" w:sz="4" w:space="0" w:color="auto"/>
              <w:right w:val="single" w:sz="4" w:space="0" w:color="auto"/>
            </w:tcBorders>
            <w:shd w:val="clear" w:color="auto" w:fill="auto"/>
            <w:noWrap/>
            <w:vAlign w:val="bottom"/>
            <w:hideMark/>
          </w:tcPr>
          <w:p w14:paraId="53B1438A"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0,0088</w:t>
            </w:r>
          </w:p>
        </w:tc>
        <w:tc>
          <w:tcPr>
            <w:tcW w:w="817" w:type="pct"/>
            <w:tcBorders>
              <w:top w:val="nil"/>
              <w:left w:val="nil"/>
              <w:bottom w:val="single" w:sz="4" w:space="0" w:color="auto"/>
              <w:right w:val="single" w:sz="4" w:space="0" w:color="auto"/>
            </w:tcBorders>
            <w:shd w:val="clear" w:color="auto" w:fill="auto"/>
            <w:noWrap/>
            <w:vAlign w:val="bottom"/>
            <w:hideMark/>
          </w:tcPr>
          <w:p w14:paraId="5278F78C"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4,51</w:t>
            </w:r>
          </w:p>
        </w:tc>
      </w:tr>
      <w:tr w:rsidR="007E253F" w:rsidRPr="007E253F" w14:paraId="69980844"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56581F84"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Error</w:t>
            </w:r>
          </w:p>
        </w:tc>
        <w:tc>
          <w:tcPr>
            <w:tcW w:w="683" w:type="pct"/>
            <w:tcBorders>
              <w:top w:val="nil"/>
              <w:left w:val="nil"/>
              <w:bottom w:val="single" w:sz="4" w:space="0" w:color="auto"/>
              <w:right w:val="single" w:sz="4" w:space="0" w:color="auto"/>
            </w:tcBorders>
            <w:shd w:val="clear" w:color="auto" w:fill="auto"/>
            <w:noWrap/>
            <w:vAlign w:val="bottom"/>
            <w:hideMark/>
          </w:tcPr>
          <w:p w14:paraId="0DBDE0F9"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101792,28</w:t>
            </w:r>
          </w:p>
        </w:tc>
        <w:tc>
          <w:tcPr>
            <w:tcW w:w="645" w:type="pct"/>
            <w:tcBorders>
              <w:top w:val="nil"/>
              <w:left w:val="nil"/>
              <w:bottom w:val="single" w:sz="4" w:space="0" w:color="auto"/>
              <w:right w:val="single" w:sz="4" w:space="0" w:color="auto"/>
            </w:tcBorders>
            <w:shd w:val="clear" w:color="auto" w:fill="auto"/>
            <w:noWrap/>
            <w:vAlign w:val="bottom"/>
            <w:hideMark/>
          </w:tcPr>
          <w:p w14:paraId="486C7803"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75</w:t>
            </w:r>
          </w:p>
        </w:tc>
        <w:tc>
          <w:tcPr>
            <w:tcW w:w="645" w:type="pct"/>
            <w:tcBorders>
              <w:top w:val="nil"/>
              <w:left w:val="nil"/>
              <w:bottom w:val="single" w:sz="4" w:space="0" w:color="auto"/>
              <w:right w:val="single" w:sz="4" w:space="0" w:color="auto"/>
            </w:tcBorders>
            <w:shd w:val="clear" w:color="auto" w:fill="auto"/>
            <w:noWrap/>
            <w:vAlign w:val="bottom"/>
            <w:hideMark/>
          </w:tcPr>
          <w:p w14:paraId="0444F6D7"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1357,23</w:t>
            </w:r>
          </w:p>
        </w:tc>
        <w:tc>
          <w:tcPr>
            <w:tcW w:w="500" w:type="pct"/>
            <w:tcBorders>
              <w:top w:val="nil"/>
              <w:left w:val="nil"/>
              <w:bottom w:val="single" w:sz="4" w:space="0" w:color="auto"/>
              <w:right w:val="single" w:sz="4" w:space="0" w:color="auto"/>
            </w:tcBorders>
            <w:shd w:val="clear" w:color="auto" w:fill="auto"/>
            <w:noWrap/>
            <w:vAlign w:val="bottom"/>
            <w:hideMark/>
          </w:tcPr>
          <w:p w14:paraId="64BE5139" w14:textId="77777777" w:rsidR="007E253F" w:rsidRPr="007E253F" w:rsidRDefault="007E253F" w:rsidP="00313B1A">
            <w:pPr>
              <w:spacing w:after="0" w:line="240" w:lineRule="auto"/>
              <w:jc w:val="center"/>
              <w:rPr>
                <w:rFonts w:eastAsia="Times New Roman" w:cs="Times New Roman"/>
                <w:color w:val="000000"/>
                <w:szCs w:val="24"/>
                <w:lang w:eastAsia="es-EC"/>
              </w:rPr>
            </w:pPr>
          </w:p>
        </w:tc>
        <w:tc>
          <w:tcPr>
            <w:tcW w:w="633" w:type="pct"/>
            <w:tcBorders>
              <w:top w:val="nil"/>
              <w:left w:val="nil"/>
              <w:bottom w:val="single" w:sz="4" w:space="0" w:color="auto"/>
              <w:right w:val="single" w:sz="4" w:space="0" w:color="auto"/>
            </w:tcBorders>
            <w:shd w:val="clear" w:color="auto" w:fill="auto"/>
            <w:noWrap/>
            <w:vAlign w:val="bottom"/>
            <w:hideMark/>
          </w:tcPr>
          <w:p w14:paraId="743EDD9B" w14:textId="77777777" w:rsidR="007E253F" w:rsidRPr="007E253F" w:rsidRDefault="007E253F" w:rsidP="00313B1A">
            <w:pPr>
              <w:spacing w:after="0" w:line="240" w:lineRule="auto"/>
              <w:jc w:val="center"/>
              <w:rPr>
                <w:rFonts w:eastAsia="Times New Roman" w:cs="Times New Roman"/>
                <w:color w:val="000000"/>
                <w:szCs w:val="24"/>
                <w:lang w:eastAsia="es-EC"/>
              </w:rPr>
            </w:pPr>
          </w:p>
        </w:tc>
        <w:tc>
          <w:tcPr>
            <w:tcW w:w="817" w:type="pct"/>
            <w:tcBorders>
              <w:top w:val="nil"/>
              <w:left w:val="nil"/>
              <w:bottom w:val="single" w:sz="4" w:space="0" w:color="auto"/>
              <w:right w:val="single" w:sz="4" w:space="0" w:color="auto"/>
            </w:tcBorders>
            <w:shd w:val="clear" w:color="auto" w:fill="auto"/>
            <w:noWrap/>
            <w:vAlign w:val="bottom"/>
            <w:hideMark/>
          </w:tcPr>
          <w:p w14:paraId="2AC884B6"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46,72</w:t>
            </w:r>
          </w:p>
        </w:tc>
      </w:tr>
      <w:tr w:rsidR="007E253F" w:rsidRPr="007E253F" w14:paraId="46A6B4B2" w14:textId="77777777" w:rsidTr="009635E7">
        <w:trPr>
          <w:trHeight w:val="30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088203DB"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Total</w:t>
            </w:r>
          </w:p>
        </w:tc>
        <w:tc>
          <w:tcPr>
            <w:tcW w:w="683" w:type="pct"/>
            <w:tcBorders>
              <w:top w:val="nil"/>
              <w:left w:val="nil"/>
              <w:bottom w:val="single" w:sz="4" w:space="0" w:color="auto"/>
              <w:right w:val="single" w:sz="4" w:space="0" w:color="auto"/>
            </w:tcBorders>
            <w:shd w:val="clear" w:color="auto" w:fill="auto"/>
            <w:noWrap/>
            <w:vAlign w:val="bottom"/>
            <w:hideMark/>
          </w:tcPr>
          <w:p w14:paraId="7EDA924A"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217866,59</w:t>
            </w:r>
          </w:p>
        </w:tc>
        <w:tc>
          <w:tcPr>
            <w:tcW w:w="645" w:type="pct"/>
            <w:tcBorders>
              <w:top w:val="nil"/>
              <w:left w:val="nil"/>
              <w:bottom w:val="single" w:sz="4" w:space="0" w:color="auto"/>
              <w:right w:val="single" w:sz="4" w:space="0" w:color="auto"/>
            </w:tcBorders>
            <w:shd w:val="clear" w:color="auto" w:fill="auto"/>
            <w:noWrap/>
            <w:vAlign w:val="bottom"/>
            <w:hideMark/>
          </w:tcPr>
          <w:p w14:paraId="222B27C2" w14:textId="77777777" w:rsidR="007E253F" w:rsidRPr="007E253F" w:rsidRDefault="007E253F" w:rsidP="00313B1A">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w:t>
            </w:r>
          </w:p>
        </w:tc>
        <w:tc>
          <w:tcPr>
            <w:tcW w:w="645" w:type="pct"/>
            <w:tcBorders>
              <w:top w:val="nil"/>
              <w:left w:val="nil"/>
              <w:bottom w:val="single" w:sz="4" w:space="0" w:color="auto"/>
              <w:right w:val="single" w:sz="4" w:space="0" w:color="auto"/>
            </w:tcBorders>
            <w:shd w:val="clear" w:color="auto" w:fill="auto"/>
            <w:noWrap/>
            <w:vAlign w:val="bottom"/>
            <w:hideMark/>
          </w:tcPr>
          <w:p w14:paraId="6CA0EF27" w14:textId="77777777" w:rsidR="007E253F" w:rsidRPr="007E253F" w:rsidRDefault="007E253F" w:rsidP="00313B1A">
            <w:pPr>
              <w:spacing w:after="0" w:line="240" w:lineRule="auto"/>
              <w:jc w:val="center"/>
              <w:rPr>
                <w:rFonts w:eastAsia="Times New Roman" w:cs="Times New Roman"/>
                <w:color w:val="000000"/>
                <w:szCs w:val="24"/>
                <w:lang w:eastAsia="es-EC"/>
              </w:rPr>
            </w:pPr>
          </w:p>
        </w:tc>
        <w:tc>
          <w:tcPr>
            <w:tcW w:w="500" w:type="pct"/>
            <w:tcBorders>
              <w:top w:val="nil"/>
              <w:left w:val="nil"/>
              <w:bottom w:val="single" w:sz="4" w:space="0" w:color="auto"/>
              <w:right w:val="single" w:sz="4" w:space="0" w:color="auto"/>
            </w:tcBorders>
            <w:shd w:val="clear" w:color="auto" w:fill="auto"/>
            <w:noWrap/>
            <w:vAlign w:val="bottom"/>
            <w:hideMark/>
          </w:tcPr>
          <w:p w14:paraId="7503956A" w14:textId="77777777" w:rsidR="007E253F" w:rsidRPr="007E253F" w:rsidRDefault="007E253F" w:rsidP="00313B1A">
            <w:pPr>
              <w:spacing w:after="0" w:line="240" w:lineRule="auto"/>
              <w:jc w:val="center"/>
              <w:rPr>
                <w:rFonts w:eastAsia="Times New Roman" w:cs="Times New Roman"/>
                <w:color w:val="000000"/>
                <w:szCs w:val="24"/>
                <w:lang w:eastAsia="es-EC"/>
              </w:rPr>
            </w:pPr>
          </w:p>
        </w:tc>
        <w:tc>
          <w:tcPr>
            <w:tcW w:w="633" w:type="pct"/>
            <w:tcBorders>
              <w:top w:val="nil"/>
              <w:left w:val="nil"/>
              <w:bottom w:val="single" w:sz="4" w:space="0" w:color="auto"/>
              <w:right w:val="single" w:sz="4" w:space="0" w:color="auto"/>
            </w:tcBorders>
            <w:shd w:val="clear" w:color="auto" w:fill="auto"/>
            <w:noWrap/>
            <w:vAlign w:val="bottom"/>
            <w:hideMark/>
          </w:tcPr>
          <w:p w14:paraId="2587F33A" w14:textId="77777777" w:rsidR="007E253F" w:rsidRPr="007E253F" w:rsidRDefault="007E253F" w:rsidP="00313B1A">
            <w:pPr>
              <w:spacing w:after="0" w:line="240" w:lineRule="auto"/>
              <w:jc w:val="center"/>
              <w:rPr>
                <w:rFonts w:eastAsia="Times New Roman" w:cs="Times New Roman"/>
                <w:color w:val="000000"/>
                <w:szCs w:val="24"/>
                <w:lang w:eastAsia="es-EC"/>
              </w:rPr>
            </w:pPr>
          </w:p>
        </w:tc>
        <w:tc>
          <w:tcPr>
            <w:tcW w:w="817" w:type="pct"/>
            <w:tcBorders>
              <w:top w:val="nil"/>
              <w:left w:val="nil"/>
              <w:bottom w:val="single" w:sz="4" w:space="0" w:color="auto"/>
              <w:right w:val="single" w:sz="4" w:space="0" w:color="auto"/>
            </w:tcBorders>
            <w:shd w:val="clear" w:color="auto" w:fill="auto"/>
            <w:noWrap/>
            <w:vAlign w:val="bottom"/>
            <w:hideMark/>
          </w:tcPr>
          <w:p w14:paraId="6B8ACB50" w14:textId="77777777" w:rsidR="007E253F" w:rsidRPr="007E253F" w:rsidRDefault="007E253F" w:rsidP="00313B1A">
            <w:pPr>
              <w:spacing w:after="0" w:line="240" w:lineRule="auto"/>
              <w:jc w:val="center"/>
              <w:rPr>
                <w:rFonts w:eastAsia="Times New Roman" w:cs="Times New Roman"/>
                <w:color w:val="000000"/>
                <w:szCs w:val="24"/>
                <w:lang w:eastAsia="es-EC"/>
              </w:rPr>
            </w:pPr>
          </w:p>
        </w:tc>
      </w:tr>
    </w:tbl>
    <w:p w14:paraId="5875D1FF" w14:textId="77777777" w:rsidR="000E7387" w:rsidRDefault="007E253F" w:rsidP="000E7387">
      <w:pPr>
        <w:autoSpaceDE w:val="0"/>
        <w:autoSpaceDN w:val="0"/>
        <w:adjustRightInd w:val="0"/>
        <w:spacing w:before="360" w:after="360" w:line="360" w:lineRule="auto"/>
        <w:rPr>
          <w:rFonts w:cs="Times New Roman"/>
          <w:bCs/>
          <w:szCs w:val="24"/>
        </w:rPr>
      </w:pPr>
      <w:r w:rsidRPr="007E253F">
        <w:rPr>
          <w:rFonts w:cs="Times New Roman"/>
          <w:bCs/>
          <w:szCs w:val="24"/>
        </w:rPr>
        <w:t>El modelo estadístico establecido explicó el 53,28% de la variación observada en los datos; el potasio considera una variación del 9,96 %. El nitrógeno, nutriente con más importancia, explicó el 28,41% de la variación observada. Un 46,72% de la variación se les atribuyó a efectos aleatorios que el modelo no pudo explicar (error)</w:t>
      </w:r>
      <w:r w:rsidR="000D57FD">
        <w:rPr>
          <w:rFonts w:cs="Times New Roman"/>
          <w:bCs/>
          <w:szCs w:val="24"/>
        </w:rPr>
        <w:t>.</w:t>
      </w:r>
      <w:r w:rsidRPr="007E253F">
        <w:rPr>
          <w:rFonts w:cs="Times New Roman"/>
          <w:bCs/>
          <w:szCs w:val="24"/>
        </w:rPr>
        <w:t xml:space="preserve"> El resto de nutrientes y la interacción explicaron cada uno menos del 5% de la </w:t>
      </w:r>
      <w:r w:rsidRPr="007E253F">
        <w:rPr>
          <w:rFonts w:cs="Times New Roman"/>
          <w:szCs w:val="24"/>
        </w:rPr>
        <w:t>absorción total de potasio</w:t>
      </w:r>
      <w:r w:rsidRPr="007E253F">
        <w:rPr>
          <w:rFonts w:cs="Times New Roman"/>
          <w:bCs/>
          <w:szCs w:val="24"/>
        </w:rPr>
        <w:t xml:space="preserve"> (</w:t>
      </w:r>
      <w:r w:rsidR="00404A09">
        <w:rPr>
          <w:rFonts w:cs="Times New Roman"/>
          <w:bCs/>
          <w:szCs w:val="24"/>
        </w:rPr>
        <w:t>Cuadro</w:t>
      </w:r>
      <w:r w:rsidRPr="007E253F">
        <w:rPr>
          <w:rFonts w:cs="Times New Roman"/>
          <w:bCs/>
          <w:szCs w:val="24"/>
        </w:rPr>
        <w:t xml:space="preserve"> 37).  </w:t>
      </w:r>
    </w:p>
    <w:p w14:paraId="6F1B7925" w14:textId="42C69CB0" w:rsidR="007E253F" w:rsidRPr="00077513" w:rsidRDefault="007E253F" w:rsidP="000E7387">
      <w:pPr>
        <w:autoSpaceDE w:val="0"/>
        <w:autoSpaceDN w:val="0"/>
        <w:adjustRightInd w:val="0"/>
        <w:spacing w:before="360" w:after="360" w:line="360" w:lineRule="auto"/>
        <w:rPr>
          <w:rFonts w:cs="Times New Roman"/>
          <w:bCs/>
          <w:szCs w:val="24"/>
        </w:rPr>
      </w:pPr>
      <w:r w:rsidRPr="007E253F">
        <w:rPr>
          <w:rFonts w:cs="Times New Roman"/>
          <w:bCs/>
          <w:szCs w:val="24"/>
        </w:rPr>
        <w:t>En los cuadros 38, 39, 40, 41, 42 y 43 se presentan los promedios y el error estándar de potasio por efecto de las localidades (cantón) y los niveles de nitrógeno, fósforo, potasio, azufre, magnesio con su respectiva pru</w:t>
      </w:r>
      <w:r w:rsidR="00077513">
        <w:rPr>
          <w:rFonts w:cs="Times New Roman"/>
          <w:bCs/>
          <w:szCs w:val="24"/>
        </w:rPr>
        <w:t xml:space="preserve">eba de Lsd Fisher (alfa=0,05). </w:t>
      </w:r>
    </w:p>
    <w:p w14:paraId="6E78A755" w14:textId="2E5F976A" w:rsidR="00077513" w:rsidRPr="00077513" w:rsidRDefault="00077513" w:rsidP="00077513">
      <w:pPr>
        <w:pStyle w:val="Descripcin"/>
        <w:keepNext/>
        <w:rPr>
          <w:rFonts w:cs="Times New Roman"/>
          <w:bCs/>
          <w:i w:val="0"/>
          <w:iCs w:val="0"/>
          <w:color w:val="auto"/>
          <w:sz w:val="24"/>
          <w:szCs w:val="24"/>
          <w:lang w:eastAsia="en-US"/>
        </w:rPr>
      </w:pPr>
      <w:bookmarkStart w:id="1407" w:name="_Toc79314030"/>
      <w:r w:rsidRPr="00077513">
        <w:rPr>
          <w:rFonts w:cs="Times New Roman"/>
          <w:b/>
          <w:bCs/>
          <w:i w:val="0"/>
          <w:iCs w:val="0"/>
          <w:color w:val="auto"/>
          <w:sz w:val="24"/>
          <w:szCs w:val="24"/>
          <w:lang w:eastAsia="en-US"/>
        </w:rPr>
        <w:lastRenderedPageBreak/>
        <w:t xml:space="preserve">Cuadro </w:t>
      </w:r>
      <w:r w:rsidRPr="00077513">
        <w:rPr>
          <w:rFonts w:cs="Times New Roman"/>
          <w:b/>
          <w:bCs/>
          <w:i w:val="0"/>
          <w:iCs w:val="0"/>
          <w:color w:val="auto"/>
          <w:sz w:val="24"/>
          <w:szCs w:val="24"/>
          <w:lang w:eastAsia="en-US"/>
        </w:rPr>
        <w:fldChar w:fldCharType="begin"/>
      </w:r>
      <w:r w:rsidRPr="00077513">
        <w:rPr>
          <w:rFonts w:cs="Times New Roman"/>
          <w:b/>
          <w:bCs/>
          <w:i w:val="0"/>
          <w:iCs w:val="0"/>
          <w:color w:val="auto"/>
          <w:sz w:val="24"/>
          <w:szCs w:val="24"/>
          <w:lang w:eastAsia="en-US"/>
        </w:rPr>
        <w:instrText xml:space="preserve"> SEQ Cuadro \* ARABIC </w:instrText>
      </w:r>
      <w:r w:rsidRPr="00077513">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38</w:t>
      </w:r>
      <w:r w:rsidRPr="00077513">
        <w:rPr>
          <w:rFonts w:cs="Times New Roman"/>
          <w:b/>
          <w:bCs/>
          <w:i w:val="0"/>
          <w:iCs w:val="0"/>
          <w:color w:val="auto"/>
          <w:sz w:val="24"/>
          <w:szCs w:val="24"/>
          <w:lang w:eastAsia="en-US"/>
        </w:rPr>
        <w:fldChar w:fldCharType="end"/>
      </w:r>
      <w:r w:rsidRPr="00077513">
        <w:rPr>
          <w:rFonts w:cs="Times New Roman"/>
          <w:b/>
          <w:bCs/>
          <w:i w:val="0"/>
          <w:iCs w:val="0"/>
          <w:color w:val="auto"/>
          <w:sz w:val="24"/>
          <w:szCs w:val="24"/>
          <w:lang w:eastAsia="en-US"/>
        </w:rPr>
        <w:t>.</w:t>
      </w:r>
      <w:r w:rsidRPr="00077513">
        <w:rPr>
          <w:rFonts w:cs="Times New Roman"/>
          <w:bCs/>
          <w:i w:val="0"/>
          <w:iCs w:val="0"/>
          <w:color w:val="auto"/>
          <w:sz w:val="24"/>
          <w:szCs w:val="24"/>
          <w:lang w:eastAsia="en-US"/>
        </w:rPr>
        <w:t xml:space="preserve"> Absorción total de potasio, evaluado por localidades (cantón) en la provincia de Bolívar del 2006 al 2011.</w:t>
      </w:r>
      <w:bookmarkEnd w:id="1407"/>
    </w:p>
    <w:tbl>
      <w:tblPr>
        <w:tblW w:w="7242" w:type="dxa"/>
        <w:jc w:val="center"/>
        <w:tblCellMar>
          <w:left w:w="70" w:type="dxa"/>
          <w:right w:w="70" w:type="dxa"/>
        </w:tblCellMar>
        <w:tblLook w:val="04A0" w:firstRow="1" w:lastRow="0" w:firstColumn="1" w:lastColumn="0" w:noHBand="0" w:noVBand="1"/>
      </w:tblPr>
      <w:tblGrid>
        <w:gridCol w:w="1555"/>
        <w:gridCol w:w="887"/>
        <w:gridCol w:w="672"/>
        <w:gridCol w:w="1728"/>
        <w:gridCol w:w="1200"/>
        <w:gridCol w:w="1200"/>
      </w:tblGrid>
      <w:tr w:rsidR="007E253F" w:rsidRPr="007E253F" w14:paraId="30AEE48E" w14:textId="77777777" w:rsidTr="000E7387">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3611A"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Cantón</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78B0E235"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34E2FB33"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02CB9565" w14:textId="77777777" w:rsidR="007E253F" w:rsidRPr="007E253F" w:rsidRDefault="007E253F" w:rsidP="000E738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tcBorders>
            <w:shd w:val="clear" w:color="auto" w:fill="auto"/>
            <w:noWrap/>
            <w:vAlign w:val="bottom"/>
            <w:hideMark/>
          </w:tcPr>
          <w:p w14:paraId="572EEA34" w14:textId="77777777" w:rsidR="007E253F" w:rsidRPr="007E253F" w:rsidRDefault="007E253F" w:rsidP="000E7387">
            <w:pPr>
              <w:spacing w:after="0" w:line="240" w:lineRule="auto"/>
              <w:jc w:val="right"/>
              <w:rPr>
                <w:rFonts w:eastAsia="Times New Roman" w:cs="Times New Roman"/>
                <w:b/>
                <w:bCs/>
                <w:color w:val="000000"/>
                <w:szCs w:val="24"/>
                <w:lang w:eastAsia="es-EC"/>
              </w:rPr>
            </w:pPr>
            <w:r w:rsidRPr="007E253F">
              <w:rPr>
                <w:rFonts w:eastAsia="Times New Roman" w:cs="Times New Roman"/>
                <w:b/>
                <w:bCs/>
                <w:color w:val="000000"/>
                <w:szCs w:val="24"/>
                <w:lang w:eastAsia="es-EC"/>
              </w:rPr>
              <w:t>Lsd</w:t>
            </w:r>
          </w:p>
        </w:tc>
        <w:tc>
          <w:tcPr>
            <w:tcW w:w="1200" w:type="dxa"/>
            <w:tcBorders>
              <w:top w:val="single" w:sz="4" w:space="0" w:color="auto"/>
              <w:bottom w:val="single" w:sz="4" w:space="0" w:color="auto"/>
              <w:right w:val="single" w:sz="4" w:space="0" w:color="auto"/>
            </w:tcBorders>
            <w:shd w:val="clear" w:color="auto" w:fill="auto"/>
            <w:noWrap/>
            <w:vAlign w:val="bottom"/>
            <w:hideMark/>
          </w:tcPr>
          <w:p w14:paraId="3DDBB4AB" w14:textId="77777777" w:rsidR="007E253F" w:rsidRPr="007E253F" w:rsidRDefault="007E253F" w:rsidP="000E7387">
            <w:pPr>
              <w:spacing w:after="0" w:line="240" w:lineRule="auto"/>
              <w:rPr>
                <w:rFonts w:eastAsia="Times New Roman" w:cs="Times New Roman"/>
                <w:b/>
                <w:bCs/>
                <w:color w:val="000000"/>
                <w:szCs w:val="24"/>
                <w:lang w:eastAsia="es-EC"/>
              </w:rPr>
            </w:pPr>
            <w:r w:rsidRPr="007E253F">
              <w:rPr>
                <w:rFonts w:eastAsia="Times New Roman" w:cs="Times New Roman"/>
                <w:b/>
                <w:bCs/>
                <w:color w:val="000000"/>
                <w:szCs w:val="24"/>
                <w:lang w:eastAsia="es-EC"/>
              </w:rPr>
              <w:t>0,05</w:t>
            </w:r>
          </w:p>
        </w:tc>
      </w:tr>
      <w:tr w:rsidR="007E253F" w:rsidRPr="007E253F" w14:paraId="009D361F" w14:textId="77777777" w:rsidTr="000E738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082ECA9"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San Miguel</w:t>
            </w:r>
          </w:p>
        </w:tc>
        <w:tc>
          <w:tcPr>
            <w:tcW w:w="887" w:type="dxa"/>
            <w:tcBorders>
              <w:top w:val="nil"/>
              <w:left w:val="nil"/>
              <w:bottom w:val="single" w:sz="4" w:space="0" w:color="auto"/>
              <w:right w:val="single" w:sz="4" w:space="0" w:color="auto"/>
            </w:tcBorders>
            <w:shd w:val="clear" w:color="auto" w:fill="auto"/>
            <w:noWrap/>
            <w:vAlign w:val="bottom"/>
            <w:hideMark/>
          </w:tcPr>
          <w:p w14:paraId="79BDD76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105,4</w:t>
            </w:r>
          </w:p>
        </w:tc>
        <w:tc>
          <w:tcPr>
            <w:tcW w:w="672" w:type="dxa"/>
            <w:tcBorders>
              <w:top w:val="nil"/>
              <w:left w:val="nil"/>
              <w:bottom w:val="single" w:sz="4" w:space="0" w:color="auto"/>
              <w:right w:val="single" w:sz="4" w:space="0" w:color="auto"/>
            </w:tcBorders>
            <w:shd w:val="clear" w:color="auto" w:fill="auto"/>
            <w:noWrap/>
            <w:vAlign w:val="bottom"/>
            <w:hideMark/>
          </w:tcPr>
          <w:p w14:paraId="02FD534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1728" w:type="dxa"/>
            <w:tcBorders>
              <w:top w:val="nil"/>
              <w:left w:val="nil"/>
              <w:bottom w:val="single" w:sz="4" w:space="0" w:color="auto"/>
              <w:right w:val="single" w:sz="4" w:space="0" w:color="auto"/>
            </w:tcBorders>
            <w:shd w:val="clear" w:color="auto" w:fill="auto"/>
            <w:noWrap/>
            <w:vAlign w:val="bottom"/>
            <w:hideMark/>
          </w:tcPr>
          <w:p w14:paraId="4B6F870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9,44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09B1985"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2EB9DE" w14:textId="77777777" w:rsidR="007E253F" w:rsidRPr="007E253F" w:rsidRDefault="007E253F" w:rsidP="000E7387">
            <w:pPr>
              <w:spacing w:after="0" w:line="240" w:lineRule="auto"/>
              <w:jc w:val="center"/>
              <w:rPr>
                <w:rFonts w:eastAsia="Times New Roman" w:cs="Times New Roman"/>
                <w:color w:val="000000"/>
                <w:szCs w:val="24"/>
                <w:lang w:eastAsia="es-EC"/>
              </w:rPr>
            </w:pPr>
          </w:p>
        </w:tc>
      </w:tr>
      <w:tr w:rsidR="007E253F" w:rsidRPr="007E253F" w14:paraId="7EE5CAD7" w14:textId="77777777" w:rsidTr="000E738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A31E6C8"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Guaranda</w:t>
            </w:r>
          </w:p>
        </w:tc>
        <w:tc>
          <w:tcPr>
            <w:tcW w:w="887" w:type="dxa"/>
            <w:tcBorders>
              <w:top w:val="nil"/>
              <w:left w:val="nil"/>
              <w:bottom w:val="single" w:sz="4" w:space="0" w:color="auto"/>
              <w:right w:val="single" w:sz="4" w:space="0" w:color="auto"/>
            </w:tcBorders>
            <w:shd w:val="clear" w:color="auto" w:fill="auto"/>
            <w:noWrap/>
            <w:vAlign w:val="bottom"/>
            <w:hideMark/>
          </w:tcPr>
          <w:p w14:paraId="576F3DE1"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126,94</w:t>
            </w:r>
          </w:p>
        </w:tc>
        <w:tc>
          <w:tcPr>
            <w:tcW w:w="672" w:type="dxa"/>
            <w:tcBorders>
              <w:top w:val="nil"/>
              <w:left w:val="nil"/>
              <w:bottom w:val="single" w:sz="4" w:space="0" w:color="auto"/>
              <w:right w:val="single" w:sz="4" w:space="0" w:color="auto"/>
            </w:tcBorders>
            <w:shd w:val="clear" w:color="auto" w:fill="auto"/>
            <w:noWrap/>
            <w:vAlign w:val="bottom"/>
            <w:hideMark/>
          </w:tcPr>
          <w:p w14:paraId="61A5C10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728" w:type="dxa"/>
            <w:tcBorders>
              <w:top w:val="nil"/>
              <w:left w:val="nil"/>
              <w:bottom w:val="single" w:sz="4" w:space="0" w:color="auto"/>
              <w:right w:val="single" w:sz="4" w:space="0" w:color="auto"/>
            </w:tcBorders>
            <w:shd w:val="clear" w:color="auto" w:fill="auto"/>
            <w:noWrap/>
            <w:vAlign w:val="bottom"/>
            <w:hideMark/>
          </w:tcPr>
          <w:p w14:paraId="2EEC3637"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10,27</w:t>
            </w:r>
          </w:p>
        </w:tc>
        <w:tc>
          <w:tcPr>
            <w:tcW w:w="1200" w:type="dxa"/>
            <w:tcBorders>
              <w:top w:val="nil"/>
              <w:left w:val="nil"/>
              <w:bottom w:val="single" w:sz="4" w:space="0" w:color="auto"/>
              <w:right w:val="single" w:sz="4" w:space="0" w:color="auto"/>
            </w:tcBorders>
            <w:shd w:val="clear" w:color="auto" w:fill="auto"/>
            <w:noWrap/>
            <w:vAlign w:val="bottom"/>
            <w:hideMark/>
          </w:tcPr>
          <w:p w14:paraId="36E8A6A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00" w:type="dxa"/>
            <w:tcBorders>
              <w:top w:val="nil"/>
              <w:left w:val="nil"/>
              <w:bottom w:val="single" w:sz="4" w:space="0" w:color="auto"/>
              <w:right w:val="single" w:sz="4" w:space="0" w:color="auto"/>
            </w:tcBorders>
            <w:shd w:val="clear" w:color="auto" w:fill="auto"/>
            <w:noWrap/>
            <w:vAlign w:val="bottom"/>
            <w:hideMark/>
          </w:tcPr>
          <w:p w14:paraId="164F651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r w:rsidR="007E253F" w:rsidRPr="007E253F" w14:paraId="5E96F9FF" w14:textId="77777777" w:rsidTr="000E738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A38FBE"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Chimbo</w:t>
            </w:r>
          </w:p>
        </w:tc>
        <w:tc>
          <w:tcPr>
            <w:tcW w:w="887" w:type="dxa"/>
            <w:tcBorders>
              <w:top w:val="nil"/>
              <w:left w:val="nil"/>
              <w:bottom w:val="single" w:sz="4" w:space="0" w:color="auto"/>
              <w:right w:val="single" w:sz="4" w:space="0" w:color="auto"/>
            </w:tcBorders>
            <w:shd w:val="clear" w:color="auto" w:fill="auto"/>
            <w:noWrap/>
            <w:vAlign w:val="bottom"/>
            <w:hideMark/>
          </w:tcPr>
          <w:p w14:paraId="2DCE4CC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128,41</w:t>
            </w:r>
          </w:p>
        </w:tc>
        <w:tc>
          <w:tcPr>
            <w:tcW w:w="672" w:type="dxa"/>
            <w:tcBorders>
              <w:top w:val="nil"/>
              <w:left w:val="nil"/>
              <w:bottom w:val="single" w:sz="4" w:space="0" w:color="auto"/>
              <w:right w:val="single" w:sz="4" w:space="0" w:color="auto"/>
            </w:tcBorders>
            <w:shd w:val="clear" w:color="auto" w:fill="auto"/>
            <w:noWrap/>
            <w:vAlign w:val="bottom"/>
            <w:hideMark/>
          </w:tcPr>
          <w:p w14:paraId="5E63750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w:t>
            </w:r>
          </w:p>
        </w:tc>
        <w:tc>
          <w:tcPr>
            <w:tcW w:w="1728" w:type="dxa"/>
            <w:tcBorders>
              <w:top w:val="nil"/>
              <w:left w:val="nil"/>
              <w:bottom w:val="single" w:sz="4" w:space="0" w:color="auto"/>
              <w:right w:val="single" w:sz="4" w:space="0" w:color="auto"/>
            </w:tcBorders>
            <w:shd w:val="clear" w:color="auto" w:fill="auto"/>
            <w:noWrap/>
            <w:vAlign w:val="bottom"/>
            <w:hideMark/>
          </w:tcPr>
          <w:p w14:paraId="288E9E56"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8,99</w:t>
            </w:r>
          </w:p>
        </w:tc>
        <w:tc>
          <w:tcPr>
            <w:tcW w:w="1200" w:type="dxa"/>
            <w:tcBorders>
              <w:top w:val="nil"/>
              <w:left w:val="nil"/>
              <w:bottom w:val="single" w:sz="4" w:space="0" w:color="auto"/>
              <w:right w:val="single" w:sz="4" w:space="0" w:color="auto"/>
            </w:tcBorders>
            <w:shd w:val="clear" w:color="auto" w:fill="auto"/>
            <w:noWrap/>
            <w:vAlign w:val="bottom"/>
            <w:hideMark/>
          </w:tcPr>
          <w:p w14:paraId="025D1393"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14:paraId="47C4A91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r w:rsidR="007E253F" w:rsidRPr="007E253F" w14:paraId="3C3C0703" w14:textId="77777777" w:rsidTr="000E738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101900A"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Chillanes</w:t>
            </w:r>
          </w:p>
        </w:tc>
        <w:tc>
          <w:tcPr>
            <w:tcW w:w="887" w:type="dxa"/>
            <w:tcBorders>
              <w:top w:val="nil"/>
              <w:left w:val="nil"/>
              <w:bottom w:val="single" w:sz="4" w:space="0" w:color="auto"/>
              <w:right w:val="single" w:sz="4" w:space="0" w:color="auto"/>
            </w:tcBorders>
            <w:shd w:val="clear" w:color="auto" w:fill="auto"/>
            <w:noWrap/>
            <w:vAlign w:val="bottom"/>
            <w:hideMark/>
          </w:tcPr>
          <w:p w14:paraId="13FFB8C3"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140,65</w:t>
            </w:r>
          </w:p>
        </w:tc>
        <w:tc>
          <w:tcPr>
            <w:tcW w:w="672" w:type="dxa"/>
            <w:tcBorders>
              <w:top w:val="nil"/>
              <w:left w:val="nil"/>
              <w:bottom w:val="single" w:sz="4" w:space="0" w:color="auto"/>
              <w:right w:val="single" w:sz="4" w:space="0" w:color="auto"/>
            </w:tcBorders>
            <w:shd w:val="clear" w:color="auto" w:fill="auto"/>
            <w:noWrap/>
            <w:vAlign w:val="bottom"/>
            <w:hideMark/>
          </w:tcPr>
          <w:p w14:paraId="545FBE3F"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w:t>
            </w:r>
          </w:p>
        </w:tc>
        <w:tc>
          <w:tcPr>
            <w:tcW w:w="1728" w:type="dxa"/>
            <w:tcBorders>
              <w:top w:val="nil"/>
              <w:left w:val="nil"/>
              <w:bottom w:val="single" w:sz="4" w:space="0" w:color="auto"/>
              <w:right w:val="single" w:sz="4" w:space="0" w:color="auto"/>
            </w:tcBorders>
            <w:shd w:val="clear" w:color="auto" w:fill="auto"/>
            <w:noWrap/>
            <w:vAlign w:val="bottom"/>
            <w:hideMark/>
          </w:tcPr>
          <w:p w14:paraId="7812539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7,64</w:t>
            </w:r>
          </w:p>
        </w:tc>
        <w:tc>
          <w:tcPr>
            <w:tcW w:w="1200" w:type="dxa"/>
            <w:tcBorders>
              <w:top w:val="nil"/>
              <w:left w:val="nil"/>
              <w:bottom w:val="single" w:sz="4" w:space="0" w:color="auto"/>
              <w:right w:val="single" w:sz="4" w:space="0" w:color="auto"/>
            </w:tcBorders>
            <w:shd w:val="clear" w:color="auto" w:fill="auto"/>
            <w:noWrap/>
            <w:vAlign w:val="bottom"/>
            <w:hideMark/>
          </w:tcPr>
          <w:p w14:paraId="721CFC53" w14:textId="77777777" w:rsidR="007E253F" w:rsidRPr="007E253F" w:rsidRDefault="007E253F" w:rsidP="000E7387">
            <w:pPr>
              <w:spacing w:after="0" w:line="240" w:lineRule="auto"/>
              <w:jc w:val="center"/>
              <w:rPr>
                <w:rFonts w:eastAsia="Times New Roman" w:cs="Times New Roman"/>
                <w:color w:val="000000"/>
                <w:szCs w:val="24"/>
                <w:lang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14:paraId="5D08F8C2" w14:textId="77777777" w:rsidR="007E253F" w:rsidRPr="007E253F" w:rsidRDefault="007E253F" w:rsidP="000E738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bl>
    <w:p w14:paraId="65E5E471" w14:textId="6F2B42A8" w:rsidR="007E253F" w:rsidRPr="007E253F" w:rsidRDefault="000E7387" w:rsidP="007E253F">
      <w:pPr>
        <w:autoSpaceDE w:val="0"/>
        <w:autoSpaceDN w:val="0"/>
        <w:adjustRightInd w:val="0"/>
        <w:spacing w:after="0" w:line="360" w:lineRule="auto"/>
        <w:rPr>
          <w:rFonts w:cs="Times New Roman"/>
          <w:szCs w:val="24"/>
        </w:rPr>
      </w:pPr>
      <w:r>
        <w:rPr>
          <w:rFonts w:cs="Times New Roman"/>
          <w:szCs w:val="24"/>
        </w:rPr>
        <w:t xml:space="preserve">     </w:t>
      </w:r>
      <w:r w:rsidR="007E253F" w:rsidRPr="007E253F">
        <w:rPr>
          <w:rFonts w:cs="Times New Roman"/>
          <w:szCs w:val="24"/>
        </w:rPr>
        <w:t>Medias con una letra común no son significativamente diferentes (p &gt; 0,05)</w:t>
      </w:r>
    </w:p>
    <w:p w14:paraId="1E4F08B4" w14:textId="77777777" w:rsidR="000E7387" w:rsidRDefault="007E253F" w:rsidP="000E7387">
      <w:pPr>
        <w:autoSpaceDE w:val="0"/>
        <w:autoSpaceDN w:val="0"/>
        <w:adjustRightInd w:val="0"/>
        <w:spacing w:before="360" w:after="360" w:line="360" w:lineRule="auto"/>
        <w:rPr>
          <w:rFonts w:cs="Times New Roman"/>
          <w:bCs/>
          <w:szCs w:val="24"/>
        </w:rPr>
      </w:pPr>
      <w:r w:rsidRPr="007E253F">
        <w:rPr>
          <w:rFonts w:cs="Times New Roman"/>
          <w:szCs w:val="24"/>
        </w:rPr>
        <w:t xml:space="preserve">Para la evaluación estadística de localidades (cantón) de la provincia Bolívar de la variable absorción total de potasio se determinó el promedio más alto fue de Chillanes </w:t>
      </w:r>
      <w:bookmarkStart w:id="1408" w:name="_Hlk69439833"/>
      <w:r w:rsidRPr="007E253F">
        <w:rPr>
          <w:rFonts w:cs="Times New Roman"/>
          <w:szCs w:val="24"/>
        </w:rPr>
        <w:t>con un 140,65 Kg/ha</w:t>
      </w:r>
      <w:r w:rsidRPr="007E253F">
        <w:rPr>
          <w:rFonts w:cs="Times New Roman"/>
          <w:szCs w:val="24"/>
          <w:vertAlign w:val="superscript"/>
        </w:rPr>
        <w:t>-1</w:t>
      </w:r>
      <w:r w:rsidRPr="007E253F">
        <w:rPr>
          <w:rFonts w:cs="Times New Roman"/>
          <w:szCs w:val="24"/>
        </w:rPr>
        <w:t xml:space="preserve"> seguido de los promedios de Chimbo, Guaranda con </w:t>
      </w:r>
      <w:r w:rsidRPr="007E253F">
        <w:rPr>
          <w:rFonts w:eastAsia="Times New Roman" w:cs="Times New Roman"/>
          <w:color w:val="000000"/>
          <w:szCs w:val="24"/>
          <w:lang w:eastAsia="es-EC"/>
        </w:rPr>
        <w:t xml:space="preserve">128,41 </w:t>
      </w:r>
      <w:r w:rsidRPr="007E253F">
        <w:rPr>
          <w:rFonts w:cs="Times New Roman"/>
          <w:szCs w:val="24"/>
        </w:rPr>
        <w:t>Kg/ha</w:t>
      </w:r>
      <w:r w:rsidRPr="007E253F">
        <w:rPr>
          <w:rFonts w:cs="Times New Roman"/>
          <w:szCs w:val="24"/>
          <w:vertAlign w:val="superscript"/>
        </w:rPr>
        <w:t xml:space="preserve">-1 </w:t>
      </w:r>
      <w:r w:rsidRPr="007E253F">
        <w:rPr>
          <w:rFonts w:cs="Times New Roman"/>
          <w:szCs w:val="24"/>
        </w:rPr>
        <w:t>y 126,94 Kg/ha</w:t>
      </w:r>
      <w:r w:rsidRPr="007E253F">
        <w:rPr>
          <w:rFonts w:cs="Times New Roman"/>
          <w:szCs w:val="24"/>
          <w:vertAlign w:val="superscript"/>
        </w:rPr>
        <w:t>-1</w:t>
      </w:r>
      <w:r w:rsidRPr="007E253F">
        <w:rPr>
          <w:rFonts w:cs="Times New Roman"/>
          <w:szCs w:val="24"/>
        </w:rPr>
        <w:t xml:space="preserve"> respectivamente. </w:t>
      </w:r>
      <w:r w:rsidRPr="007E253F">
        <w:rPr>
          <w:rFonts w:cs="Times New Roman"/>
          <w:szCs w:val="24"/>
          <w:vertAlign w:val="superscript"/>
        </w:rPr>
        <w:t xml:space="preserve"> </w:t>
      </w:r>
      <w:bookmarkEnd w:id="1408"/>
      <w:r w:rsidRPr="007E253F">
        <w:rPr>
          <w:rFonts w:cs="Times New Roman"/>
          <w:szCs w:val="24"/>
        </w:rPr>
        <w:t>El promedio con menor que se evaluó es la localidad San Miguel en</w:t>
      </w:r>
      <w:r w:rsidRPr="007E253F">
        <w:rPr>
          <w:rFonts w:cs="Times New Roman"/>
          <w:bCs/>
          <w:szCs w:val="24"/>
        </w:rPr>
        <w:t xml:space="preserve"> fueron estadísticamente diferente, según Lsd Fisher al 5%, (</w:t>
      </w:r>
      <w:r w:rsidR="00404A09">
        <w:rPr>
          <w:rFonts w:cs="Times New Roman"/>
          <w:bCs/>
          <w:szCs w:val="24"/>
        </w:rPr>
        <w:t>Cuadro</w:t>
      </w:r>
      <w:r w:rsidR="00077513">
        <w:rPr>
          <w:rFonts w:cs="Times New Roman"/>
          <w:bCs/>
          <w:szCs w:val="24"/>
        </w:rPr>
        <w:t xml:space="preserve"> 39).</w:t>
      </w:r>
      <w:bookmarkStart w:id="1409" w:name="_Toc79314031"/>
    </w:p>
    <w:p w14:paraId="6932F4F3" w14:textId="4589148F" w:rsidR="00077513" w:rsidRPr="000E7387" w:rsidRDefault="00077513" w:rsidP="00474937">
      <w:pPr>
        <w:autoSpaceDE w:val="0"/>
        <w:autoSpaceDN w:val="0"/>
        <w:adjustRightInd w:val="0"/>
        <w:spacing w:before="360" w:after="120" w:line="360" w:lineRule="auto"/>
        <w:rPr>
          <w:rFonts w:cs="Times New Roman"/>
          <w:bCs/>
          <w:szCs w:val="24"/>
        </w:rPr>
      </w:pPr>
      <w:r w:rsidRPr="00077513">
        <w:rPr>
          <w:rFonts w:cs="Times New Roman"/>
          <w:b/>
          <w:bCs/>
          <w:szCs w:val="24"/>
        </w:rPr>
        <w:t xml:space="preserve">Cuadro </w:t>
      </w:r>
      <w:r w:rsidRPr="00077513">
        <w:rPr>
          <w:rFonts w:cs="Times New Roman"/>
          <w:b/>
          <w:bCs/>
          <w:i/>
          <w:iCs/>
          <w:szCs w:val="24"/>
        </w:rPr>
        <w:fldChar w:fldCharType="begin"/>
      </w:r>
      <w:r w:rsidRPr="00077513">
        <w:rPr>
          <w:rFonts w:cs="Times New Roman"/>
          <w:b/>
          <w:bCs/>
          <w:szCs w:val="24"/>
        </w:rPr>
        <w:instrText xml:space="preserve"> SEQ Cuadro \* ARABIC </w:instrText>
      </w:r>
      <w:r w:rsidRPr="00077513">
        <w:rPr>
          <w:rFonts w:cs="Times New Roman"/>
          <w:b/>
          <w:bCs/>
          <w:i/>
          <w:iCs/>
          <w:szCs w:val="24"/>
        </w:rPr>
        <w:fldChar w:fldCharType="separate"/>
      </w:r>
      <w:r w:rsidR="000D1F55">
        <w:rPr>
          <w:rFonts w:cs="Times New Roman"/>
          <w:b/>
          <w:bCs/>
          <w:noProof/>
          <w:szCs w:val="24"/>
        </w:rPr>
        <w:t>39</w:t>
      </w:r>
      <w:r w:rsidRPr="00077513">
        <w:rPr>
          <w:rFonts w:cs="Times New Roman"/>
          <w:b/>
          <w:bCs/>
          <w:i/>
          <w:iCs/>
          <w:szCs w:val="24"/>
        </w:rPr>
        <w:fldChar w:fldCharType="end"/>
      </w:r>
      <w:r w:rsidRPr="00077513">
        <w:rPr>
          <w:rFonts w:cs="Times New Roman"/>
          <w:b/>
          <w:bCs/>
          <w:szCs w:val="24"/>
        </w:rPr>
        <w:t>.</w:t>
      </w:r>
      <w:r w:rsidRPr="00077513">
        <w:rPr>
          <w:rFonts w:cs="Times New Roman"/>
          <w:bCs/>
          <w:szCs w:val="24"/>
        </w:rPr>
        <w:t xml:space="preserve"> . Absorción total de potasio para diversas dosis de nitrógeno evaluadas en la provincia de Bolívar del 2006 al 2011.</w:t>
      </w:r>
      <w:bookmarkEnd w:id="1409"/>
    </w:p>
    <w:tbl>
      <w:tblPr>
        <w:tblW w:w="8080" w:type="dxa"/>
        <w:jc w:val="center"/>
        <w:tblCellMar>
          <w:left w:w="70" w:type="dxa"/>
          <w:right w:w="70" w:type="dxa"/>
        </w:tblCellMar>
        <w:tblLook w:val="04A0" w:firstRow="1" w:lastRow="0" w:firstColumn="1" w:lastColumn="0" w:noHBand="0" w:noVBand="1"/>
      </w:tblPr>
      <w:tblGrid>
        <w:gridCol w:w="1843"/>
        <w:gridCol w:w="887"/>
        <w:gridCol w:w="856"/>
        <w:gridCol w:w="1984"/>
        <w:gridCol w:w="667"/>
        <w:gridCol w:w="992"/>
        <w:gridCol w:w="851"/>
      </w:tblGrid>
      <w:tr w:rsidR="00474937" w:rsidRPr="007E253F" w14:paraId="02F090C7" w14:textId="77777777" w:rsidTr="00474937">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0496B" w14:textId="77777777" w:rsidR="00474937" w:rsidRPr="007E253F" w:rsidRDefault="00474937" w:rsidP="0047493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N(kg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03AD5728" w14:textId="77777777" w:rsidR="00474937" w:rsidRPr="007E253F" w:rsidRDefault="00474937" w:rsidP="0047493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2BF53F5F" w14:textId="77777777" w:rsidR="00474937" w:rsidRPr="007E253F" w:rsidRDefault="00474937" w:rsidP="0047493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A8CEEEF" w14:textId="77777777" w:rsidR="00474937" w:rsidRPr="007E253F" w:rsidRDefault="00474937" w:rsidP="0047493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2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DBE0B" w14:textId="3DA82ECD" w:rsidR="00474937" w:rsidRPr="007E253F" w:rsidRDefault="00474937" w:rsidP="00474937">
            <w:pPr>
              <w:spacing w:after="0" w:line="240" w:lineRule="auto"/>
              <w:jc w:val="center"/>
              <w:rPr>
                <w:rFonts w:eastAsia="Times New Roman" w:cs="Times New Roman"/>
                <w:color w:val="000000"/>
                <w:szCs w:val="24"/>
                <w:lang w:eastAsia="es-EC"/>
              </w:rPr>
            </w:pPr>
            <w:r w:rsidRPr="007E253F">
              <w:rPr>
                <w:rFonts w:eastAsia="Times New Roman" w:cs="Times New Roman"/>
                <w:b/>
                <w:bCs/>
                <w:color w:val="000000"/>
                <w:szCs w:val="24"/>
                <w:lang w:eastAsia="es-EC"/>
              </w:rPr>
              <w:t>Lsd 0,05</w:t>
            </w:r>
          </w:p>
        </w:tc>
      </w:tr>
      <w:tr w:rsidR="007E253F" w:rsidRPr="007E253F" w14:paraId="613ECAC5" w14:textId="77777777" w:rsidTr="00474937">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EEE188"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244F03F0"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70,77</w:t>
            </w:r>
          </w:p>
        </w:tc>
        <w:tc>
          <w:tcPr>
            <w:tcW w:w="856" w:type="dxa"/>
            <w:tcBorders>
              <w:top w:val="nil"/>
              <w:left w:val="nil"/>
              <w:bottom w:val="single" w:sz="4" w:space="0" w:color="auto"/>
              <w:right w:val="single" w:sz="4" w:space="0" w:color="auto"/>
            </w:tcBorders>
            <w:shd w:val="clear" w:color="auto" w:fill="auto"/>
            <w:noWrap/>
            <w:vAlign w:val="bottom"/>
            <w:hideMark/>
          </w:tcPr>
          <w:p w14:paraId="0656DD64"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w:t>
            </w:r>
          </w:p>
        </w:tc>
        <w:tc>
          <w:tcPr>
            <w:tcW w:w="1984" w:type="dxa"/>
            <w:tcBorders>
              <w:top w:val="nil"/>
              <w:left w:val="nil"/>
              <w:bottom w:val="single" w:sz="4" w:space="0" w:color="auto"/>
              <w:right w:val="single" w:sz="4" w:space="0" w:color="auto"/>
            </w:tcBorders>
            <w:shd w:val="clear" w:color="auto" w:fill="auto"/>
            <w:noWrap/>
            <w:vAlign w:val="bottom"/>
            <w:hideMark/>
          </w:tcPr>
          <w:p w14:paraId="4D77F894"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10,74</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0E8828E6"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895BEF2" w14:textId="77777777" w:rsidR="007E253F" w:rsidRPr="007E253F" w:rsidRDefault="007E253F" w:rsidP="00474937">
            <w:pPr>
              <w:spacing w:after="0" w:line="240" w:lineRule="auto"/>
              <w:jc w:val="center"/>
              <w:rPr>
                <w:rFonts w:eastAsia="Times New Roman" w:cs="Times New Roman"/>
                <w:color w:val="000000"/>
                <w:szCs w:val="24"/>
                <w:lang w:eastAsia="es-EC"/>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3CB1704" w14:textId="77777777" w:rsidR="007E253F" w:rsidRPr="007E253F" w:rsidRDefault="007E253F" w:rsidP="00474937">
            <w:pPr>
              <w:spacing w:after="0" w:line="240" w:lineRule="auto"/>
              <w:jc w:val="center"/>
              <w:rPr>
                <w:rFonts w:eastAsia="Times New Roman" w:cs="Times New Roman"/>
                <w:color w:val="000000"/>
                <w:szCs w:val="24"/>
                <w:lang w:eastAsia="es-EC"/>
              </w:rPr>
            </w:pPr>
          </w:p>
        </w:tc>
      </w:tr>
      <w:tr w:rsidR="007E253F" w:rsidRPr="007E253F" w14:paraId="68A458D5" w14:textId="77777777" w:rsidTr="00474937">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0F5CAFF"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140</w:t>
            </w:r>
          </w:p>
        </w:tc>
        <w:tc>
          <w:tcPr>
            <w:tcW w:w="887" w:type="dxa"/>
            <w:tcBorders>
              <w:top w:val="nil"/>
              <w:left w:val="nil"/>
              <w:bottom w:val="single" w:sz="4" w:space="0" w:color="auto"/>
              <w:right w:val="single" w:sz="4" w:space="0" w:color="auto"/>
            </w:tcBorders>
            <w:shd w:val="clear" w:color="auto" w:fill="auto"/>
            <w:noWrap/>
            <w:vAlign w:val="bottom"/>
            <w:hideMark/>
          </w:tcPr>
          <w:p w14:paraId="307973E7"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120,78</w:t>
            </w:r>
          </w:p>
        </w:tc>
        <w:tc>
          <w:tcPr>
            <w:tcW w:w="856" w:type="dxa"/>
            <w:tcBorders>
              <w:top w:val="nil"/>
              <w:left w:val="nil"/>
              <w:bottom w:val="single" w:sz="4" w:space="0" w:color="auto"/>
              <w:right w:val="single" w:sz="4" w:space="0" w:color="auto"/>
            </w:tcBorders>
            <w:shd w:val="clear" w:color="auto" w:fill="auto"/>
            <w:noWrap/>
            <w:vAlign w:val="bottom"/>
            <w:hideMark/>
          </w:tcPr>
          <w:p w14:paraId="3E602189"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w:t>
            </w:r>
          </w:p>
        </w:tc>
        <w:tc>
          <w:tcPr>
            <w:tcW w:w="1984" w:type="dxa"/>
            <w:tcBorders>
              <w:top w:val="nil"/>
              <w:left w:val="nil"/>
              <w:bottom w:val="single" w:sz="4" w:space="0" w:color="auto"/>
              <w:right w:val="single" w:sz="4" w:space="0" w:color="auto"/>
            </w:tcBorders>
            <w:shd w:val="clear" w:color="auto" w:fill="auto"/>
            <w:noWrap/>
            <w:vAlign w:val="bottom"/>
            <w:hideMark/>
          </w:tcPr>
          <w:p w14:paraId="08F35C97"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7,37</w:t>
            </w:r>
          </w:p>
        </w:tc>
        <w:tc>
          <w:tcPr>
            <w:tcW w:w="667" w:type="dxa"/>
            <w:tcBorders>
              <w:top w:val="nil"/>
              <w:left w:val="nil"/>
              <w:bottom w:val="single" w:sz="4" w:space="0" w:color="auto"/>
              <w:right w:val="single" w:sz="4" w:space="0" w:color="auto"/>
            </w:tcBorders>
            <w:shd w:val="clear" w:color="auto" w:fill="auto"/>
            <w:noWrap/>
            <w:vAlign w:val="bottom"/>
            <w:hideMark/>
          </w:tcPr>
          <w:p w14:paraId="7B33BBD5" w14:textId="77777777" w:rsidR="007E253F" w:rsidRPr="007E253F" w:rsidRDefault="007E253F" w:rsidP="0047493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0AB9D650"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851" w:type="dxa"/>
            <w:tcBorders>
              <w:top w:val="nil"/>
              <w:left w:val="nil"/>
              <w:bottom w:val="single" w:sz="4" w:space="0" w:color="auto"/>
              <w:right w:val="single" w:sz="4" w:space="0" w:color="auto"/>
            </w:tcBorders>
            <w:shd w:val="clear" w:color="auto" w:fill="auto"/>
            <w:noWrap/>
            <w:vAlign w:val="bottom"/>
            <w:hideMark/>
          </w:tcPr>
          <w:p w14:paraId="165F7F53" w14:textId="77777777" w:rsidR="007E253F" w:rsidRPr="007E253F" w:rsidRDefault="007E253F" w:rsidP="00474937">
            <w:pPr>
              <w:spacing w:after="0" w:line="240" w:lineRule="auto"/>
              <w:jc w:val="center"/>
              <w:rPr>
                <w:rFonts w:eastAsia="Times New Roman" w:cs="Times New Roman"/>
                <w:color w:val="000000"/>
                <w:szCs w:val="24"/>
                <w:lang w:eastAsia="es-EC"/>
              </w:rPr>
            </w:pPr>
          </w:p>
        </w:tc>
      </w:tr>
      <w:tr w:rsidR="007E253F" w:rsidRPr="007E253F" w14:paraId="061A288E" w14:textId="77777777" w:rsidTr="00474937">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3F0E0BD"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shd w:val="clear" w:color="auto" w:fill="auto"/>
            <w:noWrap/>
            <w:vAlign w:val="bottom"/>
            <w:hideMark/>
          </w:tcPr>
          <w:p w14:paraId="4AEA61B7"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139,36</w:t>
            </w:r>
          </w:p>
        </w:tc>
        <w:tc>
          <w:tcPr>
            <w:tcW w:w="856" w:type="dxa"/>
            <w:tcBorders>
              <w:top w:val="nil"/>
              <w:left w:val="nil"/>
              <w:bottom w:val="single" w:sz="4" w:space="0" w:color="auto"/>
              <w:right w:val="single" w:sz="4" w:space="0" w:color="auto"/>
            </w:tcBorders>
            <w:shd w:val="clear" w:color="auto" w:fill="auto"/>
            <w:noWrap/>
            <w:vAlign w:val="bottom"/>
            <w:hideMark/>
          </w:tcPr>
          <w:p w14:paraId="1CB38605"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32</w:t>
            </w:r>
          </w:p>
        </w:tc>
        <w:tc>
          <w:tcPr>
            <w:tcW w:w="1984" w:type="dxa"/>
            <w:tcBorders>
              <w:top w:val="nil"/>
              <w:left w:val="nil"/>
              <w:bottom w:val="single" w:sz="4" w:space="0" w:color="auto"/>
              <w:right w:val="single" w:sz="4" w:space="0" w:color="auto"/>
            </w:tcBorders>
            <w:shd w:val="clear" w:color="auto" w:fill="auto"/>
            <w:noWrap/>
            <w:vAlign w:val="bottom"/>
            <w:hideMark/>
          </w:tcPr>
          <w:p w14:paraId="2E292DCE" w14:textId="5F1E725B"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7,5</w:t>
            </w:r>
            <w:r w:rsidR="000516BC">
              <w:rPr>
                <w:rFonts w:eastAsia="Times New Roman" w:cs="Times New Roman"/>
                <w:color w:val="000000"/>
                <w:szCs w:val="24"/>
                <w:lang w:eastAsia="es-EC"/>
              </w:rPr>
              <w:t>0</w:t>
            </w:r>
          </w:p>
        </w:tc>
        <w:tc>
          <w:tcPr>
            <w:tcW w:w="667" w:type="dxa"/>
            <w:tcBorders>
              <w:top w:val="nil"/>
              <w:left w:val="nil"/>
              <w:bottom w:val="single" w:sz="4" w:space="0" w:color="auto"/>
              <w:right w:val="single" w:sz="4" w:space="0" w:color="auto"/>
            </w:tcBorders>
            <w:shd w:val="clear" w:color="auto" w:fill="auto"/>
            <w:noWrap/>
            <w:vAlign w:val="bottom"/>
            <w:hideMark/>
          </w:tcPr>
          <w:p w14:paraId="7CCF1651" w14:textId="77777777" w:rsidR="007E253F" w:rsidRPr="007E253F" w:rsidRDefault="007E253F" w:rsidP="0047493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2F982381" w14:textId="77777777" w:rsidR="007E253F" w:rsidRPr="007E253F" w:rsidRDefault="007E253F" w:rsidP="00474937">
            <w:pPr>
              <w:spacing w:after="0" w:line="240" w:lineRule="auto"/>
              <w:jc w:val="center"/>
              <w:rPr>
                <w:rFonts w:eastAsia="Times New Roman" w:cs="Times New Roman"/>
                <w:color w:val="000000"/>
                <w:szCs w:val="24"/>
                <w:lang w:eastAsia="es-EC"/>
              </w:rPr>
            </w:pPr>
          </w:p>
        </w:tc>
        <w:tc>
          <w:tcPr>
            <w:tcW w:w="851" w:type="dxa"/>
            <w:tcBorders>
              <w:top w:val="nil"/>
              <w:left w:val="nil"/>
              <w:bottom w:val="single" w:sz="4" w:space="0" w:color="auto"/>
              <w:right w:val="single" w:sz="4" w:space="0" w:color="auto"/>
            </w:tcBorders>
            <w:shd w:val="clear" w:color="auto" w:fill="auto"/>
            <w:noWrap/>
            <w:vAlign w:val="bottom"/>
            <w:hideMark/>
          </w:tcPr>
          <w:p w14:paraId="7A96CBEC"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r w:rsidR="007E253F" w:rsidRPr="007E253F" w14:paraId="4950CB3D" w14:textId="77777777" w:rsidTr="00474937">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49280F7"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shd w:val="clear" w:color="auto" w:fill="auto"/>
            <w:noWrap/>
            <w:vAlign w:val="bottom"/>
            <w:hideMark/>
          </w:tcPr>
          <w:p w14:paraId="736A521A"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162,62</w:t>
            </w:r>
          </w:p>
        </w:tc>
        <w:tc>
          <w:tcPr>
            <w:tcW w:w="856" w:type="dxa"/>
            <w:tcBorders>
              <w:top w:val="nil"/>
              <w:left w:val="nil"/>
              <w:bottom w:val="single" w:sz="4" w:space="0" w:color="auto"/>
              <w:right w:val="single" w:sz="4" w:space="0" w:color="auto"/>
            </w:tcBorders>
            <w:shd w:val="clear" w:color="auto" w:fill="auto"/>
            <w:noWrap/>
            <w:vAlign w:val="bottom"/>
            <w:hideMark/>
          </w:tcPr>
          <w:p w14:paraId="50DCAF7F"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984" w:type="dxa"/>
            <w:tcBorders>
              <w:top w:val="nil"/>
              <w:left w:val="nil"/>
              <w:bottom w:val="single" w:sz="4" w:space="0" w:color="auto"/>
              <w:right w:val="single" w:sz="4" w:space="0" w:color="auto"/>
            </w:tcBorders>
            <w:shd w:val="clear" w:color="auto" w:fill="auto"/>
            <w:noWrap/>
            <w:vAlign w:val="bottom"/>
            <w:hideMark/>
          </w:tcPr>
          <w:p w14:paraId="3D458550"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16,51</w:t>
            </w:r>
          </w:p>
        </w:tc>
        <w:tc>
          <w:tcPr>
            <w:tcW w:w="667" w:type="dxa"/>
            <w:tcBorders>
              <w:top w:val="nil"/>
              <w:left w:val="nil"/>
              <w:bottom w:val="single" w:sz="4" w:space="0" w:color="auto"/>
              <w:right w:val="single" w:sz="4" w:space="0" w:color="auto"/>
            </w:tcBorders>
            <w:shd w:val="clear" w:color="auto" w:fill="auto"/>
            <w:noWrap/>
            <w:vAlign w:val="bottom"/>
            <w:hideMark/>
          </w:tcPr>
          <w:p w14:paraId="2F18104D" w14:textId="77777777" w:rsidR="007E253F" w:rsidRPr="007E253F" w:rsidRDefault="007E253F" w:rsidP="00474937">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49362354" w14:textId="77777777" w:rsidR="007E253F" w:rsidRPr="007E253F" w:rsidRDefault="007E253F" w:rsidP="00474937">
            <w:pPr>
              <w:spacing w:after="0" w:line="240" w:lineRule="auto"/>
              <w:jc w:val="center"/>
              <w:rPr>
                <w:rFonts w:eastAsia="Times New Roman" w:cs="Times New Roman"/>
                <w:color w:val="000000"/>
                <w:szCs w:val="24"/>
                <w:lang w:eastAsia="es-EC"/>
              </w:rPr>
            </w:pPr>
          </w:p>
        </w:tc>
        <w:tc>
          <w:tcPr>
            <w:tcW w:w="851" w:type="dxa"/>
            <w:tcBorders>
              <w:top w:val="nil"/>
              <w:left w:val="nil"/>
              <w:bottom w:val="single" w:sz="4" w:space="0" w:color="auto"/>
              <w:right w:val="single" w:sz="4" w:space="0" w:color="auto"/>
            </w:tcBorders>
            <w:shd w:val="clear" w:color="auto" w:fill="auto"/>
            <w:noWrap/>
            <w:vAlign w:val="bottom"/>
            <w:hideMark/>
          </w:tcPr>
          <w:p w14:paraId="3CF620B0"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54A51115" w14:textId="77777777" w:rsidR="00474937" w:rsidRDefault="007E253F" w:rsidP="00474937">
      <w:pPr>
        <w:autoSpaceDE w:val="0"/>
        <w:autoSpaceDN w:val="0"/>
        <w:adjustRightInd w:val="0"/>
        <w:spacing w:after="0" w:line="360" w:lineRule="auto"/>
        <w:rPr>
          <w:rFonts w:cs="Times New Roman"/>
          <w:szCs w:val="24"/>
        </w:rPr>
      </w:pPr>
      <w:r w:rsidRPr="007E253F">
        <w:rPr>
          <w:rFonts w:cs="Times New Roman"/>
          <w:szCs w:val="24"/>
        </w:rPr>
        <w:t>Medias con una letra común no son significa</w:t>
      </w:r>
      <w:r w:rsidR="00077513">
        <w:rPr>
          <w:rFonts w:cs="Times New Roman"/>
          <w:szCs w:val="24"/>
        </w:rPr>
        <w:t>tivamente diferentes (p &gt; 0,05)</w:t>
      </w:r>
      <w:bookmarkStart w:id="1410" w:name="_Toc79314032"/>
    </w:p>
    <w:p w14:paraId="4A77EAD1" w14:textId="26C642C7" w:rsidR="00077513" w:rsidRPr="00474937" w:rsidRDefault="00077513" w:rsidP="00474937">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40</w:t>
      </w:r>
      <w:r w:rsidRPr="00077513">
        <w:rPr>
          <w:rFonts w:cs="Times New Roman"/>
          <w:b/>
          <w:i/>
          <w:iCs/>
          <w:szCs w:val="24"/>
        </w:rPr>
        <w:fldChar w:fldCharType="end"/>
      </w:r>
      <w:r w:rsidRPr="00077513">
        <w:rPr>
          <w:rFonts w:cs="Times New Roman"/>
          <w:szCs w:val="24"/>
        </w:rPr>
        <w:t>. Absorción total de potasio para diversas dosis de fósforo evaluadas en la provincia de Bolívar del 2006 al 2011.</w:t>
      </w:r>
      <w:bookmarkEnd w:id="1410"/>
    </w:p>
    <w:tbl>
      <w:tblPr>
        <w:tblW w:w="5125" w:type="dxa"/>
        <w:jc w:val="center"/>
        <w:tblCellMar>
          <w:left w:w="70" w:type="dxa"/>
          <w:right w:w="70" w:type="dxa"/>
        </w:tblCellMar>
        <w:tblLook w:val="04A0" w:firstRow="1" w:lastRow="0" w:firstColumn="1" w:lastColumn="0" w:noHBand="0" w:noVBand="1"/>
      </w:tblPr>
      <w:tblGrid>
        <w:gridCol w:w="1838"/>
        <w:gridCol w:w="887"/>
        <w:gridCol w:w="531"/>
        <w:gridCol w:w="1869"/>
      </w:tblGrid>
      <w:tr w:rsidR="007E253F" w:rsidRPr="007E253F" w14:paraId="4F289E5B" w14:textId="77777777" w:rsidTr="00404A09">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70263" w14:textId="77777777" w:rsidR="007E253F" w:rsidRPr="007E253F" w:rsidRDefault="007E253F" w:rsidP="0047493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P(kg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78535EB6" w14:textId="77777777" w:rsidR="007E253F" w:rsidRPr="007E253F" w:rsidRDefault="007E253F" w:rsidP="0047493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14:paraId="316568A6" w14:textId="77777777" w:rsidR="007E253F" w:rsidRPr="007E253F" w:rsidRDefault="007E253F" w:rsidP="0047493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69" w:type="dxa"/>
            <w:tcBorders>
              <w:top w:val="single" w:sz="4" w:space="0" w:color="auto"/>
              <w:left w:val="nil"/>
              <w:bottom w:val="single" w:sz="4" w:space="0" w:color="auto"/>
              <w:right w:val="single" w:sz="4" w:space="0" w:color="auto"/>
            </w:tcBorders>
            <w:shd w:val="clear" w:color="auto" w:fill="auto"/>
            <w:noWrap/>
            <w:vAlign w:val="bottom"/>
            <w:hideMark/>
          </w:tcPr>
          <w:p w14:paraId="1A6C7DF3" w14:textId="77777777" w:rsidR="007E253F" w:rsidRPr="007E253F" w:rsidRDefault="007E253F" w:rsidP="00474937">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16D8C536" w14:textId="77777777" w:rsidTr="00404A09">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44FE30C"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67C622F7"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119,14</w:t>
            </w:r>
          </w:p>
        </w:tc>
        <w:tc>
          <w:tcPr>
            <w:tcW w:w="531" w:type="dxa"/>
            <w:tcBorders>
              <w:top w:val="nil"/>
              <w:left w:val="nil"/>
              <w:bottom w:val="single" w:sz="4" w:space="0" w:color="auto"/>
              <w:right w:val="single" w:sz="4" w:space="0" w:color="auto"/>
            </w:tcBorders>
            <w:shd w:val="clear" w:color="auto" w:fill="auto"/>
            <w:noWrap/>
            <w:vAlign w:val="bottom"/>
            <w:hideMark/>
          </w:tcPr>
          <w:p w14:paraId="3738553E"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869" w:type="dxa"/>
            <w:tcBorders>
              <w:top w:val="nil"/>
              <w:left w:val="nil"/>
              <w:bottom w:val="single" w:sz="4" w:space="0" w:color="auto"/>
              <w:right w:val="single" w:sz="4" w:space="0" w:color="auto"/>
            </w:tcBorders>
            <w:shd w:val="clear" w:color="auto" w:fill="auto"/>
            <w:noWrap/>
            <w:vAlign w:val="bottom"/>
            <w:hideMark/>
          </w:tcPr>
          <w:p w14:paraId="072AFA80"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10,88</w:t>
            </w:r>
          </w:p>
        </w:tc>
      </w:tr>
      <w:tr w:rsidR="007E253F" w:rsidRPr="007E253F" w14:paraId="01F807AD" w14:textId="77777777" w:rsidTr="00404A09">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51271C0"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shd w:val="clear" w:color="auto" w:fill="auto"/>
            <w:noWrap/>
            <w:vAlign w:val="bottom"/>
            <w:hideMark/>
          </w:tcPr>
          <w:p w14:paraId="7FA29103"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119,49</w:t>
            </w:r>
          </w:p>
        </w:tc>
        <w:tc>
          <w:tcPr>
            <w:tcW w:w="531" w:type="dxa"/>
            <w:tcBorders>
              <w:top w:val="nil"/>
              <w:left w:val="nil"/>
              <w:bottom w:val="single" w:sz="4" w:space="0" w:color="auto"/>
              <w:right w:val="single" w:sz="4" w:space="0" w:color="auto"/>
            </w:tcBorders>
            <w:shd w:val="clear" w:color="auto" w:fill="auto"/>
            <w:noWrap/>
            <w:vAlign w:val="bottom"/>
            <w:hideMark/>
          </w:tcPr>
          <w:p w14:paraId="1AA21E1F"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69" w:type="dxa"/>
            <w:tcBorders>
              <w:top w:val="nil"/>
              <w:left w:val="nil"/>
              <w:bottom w:val="single" w:sz="4" w:space="0" w:color="auto"/>
              <w:right w:val="single" w:sz="4" w:space="0" w:color="auto"/>
            </w:tcBorders>
            <w:shd w:val="clear" w:color="auto" w:fill="auto"/>
            <w:noWrap/>
            <w:vAlign w:val="bottom"/>
            <w:hideMark/>
          </w:tcPr>
          <w:p w14:paraId="586A52D1"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7,75</w:t>
            </w:r>
          </w:p>
        </w:tc>
      </w:tr>
      <w:tr w:rsidR="007E253F" w:rsidRPr="007E253F" w14:paraId="6D87DE9A" w14:textId="77777777" w:rsidTr="00404A09">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34B32F8"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w:t>
            </w:r>
          </w:p>
        </w:tc>
        <w:tc>
          <w:tcPr>
            <w:tcW w:w="887" w:type="dxa"/>
            <w:tcBorders>
              <w:top w:val="nil"/>
              <w:left w:val="nil"/>
              <w:bottom w:val="single" w:sz="4" w:space="0" w:color="auto"/>
              <w:right w:val="single" w:sz="4" w:space="0" w:color="auto"/>
            </w:tcBorders>
            <w:shd w:val="clear" w:color="auto" w:fill="auto"/>
            <w:noWrap/>
            <w:vAlign w:val="bottom"/>
            <w:hideMark/>
          </w:tcPr>
          <w:p w14:paraId="16EF13A3"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125,53</w:t>
            </w:r>
          </w:p>
        </w:tc>
        <w:tc>
          <w:tcPr>
            <w:tcW w:w="531" w:type="dxa"/>
            <w:tcBorders>
              <w:top w:val="nil"/>
              <w:left w:val="nil"/>
              <w:bottom w:val="single" w:sz="4" w:space="0" w:color="auto"/>
              <w:right w:val="single" w:sz="4" w:space="0" w:color="auto"/>
            </w:tcBorders>
            <w:shd w:val="clear" w:color="auto" w:fill="auto"/>
            <w:noWrap/>
            <w:vAlign w:val="bottom"/>
            <w:hideMark/>
          </w:tcPr>
          <w:p w14:paraId="6CD11FE4"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38</w:t>
            </w:r>
          </w:p>
        </w:tc>
        <w:tc>
          <w:tcPr>
            <w:tcW w:w="1869" w:type="dxa"/>
            <w:tcBorders>
              <w:top w:val="nil"/>
              <w:left w:val="nil"/>
              <w:bottom w:val="single" w:sz="4" w:space="0" w:color="auto"/>
              <w:right w:val="single" w:sz="4" w:space="0" w:color="auto"/>
            </w:tcBorders>
            <w:shd w:val="clear" w:color="auto" w:fill="auto"/>
            <w:noWrap/>
            <w:vAlign w:val="bottom"/>
            <w:hideMark/>
          </w:tcPr>
          <w:p w14:paraId="2DC15934"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8,08</w:t>
            </w:r>
          </w:p>
        </w:tc>
      </w:tr>
      <w:tr w:rsidR="007E253F" w:rsidRPr="007E253F" w14:paraId="7722DEFE" w14:textId="77777777" w:rsidTr="00404A09">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073BB6D"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shd w:val="clear" w:color="auto" w:fill="auto"/>
            <w:noWrap/>
            <w:vAlign w:val="bottom"/>
            <w:hideMark/>
          </w:tcPr>
          <w:p w14:paraId="42E9F347"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162,62</w:t>
            </w:r>
          </w:p>
        </w:tc>
        <w:tc>
          <w:tcPr>
            <w:tcW w:w="531" w:type="dxa"/>
            <w:tcBorders>
              <w:top w:val="nil"/>
              <w:left w:val="nil"/>
              <w:bottom w:val="single" w:sz="4" w:space="0" w:color="auto"/>
              <w:right w:val="single" w:sz="4" w:space="0" w:color="auto"/>
            </w:tcBorders>
            <w:shd w:val="clear" w:color="auto" w:fill="auto"/>
            <w:noWrap/>
            <w:vAlign w:val="bottom"/>
            <w:hideMark/>
          </w:tcPr>
          <w:p w14:paraId="2426CADA"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869" w:type="dxa"/>
            <w:tcBorders>
              <w:top w:val="nil"/>
              <w:left w:val="nil"/>
              <w:bottom w:val="single" w:sz="4" w:space="0" w:color="auto"/>
              <w:right w:val="single" w:sz="4" w:space="0" w:color="auto"/>
            </w:tcBorders>
            <w:shd w:val="clear" w:color="auto" w:fill="auto"/>
            <w:noWrap/>
            <w:vAlign w:val="bottom"/>
            <w:hideMark/>
          </w:tcPr>
          <w:p w14:paraId="7F40E1C9" w14:textId="77777777" w:rsidR="007E253F" w:rsidRPr="007E253F" w:rsidRDefault="007E253F" w:rsidP="00474937">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16,51</w:t>
            </w:r>
          </w:p>
        </w:tc>
      </w:tr>
    </w:tbl>
    <w:p w14:paraId="225A3E94" w14:textId="349EB7C3" w:rsidR="00077513" w:rsidRPr="00474937" w:rsidRDefault="00474937" w:rsidP="00077513">
      <w:pPr>
        <w:pStyle w:val="Descripcin"/>
        <w:keepNext/>
        <w:rPr>
          <w:rFonts w:cs="Times New Roman"/>
          <w:b/>
          <w:i w:val="0"/>
          <w:iCs w:val="0"/>
          <w:color w:val="auto"/>
          <w:sz w:val="24"/>
          <w:szCs w:val="24"/>
          <w:lang w:eastAsia="en-US"/>
        </w:rPr>
      </w:pPr>
      <w:bookmarkStart w:id="1411" w:name="_Toc79314033"/>
      <w:r>
        <w:rPr>
          <w:rFonts w:cs="Times New Roman"/>
          <w:b/>
          <w:i w:val="0"/>
          <w:iCs w:val="0"/>
          <w:color w:val="auto"/>
          <w:sz w:val="24"/>
          <w:szCs w:val="24"/>
          <w:lang w:eastAsia="en-US"/>
        </w:rPr>
        <w:br w:type="page"/>
      </w:r>
      <w:r w:rsidR="00077513" w:rsidRPr="00077513">
        <w:rPr>
          <w:rFonts w:cs="Times New Roman"/>
          <w:b/>
          <w:i w:val="0"/>
          <w:iCs w:val="0"/>
          <w:color w:val="auto"/>
          <w:sz w:val="24"/>
          <w:szCs w:val="24"/>
          <w:lang w:eastAsia="en-US"/>
        </w:rPr>
        <w:lastRenderedPageBreak/>
        <w:t xml:space="preserve">Cuadro </w:t>
      </w:r>
      <w:r w:rsidR="00077513" w:rsidRPr="00077513">
        <w:rPr>
          <w:rFonts w:cs="Times New Roman"/>
          <w:b/>
          <w:i w:val="0"/>
          <w:iCs w:val="0"/>
          <w:color w:val="auto"/>
          <w:sz w:val="24"/>
          <w:szCs w:val="24"/>
          <w:lang w:eastAsia="en-US"/>
        </w:rPr>
        <w:fldChar w:fldCharType="begin"/>
      </w:r>
      <w:r w:rsidR="00077513" w:rsidRPr="00077513">
        <w:rPr>
          <w:rFonts w:cs="Times New Roman"/>
          <w:b/>
          <w:i w:val="0"/>
          <w:iCs w:val="0"/>
          <w:color w:val="auto"/>
          <w:sz w:val="24"/>
          <w:szCs w:val="24"/>
          <w:lang w:eastAsia="en-US"/>
        </w:rPr>
        <w:instrText xml:space="preserve"> SEQ Cuadro \* ARABIC </w:instrText>
      </w:r>
      <w:r w:rsidR="00077513" w:rsidRPr="00077513">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41</w:t>
      </w:r>
      <w:r w:rsidR="00077513" w:rsidRPr="00077513">
        <w:rPr>
          <w:rFonts w:cs="Times New Roman"/>
          <w:b/>
          <w:i w:val="0"/>
          <w:iCs w:val="0"/>
          <w:color w:val="auto"/>
          <w:sz w:val="24"/>
          <w:szCs w:val="24"/>
          <w:lang w:eastAsia="en-US"/>
        </w:rPr>
        <w:fldChar w:fldCharType="end"/>
      </w:r>
      <w:r w:rsidR="00077513" w:rsidRPr="00077513">
        <w:rPr>
          <w:rFonts w:cs="Times New Roman"/>
          <w:b/>
          <w:i w:val="0"/>
          <w:iCs w:val="0"/>
          <w:color w:val="auto"/>
          <w:sz w:val="24"/>
          <w:szCs w:val="24"/>
          <w:lang w:eastAsia="en-US"/>
        </w:rPr>
        <w:t>.</w:t>
      </w:r>
      <w:r w:rsidR="00077513" w:rsidRPr="00077513">
        <w:rPr>
          <w:rFonts w:cs="Times New Roman"/>
          <w:i w:val="0"/>
          <w:iCs w:val="0"/>
          <w:color w:val="auto"/>
          <w:sz w:val="24"/>
          <w:szCs w:val="24"/>
          <w:lang w:eastAsia="en-US"/>
        </w:rPr>
        <w:t xml:space="preserve"> Absorción total de potasio para diversas dosis de potasio evaluadas en la provincia de Bolívar del 2006 al 2011.</w:t>
      </w:r>
      <w:bookmarkEnd w:id="1411"/>
    </w:p>
    <w:tbl>
      <w:tblPr>
        <w:tblW w:w="7561" w:type="dxa"/>
        <w:jc w:val="center"/>
        <w:tblCellMar>
          <w:left w:w="70" w:type="dxa"/>
          <w:right w:w="70" w:type="dxa"/>
        </w:tblCellMar>
        <w:tblLook w:val="04A0" w:firstRow="1" w:lastRow="0" w:firstColumn="1" w:lastColumn="0" w:noHBand="0" w:noVBand="1"/>
      </w:tblPr>
      <w:tblGrid>
        <w:gridCol w:w="2263"/>
        <w:gridCol w:w="887"/>
        <w:gridCol w:w="531"/>
        <w:gridCol w:w="1879"/>
        <w:gridCol w:w="1134"/>
        <w:gridCol w:w="867"/>
      </w:tblGrid>
      <w:tr w:rsidR="007E253F" w:rsidRPr="007E253F" w14:paraId="1BBC79A7" w14:textId="77777777" w:rsidTr="00404A09">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36D41"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K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23F34AAE"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14:paraId="4784B68C"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79" w:type="dxa"/>
            <w:tcBorders>
              <w:top w:val="single" w:sz="4" w:space="0" w:color="auto"/>
              <w:left w:val="nil"/>
              <w:bottom w:val="single" w:sz="4" w:space="0" w:color="auto"/>
              <w:right w:val="single" w:sz="4" w:space="0" w:color="auto"/>
            </w:tcBorders>
            <w:shd w:val="clear" w:color="auto" w:fill="auto"/>
            <w:noWrap/>
            <w:vAlign w:val="bottom"/>
            <w:hideMark/>
          </w:tcPr>
          <w:p w14:paraId="495C01AF"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134" w:type="dxa"/>
            <w:tcBorders>
              <w:top w:val="single" w:sz="4" w:space="0" w:color="auto"/>
              <w:left w:val="single" w:sz="4" w:space="0" w:color="auto"/>
              <w:bottom w:val="single" w:sz="4" w:space="0" w:color="auto"/>
            </w:tcBorders>
            <w:shd w:val="clear" w:color="auto" w:fill="auto"/>
            <w:noWrap/>
            <w:vAlign w:val="bottom"/>
            <w:hideMark/>
          </w:tcPr>
          <w:p w14:paraId="69B974D5" w14:textId="77777777" w:rsidR="007E253F" w:rsidRPr="007E253F" w:rsidRDefault="007E253F" w:rsidP="00990026">
            <w:pPr>
              <w:spacing w:after="0" w:line="240" w:lineRule="auto"/>
              <w:jc w:val="right"/>
              <w:rPr>
                <w:rFonts w:eastAsia="Times New Roman" w:cs="Times New Roman"/>
                <w:b/>
                <w:bCs/>
                <w:color w:val="000000"/>
                <w:szCs w:val="24"/>
                <w:lang w:eastAsia="es-EC"/>
              </w:rPr>
            </w:pPr>
            <w:r w:rsidRPr="007E253F">
              <w:rPr>
                <w:rFonts w:eastAsia="Times New Roman" w:cs="Times New Roman"/>
                <w:b/>
                <w:bCs/>
                <w:color w:val="000000"/>
                <w:szCs w:val="24"/>
                <w:lang w:eastAsia="es-EC"/>
              </w:rPr>
              <w:t>Lsd</w:t>
            </w:r>
          </w:p>
        </w:tc>
        <w:tc>
          <w:tcPr>
            <w:tcW w:w="867" w:type="dxa"/>
            <w:tcBorders>
              <w:top w:val="single" w:sz="4" w:space="0" w:color="auto"/>
              <w:bottom w:val="single" w:sz="4" w:space="0" w:color="auto"/>
              <w:right w:val="single" w:sz="4" w:space="0" w:color="auto"/>
            </w:tcBorders>
            <w:shd w:val="clear" w:color="auto" w:fill="auto"/>
            <w:noWrap/>
            <w:vAlign w:val="bottom"/>
            <w:hideMark/>
          </w:tcPr>
          <w:p w14:paraId="0AC3FC8E" w14:textId="77777777" w:rsidR="007E253F" w:rsidRPr="007E253F" w:rsidRDefault="007E253F" w:rsidP="00990026">
            <w:pPr>
              <w:spacing w:after="0" w:line="240" w:lineRule="auto"/>
              <w:rPr>
                <w:rFonts w:eastAsia="Times New Roman" w:cs="Times New Roman"/>
                <w:b/>
                <w:bCs/>
                <w:color w:val="000000"/>
                <w:szCs w:val="24"/>
                <w:lang w:eastAsia="es-EC"/>
              </w:rPr>
            </w:pPr>
            <w:r w:rsidRPr="007E253F">
              <w:rPr>
                <w:rFonts w:eastAsia="Times New Roman" w:cs="Times New Roman"/>
                <w:b/>
                <w:bCs/>
                <w:color w:val="000000"/>
                <w:szCs w:val="24"/>
                <w:lang w:eastAsia="es-EC"/>
              </w:rPr>
              <w:t>0,05</w:t>
            </w:r>
          </w:p>
        </w:tc>
      </w:tr>
      <w:tr w:rsidR="007E253F" w:rsidRPr="007E253F" w14:paraId="6A1F487B" w14:textId="77777777" w:rsidTr="00404A0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893B9A3"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shd w:val="clear" w:color="auto" w:fill="auto"/>
            <w:noWrap/>
            <w:vAlign w:val="bottom"/>
            <w:hideMark/>
          </w:tcPr>
          <w:p w14:paraId="46455E02"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116,53</w:t>
            </w:r>
          </w:p>
        </w:tc>
        <w:tc>
          <w:tcPr>
            <w:tcW w:w="531" w:type="dxa"/>
            <w:tcBorders>
              <w:top w:val="nil"/>
              <w:left w:val="nil"/>
              <w:bottom w:val="single" w:sz="4" w:space="0" w:color="auto"/>
              <w:right w:val="single" w:sz="4" w:space="0" w:color="auto"/>
            </w:tcBorders>
            <w:shd w:val="clear" w:color="auto" w:fill="auto"/>
            <w:noWrap/>
            <w:vAlign w:val="bottom"/>
            <w:hideMark/>
          </w:tcPr>
          <w:p w14:paraId="6E344A9D"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79" w:type="dxa"/>
            <w:tcBorders>
              <w:top w:val="nil"/>
              <w:left w:val="nil"/>
              <w:bottom w:val="single" w:sz="4" w:space="0" w:color="auto"/>
              <w:right w:val="single" w:sz="4" w:space="0" w:color="auto"/>
            </w:tcBorders>
            <w:shd w:val="clear" w:color="auto" w:fill="auto"/>
            <w:noWrap/>
            <w:vAlign w:val="bottom"/>
            <w:hideMark/>
          </w:tcPr>
          <w:p w14:paraId="671F6BB5"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B73F691"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14:paraId="6AC6DD28" w14:textId="77777777" w:rsidR="007E253F" w:rsidRPr="007E253F" w:rsidRDefault="007E253F" w:rsidP="00990026">
            <w:pPr>
              <w:spacing w:after="0" w:line="240" w:lineRule="auto"/>
              <w:jc w:val="center"/>
              <w:rPr>
                <w:rFonts w:eastAsia="Times New Roman" w:cs="Times New Roman"/>
                <w:color w:val="000000"/>
                <w:szCs w:val="24"/>
                <w:lang w:eastAsia="es-EC"/>
              </w:rPr>
            </w:pPr>
          </w:p>
        </w:tc>
      </w:tr>
      <w:tr w:rsidR="007E253F" w:rsidRPr="007E253F" w14:paraId="19559537" w14:textId="77777777" w:rsidTr="00404A0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D2C87C0"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4060AE43"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124,33</w:t>
            </w:r>
          </w:p>
        </w:tc>
        <w:tc>
          <w:tcPr>
            <w:tcW w:w="531" w:type="dxa"/>
            <w:tcBorders>
              <w:top w:val="nil"/>
              <w:left w:val="nil"/>
              <w:bottom w:val="single" w:sz="4" w:space="0" w:color="auto"/>
              <w:right w:val="single" w:sz="4" w:space="0" w:color="auto"/>
            </w:tcBorders>
            <w:shd w:val="clear" w:color="auto" w:fill="auto"/>
            <w:noWrap/>
            <w:vAlign w:val="bottom"/>
            <w:hideMark/>
          </w:tcPr>
          <w:p w14:paraId="580A0E30"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879" w:type="dxa"/>
            <w:tcBorders>
              <w:top w:val="nil"/>
              <w:left w:val="nil"/>
              <w:bottom w:val="single" w:sz="4" w:space="0" w:color="auto"/>
              <w:right w:val="single" w:sz="4" w:space="0" w:color="auto"/>
            </w:tcBorders>
            <w:shd w:val="clear" w:color="auto" w:fill="auto"/>
            <w:noWrap/>
            <w:vAlign w:val="bottom"/>
            <w:hideMark/>
          </w:tcPr>
          <w:p w14:paraId="14CF3D14"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6,75</w:t>
            </w:r>
          </w:p>
        </w:tc>
        <w:tc>
          <w:tcPr>
            <w:tcW w:w="1134" w:type="dxa"/>
            <w:tcBorders>
              <w:top w:val="nil"/>
              <w:left w:val="nil"/>
              <w:bottom w:val="single" w:sz="4" w:space="0" w:color="auto"/>
              <w:right w:val="single" w:sz="4" w:space="0" w:color="auto"/>
            </w:tcBorders>
            <w:shd w:val="clear" w:color="auto" w:fill="auto"/>
            <w:noWrap/>
            <w:vAlign w:val="bottom"/>
            <w:hideMark/>
          </w:tcPr>
          <w:p w14:paraId="6D66E27C"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867" w:type="dxa"/>
            <w:tcBorders>
              <w:top w:val="nil"/>
              <w:left w:val="nil"/>
              <w:bottom w:val="single" w:sz="4" w:space="0" w:color="auto"/>
              <w:right w:val="single" w:sz="4" w:space="0" w:color="auto"/>
            </w:tcBorders>
            <w:shd w:val="clear" w:color="auto" w:fill="auto"/>
            <w:noWrap/>
            <w:vAlign w:val="bottom"/>
            <w:hideMark/>
          </w:tcPr>
          <w:p w14:paraId="1F0B8E0F" w14:textId="77777777" w:rsidR="007E253F" w:rsidRPr="007E253F" w:rsidRDefault="007E253F" w:rsidP="00990026">
            <w:pPr>
              <w:spacing w:after="0" w:line="240" w:lineRule="auto"/>
              <w:jc w:val="center"/>
              <w:rPr>
                <w:rFonts w:eastAsia="Times New Roman" w:cs="Times New Roman"/>
                <w:color w:val="000000"/>
                <w:szCs w:val="24"/>
                <w:lang w:eastAsia="es-EC"/>
              </w:rPr>
            </w:pPr>
          </w:p>
        </w:tc>
      </w:tr>
      <w:tr w:rsidR="007E253F" w:rsidRPr="007E253F" w14:paraId="4944817C" w14:textId="77777777" w:rsidTr="00404A0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34A2890"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4F02DE06"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131,79</w:t>
            </w:r>
          </w:p>
        </w:tc>
        <w:tc>
          <w:tcPr>
            <w:tcW w:w="531" w:type="dxa"/>
            <w:tcBorders>
              <w:top w:val="nil"/>
              <w:left w:val="nil"/>
              <w:bottom w:val="single" w:sz="4" w:space="0" w:color="auto"/>
              <w:right w:val="single" w:sz="4" w:space="0" w:color="auto"/>
            </w:tcBorders>
            <w:shd w:val="clear" w:color="auto" w:fill="auto"/>
            <w:noWrap/>
            <w:vAlign w:val="bottom"/>
            <w:hideMark/>
          </w:tcPr>
          <w:p w14:paraId="3C0C717C"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879" w:type="dxa"/>
            <w:tcBorders>
              <w:top w:val="nil"/>
              <w:left w:val="nil"/>
              <w:bottom w:val="single" w:sz="4" w:space="0" w:color="auto"/>
              <w:right w:val="single" w:sz="4" w:space="0" w:color="auto"/>
            </w:tcBorders>
            <w:shd w:val="clear" w:color="auto" w:fill="auto"/>
            <w:noWrap/>
            <w:vAlign w:val="bottom"/>
            <w:hideMark/>
          </w:tcPr>
          <w:p w14:paraId="446A82B4"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18,03</w:t>
            </w:r>
          </w:p>
        </w:tc>
        <w:tc>
          <w:tcPr>
            <w:tcW w:w="1134" w:type="dxa"/>
            <w:tcBorders>
              <w:top w:val="nil"/>
              <w:left w:val="nil"/>
              <w:bottom w:val="single" w:sz="4" w:space="0" w:color="auto"/>
              <w:right w:val="single" w:sz="4" w:space="0" w:color="auto"/>
            </w:tcBorders>
            <w:shd w:val="clear" w:color="auto" w:fill="auto"/>
            <w:noWrap/>
            <w:vAlign w:val="bottom"/>
            <w:hideMark/>
          </w:tcPr>
          <w:p w14:paraId="4525195E"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867" w:type="dxa"/>
            <w:tcBorders>
              <w:top w:val="nil"/>
              <w:left w:val="nil"/>
              <w:bottom w:val="single" w:sz="4" w:space="0" w:color="auto"/>
              <w:right w:val="single" w:sz="4" w:space="0" w:color="auto"/>
            </w:tcBorders>
            <w:shd w:val="clear" w:color="auto" w:fill="auto"/>
            <w:noWrap/>
            <w:vAlign w:val="bottom"/>
            <w:hideMark/>
          </w:tcPr>
          <w:p w14:paraId="3B4B0D28" w14:textId="77777777" w:rsidR="007E253F" w:rsidRPr="007E253F" w:rsidRDefault="007E253F" w:rsidP="00990026">
            <w:pPr>
              <w:spacing w:after="0" w:line="240" w:lineRule="auto"/>
              <w:jc w:val="center"/>
              <w:rPr>
                <w:rFonts w:eastAsia="Times New Roman" w:cs="Times New Roman"/>
                <w:color w:val="000000"/>
                <w:szCs w:val="24"/>
                <w:lang w:eastAsia="es-EC"/>
              </w:rPr>
            </w:pPr>
          </w:p>
        </w:tc>
      </w:tr>
      <w:tr w:rsidR="007E253F" w:rsidRPr="007E253F" w14:paraId="42F13780" w14:textId="77777777" w:rsidTr="00404A0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4285699"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shd w:val="clear" w:color="auto" w:fill="auto"/>
            <w:noWrap/>
            <w:vAlign w:val="bottom"/>
            <w:hideMark/>
          </w:tcPr>
          <w:p w14:paraId="7A8F22A4"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138,25</w:t>
            </w:r>
          </w:p>
        </w:tc>
        <w:tc>
          <w:tcPr>
            <w:tcW w:w="531" w:type="dxa"/>
            <w:tcBorders>
              <w:top w:val="nil"/>
              <w:left w:val="nil"/>
              <w:bottom w:val="single" w:sz="4" w:space="0" w:color="auto"/>
              <w:right w:val="single" w:sz="4" w:space="0" w:color="auto"/>
            </w:tcBorders>
            <w:shd w:val="clear" w:color="auto" w:fill="auto"/>
            <w:noWrap/>
            <w:vAlign w:val="bottom"/>
            <w:hideMark/>
          </w:tcPr>
          <w:p w14:paraId="6030DF78"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879" w:type="dxa"/>
            <w:tcBorders>
              <w:top w:val="nil"/>
              <w:left w:val="nil"/>
              <w:bottom w:val="single" w:sz="4" w:space="0" w:color="auto"/>
              <w:right w:val="single" w:sz="4" w:space="0" w:color="auto"/>
            </w:tcBorders>
            <w:shd w:val="clear" w:color="auto" w:fill="auto"/>
            <w:noWrap/>
            <w:vAlign w:val="bottom"/>
            <w:hideMark/>
          </w:tcPr>
          <w:p w14:paraId="4DF9DC07"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18,03</w:t>
            </w:r>
          </w:p>
        </w:tc>
        <w:tc>
          <w:tcPr>
            <w:tcW w:w="1134" w:type="dxa"/>
            <w:tcBorders>
              <w:top w:val="nil"/>
              <w:left w:val="nil"/>
              <w:bottom w:val="single" w:sz="4" w:space="0" w:color="auto"/>
              <w:right w:val="single" w:sz="4" w:space="0" w:color="auto"/>
            </w:tcBorders>
            <w:shd w:val="clear" w:color="auto" w:fill="auto"/>
            <w:noWrap/>
            <w:vAlign w:val="bottom"/>
            <w:hideMark/>
          </w:tcPr>
          <w:p w14:paraId="057AE5CB"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867" w:type="dxa"/>
            <w:tcBorders>
              <w:top w:val="nil"/>
              <w:left w:val="nil"/>
              <w:bottom w:val="single" w:sz="4" w:space="0" w:color="auto"/>
              <w:right w:val="single" w:sz="4" w:space="0" w:color="auto"/>
            </w:tcBorders>
            <w:shd w:val="clear" w:color="auto" w:fill="auto"/>
            <w:noWrap/>
            <w:vAlign w:val="bottom"/>
            <w:hideMark/>
          </w:tcPr>
          <w:p w14:paraId="56CE49C7" w14:textId="77777777" w:rsidR="007E253F" w:rsidRPr="007E253F" w:rsidRDefault="007E253F" w:rsidP="00990026">
            <w:pPr>
              <w:spacing w:after="0" w:line="240" w:lineRule="auto"/>
              <w:jc w:val="center"/>
              <w:rPr>
                <w:rFonts w:eastAsia="Times New Roman" w:cs="Times New Roman"/>
                <w:color w:val="000000"/>
                <w:szCs w:val="24"/>
                <w:lang w:eastAsia="es-EC"/>
              </w:rPr>
            </w:pPr>
          </w:p>
        </w:tc>
      </w:tr>
      <w:tr w:rsidR="007E253F" w:rsidRPr="007E253F" w14:paraId="35171DA9" w14:textId="77777777" w:rsidTr="00404A0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AEB0C08"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shd w:val="clear" w:color="auto" w:fill="auto"/>
            <w:noWrap/>
            <w:vAlign w:val="bottom"/>
            <w:hideMark/>
          </w:tcPr>
          <w:p w14:paraId="66396346"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260,11</w:t>
            </w:r>
          </w:p>
        </w:tc>
        <w:tc>
          <w:tcPr>
            <w:tcW w:w="531" w:type="dxa"/>
            <w:tcBorders>
              <w:top w:val="nil"/>
              <w:left w:val="nil"/>
              <w:bottom w:val="single" w:sz="4" w:space="0" w:color="auto"/>
              <w:right w:val="single" w:sz="4" w:space="0" w:color="auto"/>
            </w:tcBorders>
            <w:shd w:val="clear" w:color="auto" w:fill="auto"/>
            <w:noWrap/>
            <w:vAlign w:val="bottom"/>
            <w:hideMark/>
          </w:tcPr>
          <w:p w14:paraId="42A26280"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879" w:type="dxa"/>
            <w:tcBorders>
              <w:top w:val="nil"/>
              <w:left w:val="nil"/>
              <w:bottom w:val="single" w:sz="4" w:space="0" w:color="auto"/>
              <w:right w:val="single" w:sz="4" w:space="0" w:color="auto"/>
            </w:tcBorders>
            <w:shd w:val="clear" w:color="auto" w:fill="auto"/>
            <w:noWrap/>
            <w:vAlign w:val="bottom"/>
            <w:hideMark/>
          </w:tcPr>
          <w:p w14:paraId="6AA99BD1"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40,2</w:t>
            </w:r>
          </w:p>
        </w:tc>
        <w:tc>
          <w:tcPr>
            <w:tcW w:w="1134" w:type="dxa"/>
            <w:tcBorders>
              <w:top w:val="nil"/>
              <w:left w:val="nil"/>
              <w:bottom w:val="single" w:sz="4" w:space="0" w:color="auto"/>
              <w:right w:val="single" w:sz="4" w:space="0" w:color="auto"/>
            </w:tcBorders>
            <w:shd w:val="clear" w:color="auto" w:fill="auto"/>
            <w:noWrap/>
            <w:vAlign w:val="bottom"/>
            <w:hideMark/>
          </w:tcPr>
          <w:p w14:paraId="07CBA088" w14:textId="77777777" w:rsidR="007E253F" w:rsidRPr="007E253F" w:rsidRDefault="007E253F" w:rsidP="00990026">
            <w:pPr>
              <w:spacing w:after="0" w:line="240" w:lineRule="auto"/>
              <w:jc w:val="center"/>
              <w:rPr>
                <w:rFonts w:eastAsia="Times New Roman" w:cs="Times New Roman"/>
                <w:color w:val="000000"/>
                <w:szCs w:val="24"/>
                <w:lang w:eastAsia="es-EC"/>
              </w:rPr>
            </w:pPr>
          </w:p>
        </w:tc>
        <w:tc>
          <w:tcPr>
            <w:tcW w:w="867" w:type="dxa"/>
            <w:tcBorders>
              <w:top w:val="nil"/>
              <w:left w:val="nil"/>
              <w:bottom w:val="single" w:sz="4" w:space="0" w:color="auto"/>
              <w:right w:val="single" w:sz="4" w:space="0" w:color="auto"/>
            </w:tcBorders>
            <w:shd w:val="clear" w:color="auto" w:fill="auto"/>
            <w:noWrap/>
            <w:vAlign w:val="bottom"/>
            <w:hideMark/>
          </w:tcPr>
          <w:p w14:paraId="29DA41B2"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bl>
    <w:p w14:paraId="49DA2565" w14:textId="63F9B64A" w:rsidR="000516BC" w:rsidRDefault="007E253F" w:rsidP="00990026">
      <w:pPr>
        <w:autoSpaceDE w:val="0"/>
        <w:autoSpaceDN w:val="0"/>
        <w:adjustRightInd w:val="0"/>
        <w:spacing w:after="0" w:line="360" w:lineRule="auto"/>
        <w:rPr>
          <w:rFonts w:cs="Times New Roman"/>
          <w:szCs w:val="24"/>
        </w:rPr>
      </w:pPr>
      <w:r w:rsidRPr="007E253F">
        <w:rPr>
          <w:rFonts w:cs="Times New Roman"/>
          <w:szCs w:val="24"/>
        </w:rPr>
        <w:t>Medias con una letra común no son significativamente diferentes (p &gt; 0,05)</w:t>
      </w:r>
    </w:p>
    <w:p w14:paraId="38A5ED31" w14:textId="4BA6A789" w:rsidR="00077513" w:rsidRPr="00990026" w:rsidRDefault="00077513" w:rsidP="00990026">
      <w:pPr>
        <w:spacing w:before="360" w:after="120" w:line="360" w:lineRule="auto"/>
        <w:rPr>
          <w:lang w:val="es-ES"/>
        </w:rPr>
      </w:pPr>
      <w:bookmarkStart w:id="1412" w:name="_Toc79314034"/>
      <w:r w:rsidRPr="00077513">
        <w:rPr>
          <w:b/>
          <w:lang w:val="es-ES"/>
        </w:rPr>
        <w:t xml:space="preserve">Cuadro </w:t>
      </w:r>
      <w:r w:rsidRPr="00077513">
        <w:rPr>
          <w:b/>
          <w:i/>
          <w:iCs/>
          <w:lang w:val="es-ES"/>
        </w:rPr>
        <w:fldChar w:fldCharType="begin"/>
      </w:r>
      <w:r w:rsidRPr="00077513">
        <w:rPr>
          <w:b/>
          <w:lang w:val="es-ES"/>
        </w:rPr>
        <w:instrText xml:space="preserve"> SEQ Cuadro \* ARABIC </w:instrText>
      </w:r>
      <w:r w:rsidRPr="00077513">
        <w:rPr>
          <w:b/>
          <w:i/>
          <w:iCs/>
          <w:lang w:val="es-ES"/>
        </w:rPr>
        <w:fldChar w:fldCharType="separate"/>
      </w:r>
      <w:r w:rsidR="000D1F55">
        <w:rPr>
          <w:b/>
          <w:noProof/>
          <w:lang w:val="es-ES"/>
        </w:rPr>
        <w:t>42</w:t>
      </w:r>
      <w:r w:rsidRPr="00077513">
        <w:rPr>
          <w:b/>
          <w:i/>
          <w:iCs/>
          <w:lang w:val="es-ES"/>
        </w:rPr>
        <w:fldChar w:fldCharType="end"/>
      </w:r>
      <w:r w:rsidRPr="00077513">
        <w:rPr>
          <w:b/>
          <w:lang w:val="es-ES"/>
        </w:rPr>
        <w:t>.</w:t>
      </w:r>
      <w:r w:rsidRPr="00077513">
        <w:rPr>
          <w:lang w:val="es-ES"/>
        </w:rPr>
        <w:t xml:space="preserve"> Absorción total de potasio para diversas dosis de azufre evaluadas en la provincia de Bolívar del 2006 al 2011.</w:t>
      </w:r>
      <w:bookmarkEnd w:id="1412"/>
    </w:p>
    <w:tbl>
      <w:tblPr>
        <w:tblW w:w="6127" w:type="dxa"/>
        <w:jc w:val="center"/>
        <w:tblCellMar>
          <w:left w:w="70" w:type="dxa"/>
          <w:right w:w="70" w:type="dxa"/>
        </w:tblCellMar>
        <w:tblLook w:val="04A0" w:firstRow="1" w:lastRow="0" w:firstColumn="1" w:lastColumn="0" w:noHBand="0" w:noVBand="1"/>
      </w:tblPr>
      <w:tblGrid>
        <w:gridCol w:w="2405"/>
        <w:gridCol w:w="887"/>
        <w:gridCol w:w="992"/>
        <w:gridCol w:w="1843"/>
      </w:tblGrid>
      <w:tr w:rsidR="007E253F" w:rsidRPr="007E253F" w14:paraId="569C1A92" w14:textId="77777777" w:rsidTr="00077513">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F933D"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S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 xml:space="preserve">)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56043BB"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133C17"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F5326C"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50C3BB30" w14:textId="77777777" w:rsidTr="00077513">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DB43BDD"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shd w:val="clear" w:color="auto" w:fill="auto"/>
            <w:noWrap/>
            <w:vAlign w:val="bottom"/>
            <w:hideMark/>
          </w:tcPr>
          <w:p w14:paraId="46696B8B"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118,63</w:t>
            </w:r>
          </w:p>
        </w:tc>
        <w:tc>
          <w:tcPr>
            <w:tcW w:w="992" w:type="dxa"/>
            <w:tcBorders>
              <w:top w:val="nil"/>
              <w:left w:val="nil"/>
              <w:bottom w:val="single" w:sz="4" w:space="0" w:color="auto"/>
              <w:right w:val="single" w:sz="4" w:space="0" w:color="auto"/>
            </w:tcBorders>
            <w:shd w:val="clear" w:color="auto" w:fill="auto"/>
            <w:noWrap/>
            <w:vAlign w:val="bottom"/>
            <w:hideMark/>
          </w:tcPr>
          <w:p w14:paraId="554FA0AA"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43" w:type="dxa"/>
            <w:tcBorders>
              <w:top w:val="nil"/>
              <w:left w:val="nil"/>
              <w:bottom w:val="single" w:sz="4" w:space="0" w:color="auto"/>
              <w:right w:val="single" w:sz="4" w:space="0" w:color="auto"/>
            </w:tcBorders>
            <w:shd w:val="clear" w:color="auto" w:fill="auto"/>
            <w:noWrap/>
            <w:vAlign w:val="bottom"/>
            <w:hideMark/>
          </w:tcPr>
          <w:p w14:paraId="6AD38C8C"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7,75</w:t>
            </w:r>
          </w:p>
        </w:tc>
      </w:tr>
      <w:tr w:rsidR="007E253F" w:rsidRPr="007E253F" w14:paraId="600E40C5" w14:textId="77777777" w:rsidTr="00077513">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FF102AA"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5C0038FB"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124,33</w:t>
            </w:r>
          </w:p>
        </w:tc>
        <w:tc>
          <w:tcPr>
            <w:tcW w:w="992" w:type="dxa"/>
            <w:tcBorders>
              <w:top w:val="nil"/>
              <w:left w:val="nil"/>
              <w:bottom w:val="single" w:sz="4" w:space="0" w:color="auto"/>
              <w:right w:val="single" w:sz="4" w:space="0" w:color="auto"/>
            </w:tcBorders>
            <w:shd w:val="clear" w:color="auto" w:fill="auto"/>
            <w:noWrap/>
            <w:vAlign w:val="bottom"/>
            <w:hideMark/>
          </w:tcPr>
          <w:p w14:paraId="0F96CD87"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843" w:type="dxa"/>
            <w:tcBorders>
              <w:top w:val="nil"/>
              <w:left w:val="nil"/>
              <w:bottom w:val="single" w:sz="4" w:space="0" w:color="auto"/>
              <w:right w:val="single" w:sz="4" w:space="0" w:color="auto"/>
            </w:tcBorders>
            <w:shd w:val="clear" w:color="auto" w:fill="auto"/>
            <w:noWrap/>
            <w:vAlign w:val="bottom"/>
            <w:hideMark/>
          </w:tcPr>
          <w:p w14:paraId="27576D71"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6,75</w:t>
            </w:r>
          </w:p>
        </w:tc>
      </w:tr>
      <w:tr w:rsidR="007E253F" w:rsidRPr="007E253F" w14:paraId="46FE402D" w14:textId="77777777" w:rsidTr="00077513">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DD7B2AA"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76EDE937"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144,24</w:t>
            </w:r>
          </w:p>
        </w:tc>
        <w:tc>
          <w:tcPr>
            <w:tcW w:w="992" w:type="dxa"/>
            <w:tcBorders>
              <w:top w:val="nil"/>
              <w:left w:val="nil"/>
              <w:bottom w:val="single" w:sz="4" w:space="0" w:color="auto"/>
              <w:right w:val="single" w:sz="4" w:space="0" w:color="auto"/>
            </w:tcBorders>
            <w:shd w:val="clear" w:color="auto" w:fill="auto"/>
            <w:noWrap/>
            <w:vAlign w:val="bottom"/>
            <w:hideMark/>
          </w:tcPr>
          <w:p w14:paraId="2018CB6F"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843" w:type="dxa"/>
            <w:tcBorders>
              <w:top w:val="nil"/>
              <w:left w:val="nil"/>
              <w:bottom w:val="single" w:sz="4" w:space="0" w:color="auto"/>
              <w:right w:val="single" w:sz="4" w:space="0" w:color="auto"/>
            </w:tcBorders>
            <w:shd w:val="clear" w:color="auto" w:fill="auto"/>
            <w:noWrap/>
            <w:vAlign w:val="bottom"/>
            <w:hideMark/>
          </w:tcPr>
          <w:p w14:paraId="72411CE4"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12,21</w:t>
            </w:r>
          </w:p>
        </w:tc>
      </w:tr>
    </w:tbl>
    <w:p w14:paraId="6C51614B" w14:textId="77777777" w:rsidR="00990026" w:rsidRDefault="007E253F" w:rsidP="00990026">
      <w:pPr>
        <w:autoSpaceDE w:val="0"/>
        <w:autoSpaceDN w:val="0"/>
        <w:adjustRightInd w:val="0"/>
        <w:spacing w:before="360" w:after="360" w:line="360" w:lineRule="auto"/>
        <w:rPr>
          <w:rFonts w:cs="Times New Roman"/>
          <w:szCs w:val="24"/>
        </w:rPr>
      </w:pPr>
      <w:r w:rsidRPr="007E253F">
        <w:rPr>
          <w:rFonts w:cs="Times New Roman"/>
          <w:szCs w:val="24"/>
        </w:rPr>
        <w:t>El promedio es independiente en relación con la cantidad de azufre empleada en el ensayo, se puede ver que donde no ha habido aplicación, se tiene un promedio superior que cua</w:t>
      </w:r>
      <w:r w:rsidR="00077513">
        <w:rPr>
          <w:rFonts w:cs="Times New Roman"/>
          <w:szCs w:val="24"/>
        </w:rPr>
        <w:t>ndo se han aplicado 20 medidas.</w:t>
      </w:r>
      <w:bookmarkStart w:id="1413" w:name="_Toc79314035"/>
    </w:p>
    <w:p w14:paraId="58870A2B" w14:textId="4C497235" w:rsidR="00077513" w:rsidRPr="00990026" w:rsidRDefault="00077513" w:rsidP="00990026">
      <w:pPr>
        <w:autoSpaceDE w:val="0"/>
        <w:autoSpaceDN w:val="0"/>
        <w:adjustRightInd w:val="0"/>
        <w:spacing w:before="360" w:after="12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43</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potasio para diversas dosis de magnesio evaluadas en la provincia de Bolívar del 2006 al 2011.</w:t>
      </w:r>
      <w:bookmarkEnd w:id="1413"/>
    </w:p>
    <w:tbl>
      <w:tblPr>
        <w:tblW w:w="5409" w:type="dxa"/>
        <w:jc w:val="center"/>
        <w:tblCellMar>
          <w:left w:w="70" w:type="dxa"/>
          <w:right w:w="70" w:type="dxa"/>
        </w:tblCellMar>
        <w:tblLook w:val="04A0" w:firstRow="1" w:lastRow="0" w:firstColumn="1" w:lastColumn="0" w:noHBand="0" w:noVBand="1"/>
      </w:tblPr>
      <w:tblGrid>
        <w:gridCol w:w="2122"/>
        <w:gridCol w:w="887"/>
        <w:gridCol w:w="672"/>
        <w:gridCol w:w="1728"/>
      </w:tblGrid>
      <w:tr w:rsidR="007E253F" w:rsidRPr="007E253F" w14:paraId="1F2EC22E" w14:textId="77777777" w:rsidTr="00404A09">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85FAF"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Mg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459B9EBB"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7E2543D2"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76A7D1F6" w14:textId="77777777" w:rsidR="007E253F" w:rsidRPr="007E253F" w:rsidRDefault="007E253F" w:rsidP="00990026">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33904804" w14:textId="77777777" w:rsidTr="00404A0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FDC2345"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1B41EFA0"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117,47</w:t>
            </w:r>
          </w:p>
        </w:tc>
        <w:tc>
          <w:tcPr>
            <w:tcW w:w="672" w:type="dxa"/>
            <w:tcBorders>
              <w:top w:val="nil"/>
              <w:left w:val="nil"/>
              <w:bottom w:val="single" w:sz="4" w:space="0" w:color="auto"/>
              <w:right w:val="single" w:sz="4" w:space="0" w:color="auto"/>
            </w:tcBorders>
            <w:shd w:val="clear" w:color="auto" w:fill="auto"/>
            <w:noWrap/>
            <w:vAlign w:val="bottom"/>
            <w:hideMark/>
          </w:tcPr>
          <w:p w14:paraId="4B9293A2"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shd w:val="clear" w:color="auto" w:fill="auto"/>
            <w:noWrap/>
            <w:vAlign w:val="bottom"/>
            <w:hideMark/>
          </w:tcPr>
          <w:p w14:paraId="513684C5"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7,75</w:t>
            </w:r>
          </w:p>
        </w:tc>
      </w:tr>
      <w:tr w:rsidR="007E253F" w:rsidRPr="007E253F" w14:paraId="3331D282" w14:textId="77777777" w:rsidTr="00404A0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127A21C"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shd w:val="clear" w:color="auto" w:fill="auto"/>
            <w:noWrap/>
            <w:vAlign w:val="bottom"/>
            <w:hideMark/>
          </w:tcPr>
          <w:p w14:paraId="2882F227"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124,33</w:t>
            </w:r>
          </w:p>
        </w:tc>
        <w:tc>
          <w:tcPr>
            <w:tcW w:w="672" w:type="dxa"/>
            <w:tcBorders>
              <w:top w:val="nil"/>
              <w:left w:val="nil"/>
              <w:bottom w:val="single" w:sz="4" w:space="0" w:color="auto"/>
              <w:right w:val="single" w:sz="4" w:space="0" w:color="auto"/>
            </w:tcBorders>
            <w:shd w:val="clear" w:color="auto" w:fill="auto"/>
            <w:noWrap/>
            <w:vAlign w:val="bottom"/>
            <w:hideMark/>
          </w:tcPr>
          <w:p w14:paraId="42907DD0"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728" w:type="dxa"/>
            <w:tcBorders>
              <w:top w:val="nil"/>
              <w:left w:val="nil"/>
              <w:bottom w:val="single" w:sz="4" w:space="0" w:color="auto"/>
              <w:right w:val="single" w:sz="4" w:space="0" w:color="auto"/>
            </w:tcBorders>
            <w:shd w:val="clear" w:color="auto" w:fill="auto"/>
            <w:noWrap/>
            <w:vAlign w:val="bottom"/>
            <w:hideMark/>
          </w:tcPr>
          <w:p w14:paraId="3C375E84"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6,75</w:t>
            </w:r>
          </w:p>
        </w:tc>
      </w:tr>
      <w:tr w:rsidR="007E253F" w:rsidRPr="007E253F" w14:paraId="19445F90" w14:textId="77777777" w:rsidTr="00404A0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96595ED"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693570A0"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146,82</w:t>
            </w:r>
          </w:p>
        </w:tc>
        <w:tc>
          <w:tcPr>
            <w:tcW w:w="672" w:type="dxa"/>
            <w:tcBorders>
              <w:top w:val="nil"/>
              <w:left w:val="nil"/>
              <w:bottom w:val="single" w:sz="4" w:space="0" w:color="auto"/>
              <w:right w:val="single" w:sz="4" w:space="0" w:color="auto"/>
            </w:tcBorders>
            <w:shd w:val="clear" w:color="auto" w:fill="auto"/>
            <w:noWrap/>
            <w:vAlign w:val="bottom"/>
            <w:hideMark/>
          </w:tcPr>
          <w:p w14:paraId="422E8790"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728" w:type="dxa"/>
            <w:tcBorders>
              <w:top w:val="nil"/>
              <w:left w:val="nil"/>
              <w:bottom w:val="single" w:sz="4" w:space="0" w:color="auto"/>
              <w:right w:val="single" w:sz="4" w:space="0" w:color="auto"/>
            </w:tcBorders>
            <w:shd w:val="clear" w:color="auto" w:fill="auto"/>
            <w:noWrap/>
            <w:vAlign w:val="bottom"/>
            <w:hideMark/>
          </w:tcPr>
          <w:p w14:paraId="0E136633" w14:textId="77777777" w:rsidR="007E253F" w:rsidRPr="007E253F" w:rsidRDefault="007E253F" w:rsidP="00990026">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12,21</w:t>
            </w:r>
          </w:p>
        </w:tc>
      </w:tr>
    </w:tbl>
    <w:p w14:paraId="6F12D128" w14:textId="43C44EBC" w:rsidR="007E253F" w:rsidRDefault="007E253F" w:rsidP="00990026">
      <w:pPr>
        <w:autoSpaceDE w:val="0"/>
        <w:autoSpaceDN w:val="0"/>
        <w:adjustRightInd w:val="0"/>
        <w:spacing w:before="360" w:after="360" w:line="360" w:lineRule="auto"/>
        <w:rPr>
          <w:rFonts w:cs="Times New Roman"/>
          <w:szCs w:val="24"/>
        </w:rPr>
      </w:pPr>
      <w:r w:rsidRPr="007E253F">
        <w:rPr>
          <w:rFonts w:cs="Times New Roman"/>
          <w:szCs w:val="24"/>
        </w:rPr>
        <w:t xml:space="preserve">Sin aplicación de magnesio se obtiene un valor promedio de 146.82, superior aún a la aplicación de 10 medidas del elemento. </w:t>
      </w:r>
    </w:p>
    <w:p w14:paraId="30AFDFA3" w14:textId="434B3074" w:rsidR="000516BC" w:rsidRDefault="00DE3875" w:rsidP="007E253F">
      <w:pPr>
        <w:autoSpaceDE w:val="0"/>
        <w:autoSpaceDN w:val="0"/>
        <w:adjustRightInd w:val="0"/>
        <w:spacing w:after="0" w:line="360" w:lineRule="auto"/>
        <w:rPr>
          <w:rFonts w:cs="Times New Roman"/>
          <w:bCs/>
          <w:szCs w:val="24"/>
        </w:rPr>
      </w:pPr>
      <w:r>
        <w:rPr>
          <w:rFonts w:cs="Times New Roman"/>
          <w:bCs/>
          <w:szCs w:val="24"/>
        </w:rPr>
        <w:t xml:space="preserve">El efecto de los nutrientes que fueron significativos (p&lt;0,001) </w:t>
      </w:r>
      <w:r w:rsidR="007E253F" w:rsidRPr="007E253F">
        <w:rPr>
          <w:rFonts w:cs="Times New Roman"/>
          <w:bCs/>
          <w:szCs w:val="24"/>
        </w:rPr>
        <w:t xml:space="preserve">sobre la absorción total de potasio de maíz en la provincia de Bolívar se observa en </w:t>
      </w:r>
      <w:r w:rsidR="00185D16">
        <w:rPr>
          <w:rFonts w:cs="Times New Roman"/>
          <w:bCs/>
          <w:szCs w:val="24"/>
        </w:rPr>
        <w:t xml:space="preserve">la </w:t>
      </w:r>
      <w:r w:rsidR="007E253F" w:rsidRPr="007E253F">
        <w:rPr>
          <w:rFonts w:cs="Times New Roman"/>
          <w:bCs/>
          <w:szCs w:val="24"/>
        </w:rPr>
        <w:t>siguiente fi</w:t>
      </w:r>
      <w:r w:rsidR="00185D16">
        <w:rPr>
          <w:rFonts w:cs="Times New Roman"/>
          <w:bCs/>
          <w:szCs w:val="24"/>
        </w:rPr>
        <w:t>gura</w:t>
      </w:r>
      <w:r w:rsidR="000516BC">
        <w:rPr>
          <w:rFonts w:cs="Times New Roman"/>
          <w:bCs/>
          <w:szCs w:val="24"/>
        </w:rPr>
        <w:t>:</w:t>
      </w:r>
    </w:p>
    <w:p w14:paraId="47641042" w14:textId="3FD19150" w:rsidR="007E253F" w:rsidRPr="000516BC" w:rsidRDefault="000516BC" w:rsidP="00135DE8">
      <w:pPr>
        <w:pStyle w:val="Ttulo1"/>
        <w:numPr>
          <w:ilvl w:val="0"/>
          <w:numId w:val="24"/>
        </w:numPr>
        <w:spacing w:after="0"/>
        <w:rPr>
          <w:b w:val="0"/>
          <w:bCs w:val="0"/>
        </w:rPr>
      </w:pPr>
      <w:bookmarkStart w:id="1414" w:name="_Toc72704023"/>
      <w:bookmarkStart w:id="1415" w:name="_Toc72704547"/>
      <w:bookmarkStart w:id="1416" w:name="_Toc72705611"/>
      <w:bookmarkStart w:id="1417" w:name="_Toc72706250"/>
      <w:bookmarkStart w:id="1418" w:name="_Toc72741200"/>
      <w:bookmarkStart w:id="1419" w:name="_Toc72742796"/>
      <w:bookmarkStart w:id="1420" w:name="_Toc72881166"/>
      <w:bookmarkStart w:id="1421" w:name="_Toc72881537"/>
      <w:bookmarkStart w:id="1422" w:name="_Toc75606409"/>
      <w:bookmarkStart w:id="1423" w:name="_Toc75608962"/>
      <w:bookmarkStart w:id="1424" w:name="_Toc75611888"/>
      <w:bookmarkStart w:id="1425" w:name="_Toc75612734"/>
      <w:bookmarkStart w:id="1426" w:name="_Toc75679890"/>
      <w:bookmarkStart w:id="1427" w:name="_Toc75702498"/>
      <w:bookmarkStart w:id="1428" w:name="_Toc79313218"/>
      <w:bookmarkStart w:id="1429" w:name="_Toc80008419"/>
      <w:bookmarkStart w:id="1430" w:name="_Toc80312312"/>
      <w:r w:rsidRPr="000516BC">
        <w:rPr>
          <w:b w:val="0"/>
          <w:bCs w:val="0"/>
        </w:rPr>
        <w:lastRenderedPageBreak/>
        <w:t>Nitrógeno</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Pr="000516BC">
        <w:rPr>
          <w:b w:val="0"/>
          <w:bCs w:val="0"/>
        </w:rPr>
        <w:t xml:space="preserve"> </w:t>
      </w:r>
    </w:p>
    <w:p w14:paraId="00E39A79" w14:textId="058BBDEA" w:rsidR="007E253F" w:rsidRPr="00BC127C" w:rsidRDefault="007E253F" w:rsidP="00BC127C">
      <w:pPr>
        <w:spacing w:line="360" w:lineRule="auto"/>
        <w:jc w:val="center"/>
        <w:rPr>
          <w:rFonts w:cs="Times New Roman"/>
          <w:b/>
          <w:bCs/>
          <w:szCs w:val="24"/>
        </w:rPr>
      </w:pPr>
      <w:r w:rsidRPr="007E253F">
        <w:rPr>
          <w:rFonts w:cs="Times New Roman"/>
          <w:noProof/>
          <w:szCs w:val="24"/>
          <w:lang w:eastAsia="es-EC"/>
        </w:rPr>
        <w:drawing>
          <wp:inline distT="0" distB="0" distL="0" distR="0" wp14:anchorId="610C371A" wp14:editId="66D853E4">
            <wp:extent cx="3943350" cy="2257425"/>
            <wp:effectExtent l="0" t="0" r="0" b="9525"/>
            <wp:docPr id="21" name="Gráfico 21">
              <a:extLst xmlns:a="http://schemas.openxmlformats.org/drawingml/2006/main">
                <a:ext uri="{FF2B5EF4-FFF2-40B4-BE49-F238E27FC236}">
                  <a16:creationId xmlns:a16="http://schemas.microsoft.com/office/drawing/2014/main" id="{822B8731-9390-4E1F-A20E-408260EED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1DCA70" w14:textId="3C822A07" w:rsidR="007E253F" w:rsidRPr="007E253F" w:rsidRDefault="007E253F" w:rsidP="00380191">
      <w:pPr>
        <w:pStyle w:val="Ttulo3"/>
        <w:numPr>
          <w:ilvl w:val="2"/>
          <w:numId w:val="50"/>
        </w:numPr>
        <w:spacing w:before="360" w:after="360"/>
      </w:pPr>
      <w:bookmarkStart w:id="1431" w:name="_Toc80312313"/>
      <w:r w:rsidRPr="007E253F">
        <w:t xml:space="preserve">Absorción de </w:t>
      </w:r>
      <w:r w:rsidRPr="00380191">
        <w:rPr>
          <w:color w:val="000000"/>
        </w:rPr>
        <w:t>azufre</w:t>
      </w:r>
      <w:r w:rsidRPr="007E253F">
        <w:t xml:space="preserve"> (Kg</w:t>
      </w:r>
      <w:r w:rsidRPr="00380191">
        <w:rPr>
          <w:rFonts w:eastAsia="Times New Roman"/>
          <w:color w:val="000000"/>
          <w:lang w:eastAsia="es-EC"/>
        </w:rPr>
        <w:t>/</w:t>
      </w:r>
      <w:r w:rsidRPr="007E253F">
        <w:t>ha</w:t>
      </w:r>
      <w:r w:rsidRPr="00380191">
        <w:rPr>
          <w:vertAlign w:val="superscript"/>
        </w:rPr>
        <w:t>-1</w:t>
      </w:r>
      <w:r w:rsidRPr="007E253F">
        <w:t>)</w:t>
      </w:r>
      <w:bookmarkEnd w:id="1431"/>
    </w:p>
    <w:p w14:paraId="2AE59A3B" w14:textId="77777777" w:rsidR="00BC127C" w:rsidRDefault="007E253F" w:rsidP="00BC127C">
      <w:pPr>
        <w:autoSpaceDE w:val="0"/>
        <w:autoSpaceDN w:val="0"/>
        <w:adjustRightInd w:val="0"/>
        <w:spacing w:after="0" w:line="360" w:lineRule="auto"/>
        <w:rPr>
          <w:rFonts w:cs="Times New Roman"/>
          <w:b/>
          <w:bCs/>
          <w:color w:val="0000FF"/>
        </w:rPr>
      </w:pPr>
      <w:r w:rsidRPr="007E253F">
        <w:rPr>
          <w:rFonts w:cs="Times New Roman"/>
          <w:szCs w:val="24"/>
        </w:rPr>
        <w:t xml:space="preserve">Al utilizar el modelo estadístico para la absorción total de azufre, se detectaron </w:t>
      </w:r>
      <w:bookmarkStart w:id="1432" w:name="_Hlk69440215"/>
      <w:r w:rsidRPr="007E253F">
        <w:rPr>
          <w:rFonts w:cs="Times New Roman"/>
          <w:szCs w:val="24"/>
        </w:rPr>
        <w:t xml:space="preserve">diferencias estadísticas significativas (p &lt;0,05) para las fuentes de variación de nitrógeno, fósforo, potasio, y la interacción N y P; mientras que no fueron significativos para dosis de azufre y magnesio </w:t>
      </w:r>
      <w:bookmarkEnd w:id="1432"/>
      <w:r w:rsidRPr="007E253F">
        <w:rPr>
          <w:rFonts w:cs="Times New Roman"/>
          <w:szCs w:val="24"/>
        </w:rPr>
        <w:t>(Cuadro 44). Por lo tanto, las dosis de los fertilizantes con N, P y K afectaron a la a</w:t>
      </w:r>
      <w:r w:rsidR="005F2CA6">
        <w:rPr>
          <w:rFonts w:cs="Times New Roman"/>
          <w:szCs w:val="24"/>
        </w:rPr>
        <w:t>b</w:t>
      </w:r>
      <w:r w:rsidRPr="007E253F">
        <w:rPr>
          <w:rFonts w:cs="Times New Roman"/>
          <w:szCs w:val="24"/>
        </w:rPr>
        <w:t xml:space="preserve">sorción de azufre. El cantón también afectó en la absorción de este elemento. </w:t>
      </w:r>
      <w:bookmarkStart w:id="1433" w:name="_Hlk69440529"/>
      <w:r w:rsidRPr="007E253F">
        <w:rPr>
          <w:rFonts w:cs="Times New Roman"/>
          <w:szCs w:val="24"/>
        </w:rPr>
        <w:t>El promedio general de la absorción total de azufre fue 6,31 Kg/ha</w:t>
      </w:r>
      <w:r w:rsidRPr="007E253F">
        <w:rPr>
          <w:rFonts w:cs="Times New Roman"/>
          <w:szCs w:val="24"/>
          <w:vertAlign w:val="superscript"/>
        </w:rPr>
        <w:t>-1</w:t>
      </w:r>
      <w:r w:rsidRPr="007E253F">
        <w:rPr>
          <w:rFonts w:cs="Times New Roman"/>
          <w:szCs w:val="24"/>
        </w:rPr>
        <w:t>; con un R</w:t>
      </w:r>
      <w:r w:rsidRPr="007E253F">
        <w:rPr>
          <w:rFonts w:cs="Times New Roman"/>
          <w:szCs w:val="24"/>
          <w:vertAlign w:val="superscript"/>
        </w:rPr>
        <w:t>2</w:t>
      </w:r>
      <w:r w:rsidRPr="007E253F">
        <w:rPr>
          <w:rFonts w:cs="Times New Roman"/>
          <w:szCs w:val="24"/>
        </w:rPr>
        <w:t xml:space="preserve"> de 0,8 y un coeficiente de variación fue de 40,88 %</w:t>
      </w:r>
      <w:r w:rsidRPr="007E253F">
        <w:rPr>
          <w:rFonts w:cs="Times New Roman"/>
          <w:b/>
          <w:bCs/>
          <w:color w:val="0000FF"/>
        </w:rPr>
        <w:t>.</w:t>
      </w:r>
      <w:bookmarkStart w:id="1434" w:name="_Toc79314036"/>
      <w:bookmarkEnd w:id="1433"/>
    </w:p>
    <w:p w14:paraId="5CD140E8" w14:textId="0704E232" w:rsidR="00077513" w:rsidRPr="00BC127C" w:rsidRDefault="00077513" w:rsidP="00BC127C">
      <w:pPr>
        <w:autoSpaceDE w:val="0"/>
        <w:autoSpaceDN w:val="0"/>
        <w:adjustRightInd w:val="0"/>
        <w:spacing w:before="360" w:after="0" w:line="360" w:lineRule="auto"/>
        <w:rPr>
          <w:rFonts w:cs="Times New Roman"/>
          <w:b/>
          <w:bCs/>
          <w:color w:val="0000FF"/>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44</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Cuadro de Análisis de la Varianza (SC tipo I) para la absorción total de azufre en la provincia de Bolívar del 2006 al 2011.</w:t>
      </w:r>
      <w:bookmarkEnd w:id="1434"/>
    </w:p>
    <w:tbl>
      <w:tblPr>
        <w:tblW w:w="7794" w:type="dxa"/>
        <w:tblCellMar>
          <w:left w:w="70" w:type="dxa"/>
          <w:right w:w="70" w:type="dxa"/>
        </w:tblCellMar>
        <w:tblLook w:val="04A0" w:firstRow="1" w:lastRow="0" w:firstColumn="1" w:lastColumn="0" w:noHBand="0" w:noVBand="1"/>
      </w:tblPr>
      <w:tblGrid>
        <w:gridCol w:w="1838"/>
        <w:gridCol w:w="920"/>
        <w:gridCol w:w="1040"/>
        <w:gridCol w:w="800"/>
        <w:gridCol w:w="820"/>
        <w:gridCol w:w="936"/>
        <w:gridCol w:w="1440"/>
      </w:tblGrid>
      <w:tr w:rsidR="007E253F" w:rsidRPr="007E253F" w14:paraId="6F1E990D" w14:textId="77777777" w:rsidTr="000516BC">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0C219"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F.V.</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CC32DF9"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SC</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6C76AB9" w14:textId="30C6FD1A" w:rsidR="007E253F" w:rsidRPr="007E253F" w:rsidRDefault="00D83D75"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G</w:t>
            </w:r>
            <w:r w:rsidR="007E253F" w:rsidRPr="007E253F">
              <w:rPr>
                <w:rFonts w:eastAsia="Times New Roman" w:cs="Times New Roman"/>
                <w:b/>
                <w:bCs/>
                <w:color w:val="000000"/>
                <w:szCs w:val="24"/>
                <w:lang w:eastAsia="es-EC"/>
              </w:rPr>
              <w:t>l</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B55F6B4"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CM</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BE61369"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64836993"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p-valor</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07622B7"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Varianza %</w:t>
            </w:r>
          </w:p>
        </w:tc>
      </w:tr>
      <w:tr w:rsidR="007E253F" w:rsidRPr="007E253F" w14:paraId="6E8349B0"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3E2680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Modelo</w:t>
            </w:r>
          </w:p>
        </w:tc>
        <w:tc>
          <w:tcPr>
            <w:tcW w:w="920" w:type="dxa"/>
            <w:tcBorders>
              <w:top w:val="nil"/>
              <w:left w:val="nil"/>
              <w:bottom w:val="single" w:sz="4" w:space="0" w:color="auto"/>
              <w:right w:val="single" w:sz="4" w:space="0" w:color="auto"/>
            </w:tcBorders>
            <w:shd w:val="clear" w:color="auto" w:fill="auto"/>
            <w:noWrap/>
            <w:vAlign w:val="bottom"/>
            <w:hideMark/>
          </w:tcPr>
          <w:p w14:paraId="1FBCD7F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1944,42</w:t>
            </w:r>
          </w:p>
        </w:tc>
        <w:tc>
          <w:tcPr>
            <w:tcW w:w="1040" w:type="dxa"/>
            <w:tcBorders>
              <w:top w:val="nil"/>
              <w:left w:val="nil"/>
              <w:bottom w:val="single" w:sz="4" w:space="0" w:color="auto"/>
              <w:right w:val="single" w:sz="4" w:space="0" w:color="auto"/>
            </w:tcBorders>
            <w:shd w:val="clear" w:color="auto" w:fill="auto"/>
            <w:noWrap/>
            <w:vAlign w:val="bottom"/>
            <w:hideMark/>
          </w:tcPr>
          <w:p w14:paraId="2AB4E968"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w:t>
            </w:r>
          </w:p>
        </w:tc>
        <w:tc>
          <w:tcPr>
            <w:tcW w:w="800" w:type="dxa"/>
            <w:tcBorders>
              <w:top w:val="nil"/>
              <w:left w:val="nil"/>
              <w:bottom w:val="single" w:sz="4" w:space="0" w:color="auto"/>
              <w:right w:val="single" w:sz="4" w:space="0" w:color="auto"/>
            </w:tcBorders>
            <w:shd w:val="clear" w:color="auto" w:fill="auto"/>
            <w:noWrap/>
            <w:vAlign w:val="bottom"/>
            <w:hideMark/>
          </w:tcPr>
          <w:p w14:paraId="796AFEB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138,89</w:t>
            </w:r>
          </w:p>
        </w:tc>
        <w:tc>
          <w:tcPr>
            <w:tcW w:w="820" w:type="dxa"/>
            <w:tcBorders>
              <w:top w:val="nil"/>
              <w:left w:val="nil"/>
              <w:bottom w:val="single" w:sz="4" w:space="0" w:color="auto"/>
              <w:right w:val="single" w:sz="4" w:space="0" w:color="auto"/>
            </w:tcBorders>
            <w:shd w:val="clear" w:color="auto" w:fill="auto"/>
            <w:noWrap/>
            <w:vAlign w:val="bottom"/>
            <w:hideMark/>
          </w:tcPr>
          <w:p w14:paraId="18BB8F33"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20,88</w:t>
            </w:r>
          </w:p>
        </w:tc>
        <w:tc>
          <w:tcPr>
            <w:tcW w:w="936" w:type="dxa"/>
            <w:tcBorders>
              <w:top w:val="nil"/>
              <w:left w:val="nil"/>
              <w:bottom w:val="single" w:sz="4" w:space="0" w:color="auto"/>
              <w:right w:val="single" w:sz="4" w:space="0" w:color="auto"/>
            </w:tcBorders>
            <w:shd w:val="clear" w:color="auto" w:fill="auto"/>
            <w:noWrap/>
            <w:vAlign w:val="bottom"/>
            <w:hideMark/>
          </w:tcPr>
          <w:p w14:paraId="6E7158CA"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440" w:type="dxa"/>
            <w:tcBorders>
              <w:top w:val="nil"/>
              <w:left w:val="nil"/>
              <w:bottom w:val="single" w:sz="4" w:space="0" w:color="auto"/>
              <w:right w:val="single" w:sz="4" w:space="0" w:color="auto"/>
            </w:tcBorders>
            <w:shd w:val="clear" w:color="auto" w:fill="auto"/>
            <w:noWrap/>
            <w:vAlign w:val="bottom"/>
            <w:hideMark/>
          </w:tcPr>
          <w:p w14:paraId="0D681F3E"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79,58</w:t>
            </w:r>
          </w:p>
        </w:tc>
      </w:tr>
      <w:tr w:rsidR="007E253F" w:rsidRPr="007E253F" w14:paraId="53F1F505"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DAEDFA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Cantón</w:t>
            </w:r>
          </w:p>
        </w:tc>
        <w:tc>
          <w:tcPr>
            <w:tcW w:w="920" w:type="dxa"/>
            <w:tcBorders>
              <w:top w:val="nil"/>
              <w:left w:val="nil"/>
              <w:bottom w:val="single" w:sz="4" w:space="0" w:color="auto"/>
              <w:right w:val="single" w:sz="4" w:space="0" w:color="auto"/>
            </w:tcBorders>
            <w:shd w:val="clear" w:color="auto" w:fill="auto"/>
            <w:noWrap/>
            <w:vAlign w:val="bottom"/>
            <w:hideMark/>
          </w:tcPr>
          <w:p w14:paraId="78C7915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222,27</w:t>
            </w:r>
          </w:p>
        </w:tc>
        <w:tc>
          <w:tcPr>
            <w:tcW w:w="1040" w:type="dxa"/>
            <w:tcBorders>
              <w:top w:val="nil"/>
              <w:left w:val="nil"/>
              <w:bottom w:val="single" w:sz="4" w:space="0" w:color="auto"/>
              <w:right w:val="single" w:sz="4" w:space="0" w:color="auto"/>
            </w:tcBorders>
            <w:shd w:val="clear" w:color="auto" w:fill="auto"/>
            <w:noWrap/>
            <w:vAlign w:val="bottom"/>
            <w:hideMark/>
          </w:tcPr>
          <w:p w14:paraId="1B1F97D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800" w:type="dxa"/>
            <w:tcBorders>
              <w:top w:val="nil"/>
              <w:left w:val="nil"/>
              <w:bottom w:val="single" w:sz="4" w:space="0" w:color="auto"/>
              <w:right w:val="single" w:sz="4" w:space="0" w:color="auto"/>
            </w:tcBorders>
            <w:shd w:val="clear" w:color="auto" w:fill="auto"/>
            <w:noWrap/>
            <w:vAlign w:val="bottom"/>
            <w:hideMark/>
          </w:tcPr>
          <w:p w14:paraId="2611CA6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74,09</w:t>
            </w:r>
          </w:p>
        </w:tc>
        <w:tc>
          <w:tcPr>
            <w:tcW w:w="820" w:type="dxa"/>
            <w:tcBorders>
              <w:top w:val="nil"/>
              <w:left w:val="nil"/>
              <w:bottom w:val="single" w:sz="4" w:space="0" w:color="auto"/>
              <w:right w:val="single" w:sz="4" w:space="0" w:color="auto"/>
            </w:tcBorders>
            <w:shd w:val="clear" w:color="auto" w:fill="auto"/>
            <w:noWrap/>
            <w:vAlign w:val="bottom"/>
            <w:hideMark/>
          </w:tcPr>
          <w:p w14:paraId="138FD34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11,14</w:t>
            </w:r>
          </w:p>
        </w:tc>
        <w:tc>
          <w:tcPr>
            <w:tcW w:w="936" w:type="dxa"/>
            <w:tcBorders>
              <w:top w:val="nil"/>
              <w:left w:val="nil"/>
              <w:bottom w:val="single" w:sz="4" w:space="0" w:color="auto"/>
              <w:right w:val="single" w:sz="4" w:space="0" w:color="auto"/>
            </w:tcBorders>
            <w:shd w:val="clear" w:color="auto" w:fill="auto"/>
            <w:noWrap/>
            <w:vAlign w:val="bottom"/>
            <w:hideMark/>
          </w:tcPr>
          <w:p w14:paraId="0FA9F5A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440" w:type="dxa"/>
            <w:tcBorders>
              <w:top w:val="nil"/>
              <w:left w:val="nil"/>
              <w:bottom w:val="single" w:sz="4" w:space="0" w:color="auto"/>
              <w:right w:val="single" w:sz="4" w:space="0" w:color="auto"/>
            </w:tcBorders>
            <w:shd w:val="clear" w:color="auto" w:fill="auto"/>
            <w:noWrap/>
            <w:vAlign w:val="bottom"/>
            <w:hideMark/>
          </w:tcPr>
          <w:p w14:paraId="064303B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9,10</w:t>
            </w:r>
          </w:p>
        </w:tc>
      </w:tr>
      <w:tr w:rsidR="007E253F" w:rsidRPr="007E253F" w14:paraId="1E951E6B"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451987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w:t>
            </w:r>
          </w:p>
        </w:tc>
        <w:tc>
          <w:tcPr>
            <w:tcW w:w="920" w:type="dxa"/>
            <w:tcBorders>
              <w:top w:val="nil"/>
              <w:left w:val="nil"/>
              <w:bottom w:val="single" w:sz="4" w:space="0" w:color="auto"/>
              <w:right w:val="single" w:sz="4" w:space="0" w:color="auto"/>
            </w:tcBorders>
            <w:shd w:val="clear" w:color="auto" w:fill="auto"/>
            <w:noWrap/>
            <w:vAlign w:val="bottom"/>
            <w:hideMark/>
          </w:tcPr>
          <w:p w14:paraId="4953947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1135,11</w:t>
            </w:r>
          </w:p>
        </w:tc>
        <w:tc>
          <w:tcPr>
            <w:tcW w:w="1040" w:type="dxa"/>
            <w:tcBorders>
              <w:top w:val="nil"/>
              <w:left w:val="nil"/>
              <w:bottom w:val="single" w:sz="4" w:space="0" w:color="auto"/>
              <w:right w:val="single" w:sz="4" w:space="0" w:color="auto"/>
            </w:tcBorders>
            <w:shd w:val="clear" w:color="auto" w:fill="auto"/>
            <w:noWrap/>
            <w:vAlign w:val="bottom"/>
            <w:hideMark/>
          </w:tcPr>
          <w:p w14:paraId="267303F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800" w:type="dxa"/>
            <w:tcBorders>
              <w:top w:val="nil"/>
              <w:left w:val="nil"/>
              <w:bottom w:val="single" w:sz="4" w:space="0" w:color="auto"/>
              <w:right w:val="single" w:sz="4" w:space="0" w:color="auto"/>
            </w:tcBorders>
            <w:shd w:val="clear" w:color="auto" w:fill="auto"/>
            <w:noWrap/>
            <w:vAlign w:val="bottom"/>
            <w:hideMark/>
          </w:tcPr>
          <w:p w14:paraId="256B6B0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378,37</w:t>
            </w:r>
          </w:p>
        </w:tc>
        <w:tc>
          <w:tcPr>
            <w:tcW w:w="820" w:type="dxa"/>
            <w:tcBorders>
              <w:top w:val="nil"/>
              <w:left w:val="nil"/>
              <w:bottom w:val="single" w:sz="4" w:space="0" w:color="auto"/>
              <w:right w:val="single" w:sz="4" w:space="0" w:color="auto"/>
            </w:tcBorders>
            <w:shd w:val="clear" w:color="auto" w:fill="auto"/>
            <w:noWrap/>
            <w:vAlign w:val="bottom"/>
            <w:hideMark/>
          </w:tcPr>
          <w:p w14:paraId="24F4C428"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56,88</w:t>
            </w:r>
          </w:p>
        </w:tc>
        <w:tc>
          <w:tcPr>
            <w:tcW w:w="936" w:type="dxa"/>
            <w:tcBorders>
              <w:top w:val="nil"/>
              <w:left w:val="nil"/>
              <w:bottom w:val="single" w:sz="4" w:space="0" w:color="auto"/>
              <w:right w:val="single" w:sz="4" w:space="0" w:color="auto"/>
            </w:tcBorders>
            <w:shd w:val="clear" w:color="auto" w:fill="auto"/>
            <w:noWrap/>
            <w:vAlign w:val="bottom"/>
            <w:hideMark/>
          </w:tcPr>
          <w:p w14:paraId="5D15EE3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440" w:type="dxa"/>
            <w:tcBorders>
              <w:top w:val="nil"/>
              <w:left w:val="nil"/>
              <w:bottom w:val="single" w:sz="4" w:space="0" w:color="auto"/>
              <w:right w:val="single" w:sz="4" w:space="0" w:color="auto"/>
            </w:tcBorders>
            <w:shd w:val="clear" w:color="auto" w:fill="auto"/>
            <w:noWrap/>
            <w:vAlign w:val="bottom"/>
            <w:hideMark/>
          </w:tcPr>
          <w:p w14:paraId="2D61DE2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46,46</w:t>
            </w:r>
          </w:p>
        </w:tc>
      </w:tr>
      <w:tr w:rsidR="007E253F" w:rsidRPr="007E253F" w14:paraId="2B32C656"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9BCBFF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P</w:t>
            </w:r>
          </w:p>
        </w:tc>
        <w:tc>
          <w:tcPr>
            <w:tcW w:w="920" w:type="dxa"/>
            <w:tcBorders>
              <w:top w:val="nil"/>
              <w:left w:val="nil"/>
              <w:bottom w:val="single" w:sz="4" w:space="0" w:color="auto"/>
              <w:right w:val="single" w:sz="4" w:space="0" w:color="auto"/>
            </w:tcBorders>
            <w:shd w:val="clear" w:color="auto" w:fill="auto"/>
            <w:noWrap/>
            <w:vAlign w:val="bottom"/>
            <w:hideMark/>
          </w:tcPr>
          <w:p w14:paraId="391C6EE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312,72</w:t>
            </w:r>
          </w:p>
        </w:tc>
        <w:tc>
          <w:tcPr>
            <w:tcW w:w="1040" w:type="dxa"/>
            <w:tcBorders>
              <w:top w:val="nil"/>
              <w:left w:val="nil"/>
              <w:bottom w:val="single" w:sz="4" w:space="0" w:color="auto"/>
              <w:right w:val="single" w:sz="4" w:space="0" w:color="auto"/>
            </w:tcBorders>
            <w:shd w:val="clear" w:color="auto" w:fill="auto"/>
            <w:noWrap/>
            <w:vAlign w:val="bottom"/>
            <w:hideMark/>
          </w:tcPr>
          <w:p w14:paraId="12D81C9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w:t>
            </w:r>
          </w:p>
        </w:tc>
        <w:tc>
          <w:tcPr>
            <w:tcW w:w="800" w:type="dxa"/>
            <w:tcBorders>
              <w:top w:val="nil"/>
              <w:left w:val="nil"/>
              <w:bottom w:val="single" w:sz="4" w:space="0" w:color="auto"/>
              <w:right w:val="single" w:sz="4" w:space="0" w:color="auto"/>
            </w:tcBorders>
            <w:shd w:val="clear" w:color="auto" w:fill="auto"/>
            <w:noWrap/>
            <w:vAlign w:val="bottom"/>
            <w:hideMark/>
          </w:tcPr>
          <w:p w14:paraId="07CCAF6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156,36</w:t>
            </w:r>
          </w:p>
        </w:tc>
        <w:tc>
          <w:tcPr>
            <w:tcW w:w="820" w:type="dxa"/>
            <w:tcBorders>
              <w:top w:val="nil"/>
              <w:left w:val="nil"/>
              <w:bottom w:val="single" w:sz="4" w:space="0" w:color="auto"/>
              <w:right w:val="single" w:sz="4" w:space="0" w:color="auto"/>
            </w:tcBorders>
            <w:shd w:val="clear" w:color="auto" w:fill="auto"/>
            <w:noWrap/>
            <w:vAlign w:val="bottom"/>
            <w:hideMark/>
          </w:tcPr>
          <w:p w14:paraId="5272F71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23,51</w:t>
            </w:r>
          </w:p>
        </w:tc>
        <w:tc>
          <w:tcPr>
            <w:tcW w:w="936" w:type="dxa"/>
            <w:tcBorders>
              <w:top w:val="nil"/>
              <w:left w:val="nil"/>
              <w:bottom w:val="single" w:sz="4" w:space="0" w:color="auto"/>
              <w:right w:val="single" w:sz="4" w:space="0" w:color="auto"/>
            </w:tcBorders>
            <w:shd w:val="clear" w:color="auto" w:fill="auto"/>
            <w:noWrap/>
            <w:vAlign w:val="bottom"/>
            <w:hideMark/>
          </w:tcPr>
          <w:p w14:paraId="1F7ED97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1440" w:type="dxa"/>
            <w:tcBorders>
              <w:top w:val="nil"/>
              <w:left w:val="nil"/>
              <w:bottom w:val="single" w:sz="4" w:space="0" w:color="auto"/>
              <w:right w:val="single" w:sz="4" w:space="0" w:color="auto"/>
            </w:tcBorders>
            <w:shd w:val="clear" w:color="auto" w:fill="auto"/>
            <w:noWrap/>
            <w:vAlign w:val="bottom"/>
            <w:hideMark/>
          </w:tcPr>
          <w:p w14:paraId="6068AFF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12,80</w:t>
            </w:r>
          </w:p>
        </w:tc>
      </w:tr>
      <w:tr w:rsidR="007E253F" w:rsidRPr="007E253F" w14:paraId="18AA4B95"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5EF888A"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K</w:t>
            </w:r>
          </w:p>
        </w:tc>
        <w:tc>
          <w:tcPr>
            <w:tcW w:w="920" w:type="dxa"/>
            <w:tcBorders>
              <w:top w:val="nil"/>
              <w:left w:val="nil"/>
              <w:bottom w:val="single" w:sz="4" w:space="0" w:color="auto"/>
              <w:right w:val="single" w:sz="4" w:space="0" w:color="auto"/>
            </w:tcBorders>
            <w:shd w:val="clear" w:color="auto" w:fill="auto"/>
            <w:noWrap/>
            <w:vAlign w:val="bottom"/>
            <w:hideMark/>
          </w:tcPr>
          <w:p w14:paraId="6155F1E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173,05</w:t>
            </w:r>
          </w:p>
        </w:tc>
        <w:tc>
          <w:tcPr>
            <w:tcW w:w="1040" w:type="dxa"/>
            <w:tcBorders>
              <w:top w:val="nil"/>
              <w:left w:val="nil"/>
              <w:bottom w:val="single" w:sz="4" w:space="0" w:color="auto"/>
              <w:right w:val="single" w:sz="4" w:space="0" w:color="auto"/>
            </w:tcBorders>
            <w:shd w:val="clear" w:color="auto" w:fill="auto"/>
            <w:noWrap/>
            <w:vAlign w:val="bottom"/>
            <w:hideMark/>
          </w:tcPr>
          <w:p w14:paraId="392EB1C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800" w:type="dxa"/>
            <w:tcBorders>
              <w:top w:val="nil"/>
              <w:left w:val="nil"/>
              <w:bottom w:val="single" w:sz="4" w:space="0" w:color="auto"/>
              <w:right w:val="single" w:sz="4" w:space="0" w:color="auto"/>
            </w:tcBorders>
            <w:shd w:val="clear" w:color="auto" w:fill="auto"/>
            <w:noWrap/>
            <w:vAlign w:val="bottom"/>
            <w:hideMark/>
          </w:tcPr>
          <w:p w14:paraId="4F668D89"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57,68</w:t>
            </w:r>
          </w:p>
        </w:tc>
        <w:tc>
          <w:tcPr>
            <w:tcW w:w="820" w:type="dxa"/>
            <w:tcBorders>
              <w:top w:val="nil"/>
              <w:left w:val="nil"/>
              <w:bottom w:val="single" w:sz="4" w:space="0" w:color="auto"/>
              <w:right w:val="single" w:sz="4" w:space="0" w:color="auto"/>
            </w:tcBorders>
            <w:shd w:val="clear" w:color="auto" w:fill="auto"/>
            <w:noWrap/>
            <w:vAlign w:val="bottom"/>
            <w:hideMark/>
          </w:tcPr>
          <w:p w14:paraId="2C5098B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8,67</w:t>
            </w:r>
          </w:p>
        </w:tc>
        <w:tc>
          <w:tcPr>
            <w:tcW w:w="936" w:type="dxa"/>
            <w:tcBorders>
              <w:top w:val="nil"/>
              <w:left w:val="nil"/>
              <w:bottom w:val="single" w:sz="4" w:space="0" w:color="auto"/>
              <w:right w:val="single" w:sz="4" w:space="0" w:color="auto"/>
            </w:tcBorders>
            <w:shd w:val="clear" w:color="auto" w:fill="auto"/>
            <w:noWrap/>
            <w:vAlign w:val="bottom"/>
            <w:hideMark/>
          </w:tcPr>
          <w:p w14:paraId="2B00479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0,0001</w:t>
            </w:r>
          </w:p>
        </w:tc>
        <w:tc>
          <w:tcPr>
            <w:tcW w:w="1440" w:type="dxa"/>
            <w:tcBorders>
              <w:top w:val="nil"/>
              <w:left w:val="nil"/>
              <w:bottom w:val="single" w:sz="4" w:space="0" w:color="auto"/>
              <w:right w:val="single" w:sz="4" w:space="0" w:color="auto"/>
            </w:tcBorders>
            <w:shd w:val="clear" w:color="auto" w:fill="auto"/>
            <w:noWrap/>
            <w:vAlign w:val="bottom"/>
            <w:hideMark/>
          </w:tcPr>
          <w:p w14:paraId="44C6C61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7,08</w:t>
            </w:r>
          </w:p>
        </w:tc>
      </w:tr>
      <w:tr w:rsidR="007E253F" w:rsidRPr="007E253F" w14:paraId="6FC5CEF7"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82243D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S</w:t>
            </w:r>
          </w:p>
        </w:tc>
        <w:tc>
          <w:tcPr>
            <w:tcW w:w="920" w:type="dxa"/>
            <w:tcBorders>
              <w:top w:val="nil"/>
              <w:left w:val="nil"/>
              <w:bottom w:val="single" w:sz="4" w:space="0" w:color="auto"/>
              <w:right w:val="single" w:sz="4" w:space="0" w:color="auto"/>
            </w:tcBorders>
            <w:shd w:val="clear" w:color="auto" w:fill="auto"/>
            <w:noWrap/>
            <w:vAlign w:val="bottom"/>
            <w:hideMark/>
          </w:tcPr>
          <w:p w14:paraId="35911EC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4,46</w:t>
            </w:r>
          </w:p>
        </w:tc>
        <w:tc>
          <w:tcPr>
            <w:tcW w:w="1040" w:type="dxa"/>
            <w:tcBorders>
              <w:top w:val="nil"/>
              <w:left w:val="nil"/>
              <w:bottom w:val="single" w:sz="4" w:space="0" w:color="auto"/>
              <w:right w:val="single" w:sz="4" w:space="0" w:color="auto"/>
            </w:tcBorders>
            <w:shd w:val="clear" w:color="auto" w:fill="auto"/>
            <w:noWrap/>
            <w:vAlign w:val="bottom"/>
            <w:hideMark/>
          </w:tcPr>
          <w:p w14:paraId="1B561D9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800" w:type="dxa"/>
            <w:tcBorders>
              <w:top w:val="nil"/>
              <w:left w:val="nil"/>
              <w:bottom w:val="single" w:sz="4" w:space="0" w:color="auto"/>
              <w:right w:val="single" w:sz="4" w:space="0" w:color="auto"/>
            </w:tcBorders>
            <w:shd w:val="clear" w:color="auto" w:fill="auto"/>
            <w:noWrap/>
            <w:vAlign w:val="bottom"/>
            <w:hideMark/>
          </w:tcPr>
          <w:p w14:paraId="51BB1D20"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4,46</w:t>
            </w:r>
          </w:p>
        </w:tc>
        <w:tc>
          <w:tcPr>
            <w:tcW w:w="820" w:type="dxa"/>
            <w:tcBorders>
              <w:top w:val="nil"/>
              <w:left w:val="nil"/>
              <w:bottom w:val="single" w:sz="4" w:space="0" w:color="auto"/>
              <w:right w:val="single" w:sz="4" w:space="0" w:color="auto"/>
            </w:tcBorders>
            <w:shd w:val="clear" w:color="auto" w:fill="auto"/>
            <w:noWrap/>
            <w:vAlign w:val="bottom"/>
            <w:hideMark/>
          </w:tcPr>
          <w:p w14:paraId="12592F9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0,67</w:t>
            </w:r>
          </w:p>
        </w:tc>
        <w:tc>
          <w:tcPr>
            <w:tcW w:w="936" w:type="dxa"/>
            <w:tcBorders>
              <w:top w:val="nil"/>
              <w:left w:val="nil"/>
              <w:bottom w:val="single" w:sz="4" w:space="0" w:color="auto"/>
              <w:right w:val="single" w:sz="4" w:space="0" w:color="auto"/>
            </w:tcBorders>
            <w:shd w:val="clear" w:color="auto" w:fill="auto"/>
            <w:noWrap/>
            <w:vAlign w:val="bottom"/>
            <w:hideMark/>
          </w:tcPr>
          <w:p w14:paraId="02837AF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0,4155</w:t>
            </w:r>
          </w:p>
        </w:tc>
        <w:tc>
          <w:tcPr>
            <w:tcW w:w="1440" w:type="dxa"/>
            <w:tcBorders>
              <w:top w:val="nil"/>
              <w:left w:val="nil"/>
              <w:bottom w:val="single" w:sz="4" w:space="0" w:color="auto"/>
              <w:right w:val="single" w:sz="4" w:space="0" w:color="auto"/>
            </w:tcBorders>
            <w:shd w:val="clear" w:color="auto" w:fill="auto"/>
            <w:noWrap/>
            <w:vAlign w:val="bottom"/>
            <w:hideMark/>
          </w:tcPr>
          <w:p w14:paraId="091117A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0,18</w:t>
            </w:r>
          </w:p>
        </w:tc>
      </w:tr>
      <w:tr w:rsidR="007E253F" w:rsidRPr="007E253F" w14:paraId="4F87A8F7"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2A1D46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Mg</w:t>
            </w:r>
          </w:p>
        </w:tc>
        <w:tc>
          <w:tcPr>
            <w:tcW w:w="920" w:type="dxa"/>
            <w:tcBorders>
              <w:top w:val="nil"/>
              <w:left w:val="nil"/>
              <w:bottom w:val="single" w:sz="4" w:space="0" w:color="auto"/>
              <w:right w:val="single" w:sz="4" w:space="0" w:color="auto"/>
            </w:tcBorders>
            <w:shd w:val="clear" w:color="auto" w:fill="auto"/>
            <w:noWrap/>
            <w:vAlign w:val="bottom"/>
            <w:hideMark/>
          </w:tcPr>
          <w:p w14:paraId="655D652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6,49</w:t>
            </w:r>
          </w:p>
        </w:tc>
        <w:tc>
          <w:tcPr>
            <w:tcW w:w="1040" w:type="dxa"/>
            <w:tcBorders>
              <w:top w:val="nil"/>
              <w:left w:val="nil"/>
              <w:bottom w:val="single" w:sz="4" w:space="0" w:color="auto"/>
              <w:right w:val="single" w:sz="4" w:space="0" w:color="auto"/>
            </w:tcBorders>
            <w:shd w:val="clear" w:color="auto" w:fill="auto"/>
            <w:noWrap/>
            <w:vAlign w:val="bottom"/>
            <w:hideMark/>
          </w:tcPr>
          <w:p w14:paraId="4AFD7F4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800" w:type="dxa"/>
            <w:tcBorders>
              <w:top w:val="nil"/>
              <w:left w:val="nil"/>
              <w:bottom w:val="single" w:sz="4" w:space="0" w:color="auto"/>
              <w:right w:val="single" w:sz="4" w:space="0" w:color="auto"/>
            </w:tcBorders>
            <w:shd w:val="clear" w:color="auto" w:fill="auto"/>
            <w:noWrap/>
            <w:vAlign w:val="bottom"/>
            <w:hideMark/>
          </w:tcPr>
          <w:p w14:paraId="7A097E6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6,49</w:t>
            </w:r>
          </w:p>
        </w:tc>
        <w:tc>
          <w:tcPr>
            <w:tcW w:w="820" w:type="dxa"/>
            <w:tcBorders>
              <w:top w:val="nil"/>
              <w:left w:val="nil"/>
              <w:bottom w:val="single" w:sz="4" w:space="0" w:color="auto"/>
              <w:right w:val="single" w:sz="4" w:space="0" w:color="auto"/>
            </w:tcBorders>
            <w:shd w:val="clear" w:color="auto" w:fill="auto"/>
            <w:noWrap/>
            <w:vAlign w:val="bottom"/>
            <w:hideMark/>
          </w:tcPr>
          <w:p w14:paraId="5943B9B8"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0,97</w:t>
            </w:r>
          </w:p>
        </w:tc>
        <w:tc>
          <w:tcPr>
            <w:tcW w:w="936" w:type="dxa"/>
            <w:tcBorders>
              <w:top w:val="nil"/>
              <w:left w:val="nil"/>
              <w:bottom w:val="single" w:sz="4" w:space="0" w:color="auto"/>
              <w:right w:val="single" w:sz="4" w:space="0" w:color="auto"/>
            </w:tcBorders>
            <w:shd w:val="clear" w:color="auto" w:fill="auto"/>
            <w:noWrap/>
            <w:vAlign w:val="bottom"/>
            <w:hideMark/>
          </w:tcPr>
          <w:p w14:paraId="1638A29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0,3266</w:t>
            </w:r>
          </w:p>
        </w:tc>
        <w:tc>
          <w:tcPr>
            <w:tcW w:w="1440" w:type="dxa"/>
            <w:tcBorders>
              <w:top w:val="nil"/>
              <w:left w:val="nil"/>
              <w:bottom w:val="single" w:sz="4" w:space="0" w:color="auto"/>
              <w:right w:val="single" w:sz="4" w:space="0" w:color="auto"/>
            </w:tcBorders>
            <w:shd w:val="clear" w:color="auto" w:fill="auto"/>
            <w:noWrap/>
            <w:vAlign w:val="bottom"/>
            <w:hideMark/>
          </w:tcPr>
          <w:p w14:paraId="15C206B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0,27</w:t>
            </w:r>
          </w:p>
        </w:tc>
      </w:tr>
      <w:tr w:rsidR="007E253F" w:rsidRPr="007E253F" w14:paraId="2AA6E4B0"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269DE7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N*Dosis P</w:t>
            </w:r>
          </w:p>
        </w:tc>
        <w:tc>
          <w:tcPr>
            <w:tcW w:w="920" w:type="dxa"/>
            <w:tcBorders>
              <w:top w:val="nil"/>
              <w:left w:val="nil"/>
              <w:bottom w:val="single" w:sz="4" w:space="0" w:color="auto"/>
              <w:right w:val="single" w:sz="4" w:space="0" w:color="auto"/>
            </w:tcBorders>
            <w:shd w:val="clear" w:color="auto" w:fill="auto"/>
            <w:noWrap/>
            <w:vAlign w:val="bottom"/>
            <w:hideMark/>
          </w:tcPr>
          <w:p w14:paraId="5287CFF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90,32</w:t>
            </w:r>
          </w:p>
        </w:tc>
        <w:tc>
          <w:tcPr>
            <w:tcW w:w="1040" w:type="dxa"/>
            <w:tcBorders>
              <w:top w:val="nil"/>
              <w:left w:val="nil"/>
              <w:bottom w:val="single" w:sz="4" w:space="0" w:color="auto"/>
              <w:right w:val="single" w:sz="4" w:space="0" w:color="auto"/>
            </w:tcBorders>
            <w:shd w:val="clear" w:color="auto" w:fill="auto"/>
            <w:noWrap/>
            <w:vAlign w:val="bottom"/>
            <w:hideMark/>
          </w:tcPr>
          <w:p w14:paraId="3F434AE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800" w:type="dxa"/>
            <w:tcBorders>
              <w:top w:val="nil"/>
              <w:left w:val="nil"/>
              <w:bottom w:val="single" w:sz="4" w:space="0" w:color="auto"/>
              <w:right w:val="single" w:sz="4" w:space="0" w:color="auto"/>
            </w:tcBorders>
            <w:shd w:val="clear" w:color="auto" w:fill="auto"/>
            <w:noWrap/>
            <w:vAlign w:val="bottom"/>
            <w:hideMark/>
          </w:tcPr>
          <w:p w14:paraId="139D043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90,32</w:t>
            </w:r>
          </w:p>
        </w:tc>
        <w:tc>
          <w:tcPr>
            <w:tcW w:w="820" w:type="dxa"/>
            <w:tcBorders>
              <w:top w:val="nil"/>
              <w:left w:val="nil"/>
              <w:bottom w:val="single" w:sz="4" w:space="0" w:color="auto"/>
              <w:right w:val="single" w:sz="4" w:space="0" w:color="auto"/>
            </w:tcBorders>
            <w:shd w:val="clear" w:color="auto" w:fill="auto"/>
            <w:noWrap/>
            <w:vAlign w:val="bottom"/>
            <w:hideMark/>
          </w:tcPr>
          <w:p w14:paraId="09B68CD8"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13,58</w:t>
            </w:r>
          </w:p>
        </w:tc>
        <w:tc>
          <w:tcPr>
            <w:tcW w:w="936" w:type="dxa"/>
            <w:tcBorders>
              <w:top w:val="nil"/>
              <w:left w:val="nil"/>
              <w:bottom w:val="single" w:sz="4" w:space="0" w:color="auto"/>
              <w:right w:val="single" w:sz="4" w:space="0" w:color="auto"/>
            </w:tcBorders>
            <w:shd w:val="clear" w:color="auto" w:fill="auto"/>
            <w:noWrap/>
            <w:vAlign w:val="bottom"/>
            <w:hideMark/>
          </w:tcPr>
          <w:p w14:paraId="3B45E10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0,0004</w:t>
            </w:r>
          </w:p>
        </w:tc>
        <w:tc>
          <w:tcPr>
            <w:tcW w:w="1440" w:type="dxa"/>
            <w:tcBorders>
              <w:top w:val="nil"/>
              <w:left w:val="nil"/>
              <w:bottom w:val="single" w:sz="4" w:space="0" w:color="auto"/>
              <w:right w:val="single" w:sz="4" w:space="0" w:color="auto"/>
            </w:tcBorders>
            <w:shd w:val="clear" w:color="auto" w:fill="auto"/>
            <w:noWrap/>
            <w:vAlign w:val="bottom"/>
            <w:hideMark/>
          </w:tcPr>
          <w:p w14:paraId="02D7C4D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3,70</w:t>
            </w:r>
          </w:p>
        </w:tc>
      </w:tr>
      <w:tr w:rsidR="007E253F" w:rsidRPr="007E253F" w14:paraId="16413B76"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FA00E7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Error</w:t>
            </w:r>
          </w:p>
        </w:tc>
        <w:tc>
          <w:tcPr>
            <w:tcW w:w="920" w:type="dxa"/>
            <w:tcBorders>
              <w:top w:val="nil"/>
              <w:left w:val="nil"/>
              <w:bottom w:val="single" w:sz="4" w:space="0" w:color="auto"/>
              <w:right w:val="single" w:sz="4" w:space="0" w:color="auto"/>
            </w:tcBorders>
            <w:shd w:val="clear" w:color="auto" w:fill="auto"/>
            <w:noWrap/>
            <w:vAlign w:val="bottom"/>
            <w:hideMark/>
          </w:tcPr>
          <w:p w14:paraId="1A5752CE"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498,9</w:t>
            </w:r>
          </w:p>
        </w:tc>
        <w:tc>
          <w:tcPr>
            <w:tcW w:w="1040" w:type="dxa"/>
            <w:tcBorders>
              <w:top w:val="nil"/>
              <w:left w:val="nil"/>
              <w:bottom w:val="single" w:sz="4" w:space="0" w:color="auto"/>
              <w:right w:val="single" w:sz="4" w:space="0" w:color="auto"/>
            </w:tcBorders>
            <w:shd w:val="clear" w:color="auto" w:fill="auto"/>
            <w:noWrap/>
            <w:vAlign w:val="bottom"/>
            <w:hideMark/>
          </w:tcPr>
          <w:p w14:paraId="23107A6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75</w:t>
            </w:r>
          </w:p>
        </w:tc>
        <w:tc>
          <w:tcPr>
            <w:tcW w:w="800" w:type="dxa"/>
            <w:tcBorders>
              <w:top w:val="nil"/>
              <w:left w:val="nil"/>
              <w:bottom w:val="single" w:sz="4" w:space="0" w:color="auto"/>
              <w:right w:val="single" w:sz="4" w:space="0" w:color="auto"/>
            </w:tcBorders>
            <w:shd w:val="clear" w:color="auto" w:fill="auto"/>
            <w:noWrap/>
            <w:vAlign w:val="bottom"/>
            <w:hideMark/>
          </w:tcPr>
          <w:p w14:paraId="4A35C6B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6,65</w:t>
            </w:r>
          </w:p>
        </w:tc>
        <w:tc>
          <w:tcPr>
            <w:tcW w:w="820" w:type="dxa"/>
            <w:tcBorders>
              <w:top w:val="nil"/>
              <w:left w:val="nil"/>
              <w:bottom w:val="single" w:sz="4" w:space="0" w:color="auto"/>
              <w:right w:val="single" w:sz="4" w:space="0" w:color="auto"/>
            </w:tcBorders>
            <w:shd w:val="clear" w:color="auto" w:fill="auto"/>
            <w:noWrap/>
            <w:vAlign w:val="bottom"/>
            <w:hideMark/>
          </w:tcPr>
          <w:p w14:paraId="0C165FBD"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936" w:type="dxa"/>
            <w:tcBorders>
              <w:top w:val="nil"/>
              <w:left w:val="nil"/>
              <w:bottom w:val="single" w:sz="4" w:space="0" w:color="auto"/>
              <w:right w:val="single" w:sz="4" w:space="0" w:color="auto"/>
            </w:tcBorders>
            <w:shd w:val="clear" w:color="auto" w:fill="auto"/>
            <w:noWrap/>
            <w:vAlign w:val="bottom"/>
            <w:hideMark/>
          </w:tcPr>
          <w:p w14:paraId="51637AAD"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1440" w:type="dxa"/>
            <w:tcBorders>
              <w:top w:val="nil"/>
              <w:left w:val="nil"/>
              <w:bottom w:val="single" w:sz="4" w:space="0" w:color="auto"/>
              <w:right w:val="single" w:sz="4" w:space="0" w:color="auto"/>
            </w:tcBorders>
            <w:shd w:val="clear" w:color="auto" w:fill="auto"/>
            <w:noWrap/>
            <w:vAlign w:val="bottom"/>
            <w:hideMark/>
          </w:tcPr>
          <w:p w14:paraId="70660E58"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20,42</w:t>
            </w:r>
          </w:p>
        </w:tc>
      </w:tr>
      <w:tr w:rsidR="007E253F" w:rsidRPr="007E253F" w14:paraId="1DB4A902" w14:textId="77777777" w:rsidTr="000516B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F92CA2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Total</w:t>
            </w:r>
          </w:p>
        </w:tc>
        <w:tc>
          <w:tcPr>
            <w:tcW w:w="920" w:type="dxa"/>
            <w:tcBorders>
              <w:top w:val="nil"/>
              <w:left w:val="nil"/>
              <w:bottom w:val="single" w:sz="4" w:space="0" w:color="auto"/>
              <w:right w:val="single" w:sz="4" w:space="0" w:color="auto"/>
            </w:tcBorders>
            <w:shd w:val="clear" w:color="auto" w:fill="auto"/>
            <w:noWrap/>
            <w:vAlign w:val="bottom"/>
            <w:hideMark/>
          </w:tcPr>
          <w:p w14:paraId="1D61FB0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2443,32</w:t>
            </w:r>
          </w:p>
        </w:tc>
        <w:tc>
          <w:tcPr>
            <w:tcW w:w="1040" w:type="dxa"/>
            <w:tcBorders>
              <w:top w:val="nil"/>
              <w:left w:val="nil"/>
              <w:bottom w:val="single" w:sz="4" w:space="0" w:color="auto"/>
              <w:right w:val="single" w:sz="4" w:space="0" w:color="auto"/>
            </w:tcBorders>
            <w:shd w:val="clear" w:color="auto" w:fill="auto"/>
            <w:noWrap/>
            <w:vAlign w:val="bottom"/>
            <w:hideMark/>
          </w:tcPr>
          <w:p w14:paraId="52E92D7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w:t>
            </w:r>
          </w:p>
        </w:tc>
        <w:tc>
          <w:tcPr>
            <w:tcW w:w="800" w:type="dxa"/>
            <w:tcBorders>
              <w:top w:val="nil"/>
              <w:left w:val="nil"/>
              <w:bottom w:val="single" w:sz="4" w:space="0" w:color="auto"/>
              <w:right w:val="single" w:sz="4" w:space="0" w:color="auto"/>
            </w:tcBorders>
            <w:shd w:val="clear" w:color="auto" w:fill="auto"/>
            <w:noWrap/>
            <w:vAlign w:val="bottom"/>
            <w:hideMark/>
          </w:tcPr>
          <w:p w14:paraId="5681FEDA"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820" w:type="dxa"/>
            <w:tcBorders>
              <w:top w:val="nil"/>
              <w:left w:val="nil"/>
              <w:bottom w:val="single" w:sz="4" w:space="0" w:color="auto"/>
              <w:right w:val="single" w:sz="4" w:space="0" w:color="auto"/>
            </w:tcBorders>
            <w:shd w:val="clear" w:color="auto" w:fill="auto"/>
            <w:noWrap/>
            <w:vAlign w:val="bottom"/>
            <w:hideMark/>
          </w:tcPr>
          <w:p w14:paraId="541ADC1E"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936" w:type="dxa"/>
            <w:tcBorders>
              <w:top w:val="nil"/>
              <w:left w:val="nil"/>
              <w:bottom w:val="single" w:sz="4" w:space="0" w:color="auto"/>
              <w:right w:val="single" w:sz="4" w:space="0" w:color="auto"/>
            </w:tcBorders>
            <w:shd w:val="clear" w:color="auto" w:fill="auto"/>
            <w:noWrap/>
            <w:vAlign w:val="bottom"/>
            <w:hideMark/>
          </w:tcPr>
          <w:p w14:paraId="257B4C75"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1440" w:type="dxa"/>
            <w:tcBorders>
              <w:top w:val="nil"/>
              <w:left w:val="nil"/>
              <w:bottom w:val="single" w:sz="4" w:space="0" w:color="auto"/>
              <w:right w:val="single" w:sz="4" w:space="0" w:color="auto"/>
            </w:tcBorders>
            <w:shd w:val="clear" w:color="auto" w:fill="auto"/>
            <w:noWrap/>
            <w:vAlign w:val="bottom"/>
            <w:hideMark/>
          </w:tcPr>
          <w:p w14:paraId="0630EB04" w14:textId="77777777" w:rsidR="007E253F" w:rsidRPr="007E253F" w:rsidRDefault="007E253F" w:rsidP="00BC127C">
            <w:pPr>
              <w:spacing w:after="0" w:line="240" w:lineRule="auto"/>
              <w:jc w:val="center"/>
              <w:rPr>
                <w:rFonts w:eastAsia="Times New Roman" w:cs="Times New Roman"/>
                <w:color w:val="000000"/>
                <w:szCs w:val="24"/>
                <w:lang w:eastAsia="es-EC"/>
              </w:rPr>
            </w:pPr>
          </w:p>
        </w:tc>
      </w:tr>
    </w:tbl>
    <w:p w14:paraId="2B761F02" w14:textId="6016936F" w:rsidR="007E253F" w:rsidRPr="007E253F" w:rsidRDefault="007E253F" w:rsidP="007E253F">
      <w:pPr>
        <w:autoSpaceDE w:val="0"/>
        <w:autoSpaceDN w:val="0"/>
        <w:adjustRightInd w:val="0"/>
        <w:spacing w:after="0" w:line="360" w:lineRule="auto"/>
        <w:rPr>
          <w:rFonts w:cs="Times New Roman"/>
          <w:bCs/>
          <w:szCs w:val="24"/>
        </w:rPr>
      </w:pPr>
      <w:r w:rsidRPr="007E253F">
        <w:rPr>
          <w:rFonts w:cs="Times New Roman"/>
          <w:bCs/>
          <w:szCs w:val="24"/>
        </w:rPr>
        <w:lastRenderedPageBreak/>
        <w:t xml:space="preserve">El modelo estadístico establecido explicó el 79,58% de la variación observada en los datos.  El nitrógeno fue el nutriente más importante, que explicó el 46,46% de la variación observada; mientras que fósforo explicó el 12,8% de la variación, y el potasio el 7,08% de la variación. Un 20,42% de la variación se les atribuyó a efectos aleatorios que el modelo no pudo explicar (error). Los nutrientes azufre y magnesio explicaron menos del 5% de la </w:t>
      </w:r>
      <w:r w:rsidRPr="007E253F">
        <w:rPr>
          <w:rFonts w:cs="Times New Roman"/>
          <w:szCs w:val="24"/>
        </w:rPr>
        <w:t>absorción total de azufre</w:t>
      </w:r>
      <w:r w:rsidRPr="007E253F">
        <w:rPr>
          <w:rFonts w:cs="Times New Roman"/>
          <w:bCs/>
          <w:szCs w:val="24"/>
        </w:rPr>
        <w:t xml:space="preserve"> (</w:t>
      </w:r>
      <w:r w:rsidR="00404A09">
        <w:rPr>
          <w:rFonts w:cs="Times New Roman"/>
          <w:bCs/>
          <w:szCs w:val="24"/>
        </w:rPr>
        <w:t>Cuadro</w:t>
      </w:r>
      <w:r w:rsidRPr="007E253F">
        <w:rPr>
          <w:rFonts w:cs="Times New Roman"/>
          <w:bCs/>
          <w:szCs w:val="24"/>
        </w:rPr>
        <w:t xml:space="preserve"> 44).  </w:t>
      </w:r>
    </w:p>
    <w:p w14:paraId="12E9FA3C" w14:textId="77777777" w:rsidR="00BC127C" w:rsidRDefault="007E253F" w:rsidP="00BC127C">
      <w:pPr>
        <w:autoSpaceDE w:val="0"/>
        <w:autoSpaceDN w:val="0"/>
        <w:adjustRightInd w:val="0"/>
        <w:spacing w:before="240" w:after="240" w:line="360" w:lineRule="auto"/>
        <w:rPr>
          <w:rFonts w:cs="Times New Roman"/>
          <w:bCs/>
          <w:szCs w:val="24"/>
        </w:rPr>
      </w:pPr>
      <w:r w:rsidRPr="007E253F">
        <w:rPr>
          <w:rFonts w:cs="Times New Roman"/>
          <w:bCs/>
          <w:szCs w:val="24"/>
        </w:rPr>
        <w:t>En los cuadros 45, 46, 47, 48, 49 y 50 se presentan los promedios y el error estándar de a</w:t>
      </w:r>
      <w:r w:rsidR="005F2CA6">
        <w:rPr>
          <w:rFonts w:cs="Times New Roman"/>
          <w:bCs/>
          <w:szCs w:val="24"/>
        </w:rPr>
        <w:t>b</w:t>
      </w:r>
      <w:r w:rsidRPr="007E253F">
        <w:rPr>
          <w:rFonts w:cs="Times New Roman"/>
          <w:bCs/>
          <w:szCs w:val="24"/>
        </w:rPr>
        <w:t>sorción de azufre por efecto de las localidades (cantón) y los niveles de nitrógeno, fósforo, potasio, azufre, magnesio con su respectiva pru</w:t>
      </w:r>
      <w:r w:rsidR="00077513">
        <w:rPr>
          <w:rFonts w:cs="Times New Roman"/>
          <w:bCs/>
          <w:szCs w:val="24"/>
        </w:rPr>
        <w:t xml:space="preserve">eba de Lsd Fisher (alfa=0,05). </w:t>
      </w:r>
      <w:bookmarkStart w:id="1435" w:name="_Toc79314037"/>
    </w:p>
    <w:p w14:paraId="7ACE47A8" w14:textId="737069B6" w:rsidR="00077513" w:rsidRPr="00BC127C" w:rsidRDefault="00077513" w:rsidP="00BC127C">
      <w:pPr>
        <w:autoSpaceDE w:val="0"/>
        <w:autoSpaceDN w:val="0"/>
        <w:adjustRightInd w:val="0"/>
        <w:spacing w:before="360" w:after="120" w:line="360" w:lineRule="auto"/>
        <w:rPr>
          <w:rFonts w:cs="Times New Roman"/>
          <w:bCs/>
          <w:szCs w:val="24"/>
        </w:rPr>
      </w:pPr>
      <w:r w:rsidRPr="00077513">
        <w:rPr>
          <w:rFonts w:cs="Times New Roman"/>
          <w:b/>
          <w:bCs/>
          <w:szCs w:val="24"/>
        </w:rPr>
        <w:t xml:space="preserve">Cuadro </w:t>
      </w:r>
      <w:r w:rsidRPr="00077513">
        <w:rPr>
          <w:rFonts w:cs="Times New Roman"/>
          <w:b/>
          <w:bCs/>
          <w:i/>
          <w:iCs/>
          <w:szCs w:val="24"/>
        </w:rPr>
        <w:fldChar w:fldCharType="begin"/>
      </w:r>
      <w:r w:rsidRPr="00077513">
        <w:rPr>
          <w:rFonts w:cs="Times New Roman"/>
          <w:b/>
          <w:bCs/>
          <w:szCs w:val="24"/>
        </w:rPr>
        <w:instrText xml:space="preserve"> SEQ Cuadro \* ARABIC </w:instrText>
      </w:r>
      <w:r w:rsidRPr="00077513">
        <w:rPr>
          <w:rFonts w:cs="Times New Roman"/>
          <w:b/>
          <w:bCs/>
          <w:i/>
          <w:iCs/>
          <w:szCs w:val="24"/>
        </w:rPr>
        <w:fldChar w:fldCharType="separate"/>
      </w:r>
      <w:r w:rsidR="000D1F55">
        <w:rPr>
          <w:rFonts w:cs="Times New Roman"/>
          <w:b/>
          <w:bCs/>
          <w:noProof/>
          <w:szCs w:val="24"/>
        </w:rPr>
        <w:t>45</w:t>
      </w:r>
      <w:r w:rsidRPr="00077513">
        <w:rPr>
          <w:rFonts w:cs="Times New Roman"/>
          <w:b/>
          <w:bCs/>
          <w:i/>
          <w:iCs/>
          <w:szCs w:val="24"/>
        </w:rPr>
        <w:fldChar w:fldCharType="end"/>
      </w:r>
      <w:r w:rsidRPr="00077513">
        <w:rPr>
          <w:rFonts w:cs="Times New Roman"/>
          <w:b/>
          <w:bCs/>
          <w:szCs w:val="24"/>
        </w:rPr>
        <w:t>.</w:t>
      </w:r>
      <w:r w:rsidRPr="00077513">
        <w:rPr>
          <w:rFonts w:cs="Times New Roman"/>
          <w:bCs/>
          <w:szCs w:val="24"/>
        </w:rPr>
        <w:t xml:space="preserve"> Absorción total de azufre, evaluado por localidades (cantón) en la provincia de Bolívar del 2006 al 2011.</w:t>
      </w:r>
      <w:bookmarkEnd w:id="1435"/>
    </w:p>
    <w:tbl>
      <w:tblPr>
        <w:tblW w:w="7508" w:type="dxa"/>
        <w:tblCellMar>
          <w:left w:w="70" w:type="dxa"/>
          <w:right w:w="70" w:type="dxa"/>
        </w:tblCellMar>
        <w:tblLook w:val="04A0" w:firstRow="1" w:lastRow="0" w:firstColumn="1" w:lastColumn="0" w:noHBand="0" w:noVBand="1"/>
      </w:tblPr>
      <w:tblGrid>
        <w:gridCol w:w="1555"/>
        <w:gridCol w:w="887"/>
        <w:gridCol w:w="672"/>
        <w:gridCol w:w="1728"/>
        <w:gridCol w:w="965"/>
        <w:gridCol w:w="992"/>
        <w:gridCol w:w="709"/>
      </w:tblGrid>
      <w:tr w:rsidR="00BC127C" w:rsidRPr="007E253F" w14:paraId="48950A51" w14:textId="77777777" w:rsidTr="003A1E83">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2B2FC" w14:textId="77777777" w:rsidR="00BC127C" w:rsidRPr="007E253F" w:rsidRDefault="00BC127C"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Cantón</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2A97158" w14:textId="77777777" w:rsidR="00BC127C" w:rsidRPr="007E253F" w:rsidRDefault="00BC127C"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496E2A4A" w14:textId="77777777" w:rsidR="00BC127C" w:rsidRPr="007E253F" w:rsidRDefault="00BC127C"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22593340" w14:textId="77777777" w:rsidR="00BC127C" w:rsidRPr="007E253F" w:rsidRDefault="00BC127C"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26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F2A2" w14:textId="654304A2" w:rsidR="00BC127C" w:rsidRPr="007E253F" w:rsidRDefault="00BC127C" w:rsidP="00BC127C">
            <w:pPr>
              <w:spacing w:after="0" w:line="240" w:lineRule="auto"/>
              <w:jc w:val="center"/>
              <w:rPr>
                <w:rFonts w:eastAsia="Times New Roman" w:cs="Times New Roman"/>
                <w:color w:val="000000"/>
                <w:szCs w:val="24"/>
                <w:lang w:eastAsia="es-EC"/>
              </w:rPr>
            </w:pPr>
            <w:r w:rsidRPr="007E253F">
              <w:rPr>
                <w:rFonts w:eastAsia="Times New Roman" w:cs="Times New Roman"/>
                <w:b/>
                <w:bCs/>
                <w:color w:val="000000"/>
                <w:szCs w:val="24"/>
                <w:lang w:eastAsia="es-EC"/>
              </w:rPr>
              <w:t>Lsd 0,05</w:t>
            </w:r>
          </w:p>
        </w:tc>
      </w:tr>
      <w:tr w:rsidR="007E253F" w:rsidRPr="007E253F" w14:paraId="6FCAC2A4" w14:textId="77777777" w:rsidTr="00BC127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8B99A9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Chillanes</w:t>
            </w:r>
          </w:p>
        </w:tc>
        <w:tc>
          <w:tcPr>
            <w:tcW w:w="887" w:type="dxa"/>
            <w:tcBorders>
              <w:top w:val="nil"/>
              <w:left w:val="nil"/>
              <w:bottom w:val="single" w:sz="4" w:space="0" w:color="auto"/>
              <w:right w:val="single" w:sz="4" w:space="0" w:color="auto"/>
            </w:tcBorders>
            <w:shd w:val="clear" w:color="auto" w:fill="auto"/>
            <w:noWrap/>
            <w:vAlign w:val="bottom"/>
            <w:hideMark/>
          </w:tcPr>
          <w:p w14:paraId="236D8D6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3,71</w:t>
            </w:r>
          </w:p>
        </w:tc>
        <w:tc>
          <w:tcPr>
            <w:tcW w:w="672" w:type="dxa"/>
            <w:tcBorders>
              <w:top w:val="nil"/>
              <w:left w:val="nil"/>
              <w:bottom w:val="single" w:sz="4" w:space="0" w:color="auto"/>
              <w:right w:val="single" w:sz="4" w:space="0" w:color="auto"/>
            </w:tcBorders>
            <w:shd w:val="clear" w:color="auto" w:fill="auto"/>
            <w:noWrap/>
            <w:vAlign w:val="bottom"/>
            <w:hideMark/>
          </w:tcPr>
          <w:p w14:paraId="3CD6280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w:t>
            </w:r>
          </w:p>
        </w:tc>
        <w:tc>
          <w:tcPr>
            <w:tcW w:w="1728" w:type="dxa"/>
            <w:tcBorders>
              <w:top w:val="nil"/>
              <w:left w:val="nil"/>
              <w:bottom w:val="single" w:sz="4" w:space="0" w:color="auto"/>
              <w:right w:val="single" w:sz="4" w:space="0" w:color="auto"/>
            </w:tcBorders>
            <w:shd w:val="clear" w:color="auto" w:fill="auto"/>
            <w:noWrap/>
            <w:vAlign w:val="bottom"/>
            <w:hideMark/>
          </w:tcPr>
          <w:p w14:paraId="7ECB0B5A"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0,54</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4E7F885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D9E22D6"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6AB2C2F"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75508192" w14:textId="77777777" w:rsidTr="00BC127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99F6E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Chimbo</w:t>
            </w:r>
          </w:p>
        </w:tc>
        <w:tc>
          <w:tcPr>
            <w:tcW w:w="887" w:type="dxa"/>
            <w:tcBorders>
              <w:top w:val="nil"/>
              <w:left w:val="nil"/>
              <w:bottom w:val="single" w:sz="4" w:space="0" w:color="auto"/>
              <w:right w:val="single" w:sz="4" w:space="0" w:color="auto"/>
            </w:tcBorders>
            <w:shd w:val="clear" w:color="auto" w:fill="auto"/>
            <w:noWrap/>
            <w:vAlign w:val="bottom"/>
            <w:hideMark/>
          </w:tcPr>
          <w:p w14:paraId="3DA2CAE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4,47</w:t>
            </w:r>
          </w:p>
        </w:tc>
        <w:tc>
          <w:tcPr>
            <w:tcW w:w="672" w:type="dxa"/>
            <w:tcBorders>
              <w:top w:val="nil"/>
              <w:left w:val="nil"/>
              <w:bottom w:val="single" w:sz="4" w:space="0" w:color="auto"/>
              <w:right w:val="single" w:sz="4" w:space="0" w:color="auto"/>
            </w:tcBorders>
            <w:shd w:val="clear" w:color="auto" w:fill="auto"/>
            <w:noWrap/>
            <w:vAlign w:val="bottom"/>
            <w:hideMark/>
          </w:tcPr>
          <w:p w14:paraId="294F9DF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w:t>
            </w:r>
          </w:p>
        </w:tc>
        <w:tc>
          <w:tcPr>
            <w:tcW w:w="1728" w:type="dxa"/>
            <w:tcBorders>
              <w:top w:val="nil"/>
              <w:left w:val="nil"/>
              <w:bottom w:val="single" w:sz="4" w:space="0" w:color="auto"/>
              <w:right w:val="single" w:sz="4" w:space="0" w:color="auto"/>
            </w:tcBorders>
            <w:shd w:val="clear" w:color="auto" w:fill="auto"/>
            <w:noWrap/>
            <w:vAlign w:val="bottom"/>
            <w:hideMark/>
          </w:tcPr>
          <w:p w14:paraId="6E6D067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0,63</w:t>
            </w:r>
          </w:p>
        </w:tc>
        <w:tc>
          <w:tcPr>
            <w:tcW w:w="965" w:type="dxa"/>
            <w:tcBorders>
              <w:top w:val="nil"/>
              <w:left w:val="nil"/>
              <w:bottom w:val="single" w:sz="4" w:space="0" w:color="auto"/>
              <w:right w:val="single" w:sz="4" w:space="0" w:color="auto"/>
            </w:tcBorders>
            <w:shd w:val="clear" w:color="auto" w:fill="auto"/>
            <w:noWrap/>
            <w:vAlign w:val="bottom"/>
            <w:hideMark/>
          </w:tcPr>
          <w:p w14:paraId="679D0FD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992" w:type="dxa"/>
            <w:tcBorders>
              <w:top w:val="nil"/>
              <w:left w:val="nil"/>
              <w:bottom w:val="single" w:sz="4" w:space="0" w:color="auto"/>
              <w:right w:val="single" w:sz="4" w:space="0" w:color="auto"/>
            </w:tcBorders>
            <w:shd w:val="clear" w:color="auto" w:fill="auto"/>
            <w:noWrap/>
            <w:vAlign w:val="bottom"/>
            <w:hideMark/>
          </w:tcPr>
          <w:p w14:paraId="0F758F70"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709" w:type="dxa"/>
            <w:tcBorders>
              <w:top w:val="nil"/>
              <w:left w:val="nil"/>
              <w:bottom w:val="single" w:sz="4" w:space="0" w:color="auto"/>
              <w:right w:val="single" w:sz="4" w:space="0" w:color="auto"/>
            </w:tcBorders>
            <w:shd w:val="clear" w:color="auto" w:fill="auto"/>
            <w:noWrap/>
            <w:vAlign w:val="bottom"/>
            <w:hideMark/>
          </w:tcPr>
          <w:p w14:paraId="2C0C777B"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2C0EE3B2" w14:textId="77777777" w:rsidTr="00BC127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C87C0B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Guaranda</w:t>
            </w:r>
          </w:p>
        </w:tc>
        <w:tc>
          <w:tcPr>
            <w:tcW w:w="887" w:type="dxa"/>
            <w:tcBorders>
              <w:top w:val="nil"/>
              <w:left w:val="nil"/>
              <w:bottom w:val="single" w:sz="4" w:space="0" w:color="auto"/>
              <w:right w:val="single" w:sz="4" w:space="0" w:color="auto"/>
            </w:tcBorders>
            <w:shd w:val="clear" w:color="auto" w:fill="auto"/>
            <w:noWrap/>
            <w:vAlign w:val="bottom"/>
            <w:hideMark/>
          </w:tcPr>
          <w:p w14:paraId="6EF8FDE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5,5</w:t>
            </w:r>
          </w:p>
        </w:tc>
        <w:tc>
          <w:tcPr>
            <w:tcW w:w="672" w:type="dxa"/>
            <w:tcBorders>
              <w:top w:val="nil"/>
              <w:left w:val="nil"/>
              <w:bottom w:val="single" w:sz="4" w:space="0" w:color="auto"/>
              <w:right w:val="single" w:sz="4" w:space="0" w:color="auto"/>
            </w:tcBorders>
            <w:shd w:val="clear" w:color="auto" w:fill="auto"/>
            <w:noWrap/>
            <w:vAlign w:val="bottom"/>
            <w:hideMark/>
          </w:tcPr>
          <w:p w14:paraId="613257F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728" w:type="dxa"/>
            <w:tcBorders>
              <w:top w:val="nil"/>
              <w:left w:val="nil"/>
              <w:bottom w:val="single" w:sz="4" w:space="0" w:color="auto"/>
              <w:right w:val="single" w:sz="4" w:space="0" w:color="auto"/>
            </w:tcBorders>
            <w:shd w:val="clear" w:color="auto" w:fill="auto"/>
            <w:noWrap/>
            <w:vAlign w:val="bottom"/>
            <w:hideMark/>
          </w:tcPr>
          <w:p w14:paraId="6364B9A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0,72</w:t>
            </w:r>
          </w:p>
        </w:tc>
        <w:tc>
          <w:tcPr>
            <w:tcW w:w="965" w:type="dxa"/>
            <w:tcBorders>
              <w:top w:val="nil"/>
              <w:left w:val="nil"/>
              <w:bottom w:val="single" w:sz="4" w:space="0" w:color="auto"/>
              <w:right w:val="single" w:sz="4" w:space="0" w:color="auto"/>
            </w:tcBorders>
            <w:shd w:val="clear" w:color="auto" w:fill="auto"/>
            <w:noWrap/>
            <w:vAlign w:val="bottom"/>
            <w:hideMark/>
          </w:tcPr>
          <w:p w14:paraId="2A33143C"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049C101A"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709" w:type="dxa"/>
            <w:tcBorders>
              <w:top w:val="nil"/>
              <w:left w:val="nil"/>
              <w:bottom w:val="single" w:sz="4" w:space="0" w:color="auto"/>
              <w:right w:val="single" w:sz="4" w:space="0" w:color="auto"/>
            </w:tcBorders>
            <w:shd w:val="clear" w:color="auto" w:fill="auto"/>
            <w:noWrap/>
            <w:vAlign w:val="bottom"/>
            <w:hideMark/>
          </w:tcPr>
          <w:p w14:paraId="722261C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r w:rsidR="007E253F" w:rsidRPr="007E253F" w14:paraId="12DA7BAC" w14:textId="77777777" w:rsidTr="00BC127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241DEA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San Miguel</w:t>
            </w:r>
          </w:p>
        </w:tc>
        <w:tc>
          <w:tcPr>
            <w:tcW w:w="887" w:type="dxa"/>
            <w:tcBorders>
              <w:top w:val="nil"/>
              <w:left w:val="nil"/>
              <w:bottom w:val="single" w:sz="4" w:space="0" w:color="auto"/>
              <w:right w:val="single" w:sz="4" w:space="0" w:color="auto"/>
            </w:tcBorders>
            <w:shd w:val="clear" w:color="auto" w:fill="auto"/>
            <w:noWrap/>
            <w:vAlign w:val="bottom"/>
            <w:hideMark/>
          </w:tcPr>
          <w:p w14:paraId="4406C4D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6,15</w:t>
            </w:r>
          </w:p>
        </w:tc>
        <w:tc>
          <w:tcPr>
            <w:tcW w:w="672" w:type="dxa"/>
            <w:tcBorders>
              <w:top w:val="nil"/>
              <w:left w:val="nil"/>
              <w:bottom w:val="single" w:sz="4" w:space="0" w:color="auto"/>
              <w:right w:val="single" w:sz="4" w:space="0" w:color="auto"/>
            </w:tcBorders>
            <w:shd w:val="clear" w:color="auto" w:fill="auto"/>
            <w:noWrap/>
            <w:vAlign w:val="bottom"/>
            <w:hideMark/>
          </w:tcPr>
          <w:p w14:paraId="52B9693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1728" w:type="dxa"/>
            <w:tcBorders>
              <w:top w:val="nil"/>
              <w:left w:val="nil"/>
              <w:bottom w:val="single" w:sz="4" w:space="0" w:color="auto"/>
              <w:right w:val="single" w:sz="4" w:space="0" w:color="auto"/>
            </w:tcBorders>
            <w:shd w:val="clear" w:color="auto" w:fill="auto"/>
            <w:noWrap/>
            <w:vAlign w:val="bottom"/>
            <w:hideMark/>
          </w:tcPr>
          <w:p w14:paraId="2E05E39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0,66</w:t>
            </w:r>
          </w:p>
        </w:tc>
        <w:tc>
          <w:tcPr>
            <w:tcW w:w="965" w:type="dxa"/>
            <w:tcBorders>
              <w:top w:val="nil"/>
              <w:left w:val="nil"/>
              <w:bottom w:val="single" w:sz="4" w:space="0" w:color="auto"/>
              <w:right w:val="single" w:sz="4" w:space="0" w:color="auto"/>
            </w:tcBorders>
            <w:shd w:val="clear" w:color="auto" w:fill="auto"/>
            <w:noWrap/>
            <w:vAlign w:val="bottom"/>
            <w:hideMark/>
          </w:tcPr>
          <w:p w14:paraId="32F88FFD"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992" w:type="dxa"/>
            <w:tcBorders>
              <w:top w:val="nil"/>
              <w:left w:val="nil"/>
              <w:bottom w:val="single" w:sz="4" w:space="0" w:color="auto"/>
              <w:right w:val="single" w:sz="4" w:space="0" w:color="auto"/>
            </w:tcBorders>
            <w:shd w:val="clear" w:color="auto" w:fill="auto"/>
            <w:noWrap/>
            <w:vAlign w:val="bottom"/>
            <w:hideMark/>
          </w:tcPr>
          <w:p w14:paraId="04B8B3FB"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709" w:type="dxa"/>
            <w:tcBorders>
              <w:top w:val="nil"/>
              <w:left w:val="nil"/>
              <w:bottom w:val="single" w:sz="4" w:space="0" w:color="auto"/>
              <w:right w:val="single" w:sz="4" w:space="0" w:color="auto"/>
            </w:tcBorders>
            <w:shd w:val="clear" w:color="auto" w:fill="auto"/>
            <w:noWrap/>
            <w:vAlign w:val="bottom"/>
            <w:hideMark/>
          </w:tcPr>
          <w:p w14:paraId="3CDD5A3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6FB3BEB5" w14:textId="77777777" w:rsidR="00BC127C" w:rsidRDefault="007E253F" w:rsidP="00BC127C">
      <w:pPr>
        <w:autoSpaceDE w:val="0"/>
        <w:autoSpaceDN w:val="0"/>
        <w:adjustRightInd w:val="0"/>
        <w:spacing w:after="0" w:line="360" w:lineRule="auto"/>
        <w:rPr>
          <w:rFonts w:cs="Times New Roman"/>
          <w:szCs w:val="24"/>
        </w:rPr>
      </w:pPr>
      <w:r w:rsidRPr="007E253F">
        <w:rPr>
          <w:rFonts w:cs="Times New Roman"/>
          <w:szCs w:val="24"/>
        </w:rPr>
        <w:t>Medias con una letra común no son significativa</w:t>
      </w:r>
      <w:r w:rsidR="00077513">
        <w:rPr>
          <w:rFonts w:cs="Times New Roman"/>
          <w:szCs w:val="24"/>
        </w:rPr>
        <w:t>mente diferentes (p &gt; 0,05)</w:t>
      </w:r>
      <w:bookmarkStart w:id="1436" w:name="_Toc79314038"/>
    </w:p>
    <w:p w14:paraId="01849A22" w14:textId="146BB2B0" w:rsidR="00077513" w:rsidRPr="00BC127C" w:rsidRDefault="00077513" w:rsidP="00BC127C">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46</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azufre para diversas dosis de nitrógeno evaluadas en la provincia de Bolívar del 2006 al 2011.</w:t>
      </w:r>
      <w:bookmarkEnd w:id="1436"/>
    </w:p>
    <w:tbl>
      <w:tblPr>
        <w:tblW w:w="7914" w:type="dxa"/>
        <w:tblCellMar>
          <w:left w:w="70" w:type="dxa"/>
          <w:right w:w="70" w:type="dxa"/>
        </w:tblCellMar>
        <w:tblLook w:val="04A0" w:firstRow="1" w:lastRow="0" w:firstColumn="1" w:lastColumn="0" w:noHBand="0" w:noVBand="1"/>
      </w:tblPr>
      <w:tblGrid>
        <w:gridCol w:w="2227"/>
        <w:gridCol w:w="887"/>
        <w:gridCol w:w="567"/>
        <w:gridCol w:w="1833"/>
        <w:gridCol w:w="1200"/>
        <w:gridCol w:w="1200"/>
      </w:tblGrid>
      <w:tr w:rsidR="007E253F" w:rsidRPr="007E253F" w14:paraId="45F073FB" w14:textId="77777777" w:rsidTr="00A05F3F">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EC691"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N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6EC466F0"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FAE0337"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51BE59D4"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tcBorders>
            <w:shd w:val="clear" w:color="auto" w:fill="auto"/>
            <w:noWrap/>
            <w:vAlign w:val="bottom"/>
            <w:hideMark/>
          </w:tcPr>
          <w:p w14:paraId="0E88F5CE" w14:textId="77777777" w:rsidR="007E253F" w:rsidRPr="007E253F" w:rsidRDefault="007E253F" w:rsidP="00BC127C">
            <w:pPr>
              <w:spacing w:after="0" w:line="240" w:lineRule="auto"/>
              <w:jc w:val="right"/>
              <w:rPr>
                <w:rFonts w:eastAsia="Times New Roman" w:cs="Times New Roman"/>
                <w:b/>
                <w:bCs/>
                <w:color w:val="000000"/>
                <w:szCs w:val="24"/>
                <w:lang w:eastAsia="es-EC"/>
              </w:rPr>
            </w:pPr>
            <w:r w:rsidRPr="007E253F">
              <w:rPr>
                <w:rFonts w:eastAsia="Times New Roman" w:cs="Times New Roman"/>
                <w:b/>
                <w:bCs/>
                <w:color w:val="000000"/>
                <w:szCs w:val="24"/>
                <w:lang w:eastAsia="es-EC"/>
              </w:rPr>
              <w:t>Lsd</w:t>
            </w:r>
          </w:p>
        </w:tc>
        <w:tc>
          <w:tcPr>
            <w:tcW w:w="1200" w:type="dxa"/>
            <w:tcBorders>
              <w:top w:val="single" w:sz="4" w:space="0" w:color="auto"/>
              <w:bottom w:val="single" w:sz="4" w:space="0" w:color="auto"/>
              <w:right w:val="single" w:sz="4" w:space="0" w:color="auto"/>
            </w:tcBorders>
            <w:shd w:val="clear" w:color="auto" w:fill="auto"/>
            <w:noWrap/>
            <w:vAlign w:val="bottom"/>
            <w:hideMark/>
          </w:tcPr>
          <w:p w14:paraId="374AA6DE" w14:textId="77777777" w:rsidR="007E253F" w:rsidRPr="007E253F" w:rsidRDefault="007E253F" w:rsidP="00BC127C">
            <w:pPr>
              <w:spacing w:after="0" w:line="240" w:lineRule="auto"/>
              <w:rPr>
                <w:rFonts w:eastAsia="Times New Roman" w:cs="Times New Roman"/>
                <w:b/>
                <w:bCs/>
                <w:color w:val="000000"/>
                <w:szCs w:val="24"/>
                <w:lang w:eastAsia="es-EC"/>
              </w:rPr>
            </w:pPr>
            <w:r w:rsidRPr="007E253F">
              <w:rPr>
                <w:rFonts w:eastAsia="Times New Roman" w:cs="Times New Roman"/>
                <w:b/>
                <w:bCs/>
                <w:color w:val="000000"/>
                <w:szCs w:val="24"/>
                <w:lang w:eastAsia="es-EC"/>
              </w:rPr>
              <w:t>0,05</w:t>
            </w:r>
          </w:p>
        </w:tc>
      </w:tr>
      <w:tr w:rsidR="007E253F" w:rsidRPr="007E253F" w14:paraId="5DC3330B" w14:textId="77777777" w:rsidTr="00A05F3F">
        <w:trPr>
          <w:trHeight w:val="300"/>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349E3C2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shd w:val="clear" w:color="auto" w:fill="auto"/>
            <w:noWrap/>
            <w:vAlign w:val="bottom"/>
            <w:hideMark/>
          </w:tcPr>
          <w:p w14:paraId="3576611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3,43</w:t>
            </w:r>
          </w:p>
        </w:tc>
        <w:tc>
          <w:tcPr>
            <w:tcW w:w="567" w:type="dxa"/>
            <w:tcBorders>
              <w:top w:val="nil"/>
              <w:left w:val="nil"/>
              <w:bottom w:val="single" w:sz="4" w:space="0" w:color="auto"/>
              <w:right w:val="single" w:sz="4" w:space="0" w:color="auto"/>
            </w:tcBorders>
            <w:shd w:val="clear" w:color="auto" w:fill="auto"/>
            <w:noWrap/>
            <w:vAlign w:val="bottom"/>
            <w:hideMark/>
          </w:tcPr>
          <w:p w14:paraId="1977565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32</w:t>
            </w:r>
          </w:p>
        </w:tc>
        <w:tc>
          <w:tcPr>
            <w:tcW w:w="1833" w:type="dxa"/>
            <w:tcBorders>
              <w:top w:val="nil"/>
              <w:left w:val="nil"/>
              <w:bottom w:val="single" w:sz="4" w:space="0" w:color="auto"/>
              <w:right w:val="single" w:sz="4" w:space="0" w:color="auto"/>
            </w:tcBorders>
            <w:shd w:val="clear" w:color="auto" w:fill="auto"/>
            <w:noWrap/>
            <w:vAlign w:val="bottom"/>
            <w:hideMark/>
          </w:tcPr>
          <w:p w14:paraId="12374CA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E84535E"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57F3FE5"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60847C13" w14:textId="77777777" w:rsidTr="00A05F3F">
        <w:trPr>
          <w:trHeight w:val="300"/>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248A1AB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612ECF2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w:t>
            </w:r>
          </w:p>
        </w:tc>
        <w:tc>
          <w:tcPr>
            <w:tcW w:w="567" w:type="dxa"/>
            <w:tcBorders>
              <w:top w:val="nil"/>
              <w:left w:val="nil"/>
              <w:bottom w:val="single" w:sz="4" w:space="0" w:color="auto"/>
              <w:right w:val="single" w:sz="4" w:space="0" w:color="auto"/>
            </w:tcBorders>
            <w:shd w:val="clear" w:color="auto" w:fill="auto"/>
            <w:noWrap/>
            <w:vAlign w:val="bottom"/>
            <w:hideMark/>
          </w:tcPr>
          <w:p w14:paraId="5BCD85E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w:t>
            </w:r>
          </w:p>
        </w:tc>
        <w:tc>
          <w:tcPr>
            <w:tcW w:w="1833" w:type="dxa"/>
            <w:tcBorders>
              <w:top w:val="nil"/>
              <w:left w:val="nil"/>
              <w:bottom w:val="single" w:sz="4" w:space="0" w:color="auto"/>
              <w:right w:val="single" w:sz="4" w:space="0" w:color="auto"/>
            </w:tcBorders>
            <w:shd w:val="clear" w:color="auto" w:fill="auto"/>
            <w:noWrap/>
            <w:vAlign w:val="bottom"/>
            <w:hideMark/>
          </w:tcPr>
          <w:p w14:paraId="76979383"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0,75</w:t>
            </w:r>
          </w:p>
        </w:tc>
        <w:tc>
          <w:tcPr>
            <w:tcW w:w="1200" w:type="dxa"/>
            <w:tcBorders>
              <w:top w:val="nil"/>
              <w:left w:val="nil"/>
              <w:bottom w:val="single" w:sz="4" w:space="0" w:color="auto"/>
              <w:right w:val="single" w:sz="4" w:space="0" w:color="auto"/>
            </w:tcBorders>
            <w:shd w:val="clear" w:color="auto" w:fill="auto"/>
            <w:noWrap/>
            <w:vAlign w:val="bottom"/>
            <w:hideMark/>
          </w:tcPr>
          <w:p w14:paraId="3002EE3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00" w:type="dxa"/>
            <w:tcBorders>
              <w:top w:val="nil"/>
              <w:left w:val="nil"/>
              <w:bottom w:val="single" w:sz="4" w:space="0" w:color="auto"/>
              <w:right w:val="single" w:sz="4" w:space="0" w:color="auto"/>
            </w:tcBorders>
            <w:shd w:val="clear" w:color="auto" w:fill="auto"/>
            <w:noWrap/>
            <w:vAlign w:val="bottom"/>
            <w:hideMark/>
          </w:tcPr>
          <w:p w14:paraId="7B78B353"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552826D6" w14:textId="77777777" w:rsidTr="00A05F3F">
        <w:trPr>
          <w:trHeight w:val="300"/>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5598C7B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shd w:val="clear" w:color="auto" w:fill="auto"/>
            <w:noWrap/>
            <w:vAlign w:val="bottom"/>
            <w:hideMark/>
          </w:tcPr>
          <w:p w14:paraId="6133412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4,31</w:t>
            </w:r>
          </w:p>
        </w:tc>
        <w:tc>
          <w:tcPr>
            <w:tcW w:w="567" w:type="dxa"/>
            <w:tcBorders>
              <w:top w:val="nil"/>
              <w:left w:val="nil"/>
              <w:bottom w:val="single" w:sz="4" w:space="0" w:color="auto"/>
              <w:right w:val="single" w:sz="4" w:space="0" w:color="auto"/>
            </w:tcBorders>
            <w:shd w:val="clear" w:color="auto" w:fill="auto"/>
            <w:noWrap/>
            <w:vAlign w:val="bottom"/>
            <w:hideMark/>
          </w:tcPr>
          <w:p w14:paraId="065838F0"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833" w:type="dxa"/>
            <w:tcBorders>
              <w:top w:val="nil"/>
              <w:left w:val="nil"/>
              <w:bottom w:val="single" w:sz="4" w:space="0" w:color="auto"/>
              <w:right w:val="single" w:sz="4" w:space="0" w:color="auto"/>
            </w:tcBorders>
            <w:shd w:val="clear" w:color="auto" w:fill="auto"/>
            <w:noWrap/>
            <w:vAlign w:val="bottom"/>
            <w:hideMark/>
          </w:tcPr>
          <w:p w14:paraId="018CFDA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1,16</w:t>
            </w:r>
          </w:p>
        </w:tc>
        <w:tc>
          <w:tcPr>
            <w:tcW w:w="1200" w:type="dxa"/>
            <w:tcBorders>
              <w:top w:val="nil"/>
              <w:left w:val="nil"/>
              <w:bottom w:val="single" w:sz="4" w:space="0" w:color="auto"/>
              <w:right w:val="single" w:sz="4" w:space="0" w:color="auto"/>
            </w:tcBorders>
            <w:shd w:val="clear" w:color="auto" w:fill="auto"/>
            <w:noWrap/>
            <w:vAlign w:val="bottom"/>
            <w:hideMark/>
          </w:tcPr>
          <w:p w14:paraId="18EB6E19"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00" w:type="dxa"/>
            <w:tcBorders>
              <w:top w:val="nil"/>
              <w:left w:val="nil"/>
              <w:bottom w:val="single" w:sz="4" w:space="0" w:color="auto"/>
              <w:right w:val="single" w:sz="4" w:space="0" w:color="auto"/>
            </w:tcBorders>
            <w:shd w:val="clear" w:color="auto" w:fill="auto"/>
            <w:noWrap/>
            <w:vAlign w:val="bottom"/>
            <w:hideMark/>
          </w:tcPr>
          <w:p w14:paraId="1AEB6FAE"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282572E3" w14:textId="77777777" w:rsidTr="00A05F3F">
        <w:trPr>
          <w:trHeight w:val="300"/>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0066BFE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140</w:t>
            </w:r>
          </w:p>
        </w:tc>
        <w:tc>
          <w:tcPr>
            <w:tcW w:w="887" w:type="dxa"/>
            <w:tcBorders>
              <w:top w:val="nil"/>
              <w:left w:val="nil"/>
              <w:bottom w:val="single" w:sz="4" w:space="0" w:color="auto"/>
              <w:right w:val="single" w:sz="4" w:space="0" w:color="auto"/>
            </w:tcBorders>
            <w:shd w:val="clear" w:color="auto" w:fill="auto"/>
            <w:noWrap/>
            <w:vAlign w:val="bottom"/>
            <w:hideMark/>
          </w:tcPr>
          <w:p w14:paraId="00DD3FD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10,56</w:t>
            </w:r>
          </w:p>
        </w:tc>
        <w:tc>
          <w:tcPr>
            <w:tcW w:w="567" w:type="dxa"/>
            <w:tcBorders>
              <w:top w:val="nil"/>
              <w:left w:val="nil"/>
              <w:bottom w:val="single" w:sz="4" w:space="0" w:color="auto"/>
              <w:right w:val="single" w:sz="4" w:space="0" w:color="auto"/>
            </w:tcBorders>
            <w:shd w:val="clear" w:color="auto" w:fill="auto"/>
            <w:noWrap/>
            <w:vAlign w:val="bottom"/>
            <w:hideMark/>
          </w:tcPr>
          <w:p w14:paraId="42E6C7B0"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w:t>
            </w:r>
          </w:p>
        </w:tc>
        <w:tc>
          <w:tcPr>
            <w:tcW w:w="1833" w:type="dxa"/>
            <w:tcBorders>
              <w:top w:val="nil"/>
              <w:left w:val="nil"/>
              <w:bottom w:val="single" w:sz="4" w:space="0" w:color="auto"/>
              <w:right w:val="single" w:sz="4" w:space="0" w:color="auto"/>
            </w:tcBorders>
            <w:shd w:val="clear" w:color="auto" w:fill="auto"/>
            <w:noWrap/>
            <w:vAlign w:val="bottom"/>
            <w:hideMark/>
          </w:tcPr>
          <w:p w14:paraId="2A879613"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0,52</w:t>
            </w:r>
          </w:p>
        </w:tc>
        <w:tc>
          <w:tcPr>
            <w:tcW w:w="1200" w:type="dxa"/>
            <w:tcBorders>
              <w:top w:val="nil"/>
              <w:left w:val="nil"/>
              <w:bottom w:val="single" w:sz="4" w:space="0" w:color="auto"/>
              <w:right w:val="single" w:sz="4" w:space="0" w:color="auto"/>
            </w:tcBorders>
            <w:shd w:val="clear" w:color="auto" w:fill="auto"/>
            <w:noWrap/>
            <w:vAlign w:val="bottom"/>
            <w:hideMark/>
          </w:tcPr>
          <w:p w14:paraId="2E951B9D"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1200" w:type="dxa"/>
            <w:tcBorders>
              <w:top w:val="nil"/>
              <w:left w:val="nil"/>
              <w:bottom w:val="single" w:sz="4" w:space="0" w:color="auto"/>
              <w:right w:val="single" w:sz="4" w:space="0" w:color="auto"/>
            </w:tcBorders>
            <w:shd w:val="clear" w:color="auto" w:fill="auto"/>
            <w:noWrap/>
            <w:vAlign w:val="bottom"/>
            <w:hideMark/>
          </w:tcPr>
          <w:p w14:paraId="29511F2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bl>
    <w:p w14:paraId="013C8842" w14:textId="4434C40B" w:rsidR="00077513" w:rsidRPr="00BC127C" w:rsidRDefault="00077513" w:rsidP="00BC127C">
      <w:pPr>
        <w:autoSpaceDE w:val="0"/>
        <w:autoSpaceDN w:val="0"/>
        <w:adjustRightInd w:val="0"/>
        <w:spacing w:before="360" w:after="0" w:line="360" w:lineRule="auto"/>
        <w:rPr>
          <w:rFonts w:cs="Times New Roman"/>
          <w:szCs w:val="24"/>
        </w:rPr>
      </w:pPr>
      <w:bookmarkStart w:id="1437" w:name="_Toc79314039"/>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47</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azufre para diversas dosis de fósforo evaluadas en la provincia de Bolívar del 2006 al 2011.</w:t>
      </w:r>
      <w:bookmarkEnd w:id="1437"/>
    </w:p>
    <w:tbl>
      <w:tblPr>
        <w:tblW w:w="7933" w:type="dxa"/>
        <w:tblCellMar>
          <w:left w:w="70" w:type="dxa"/>
          <w:right w:w="70" w:type="dxa"/>
        </w:tblCellMar>
        <w:tblLook w:val="04A0" w:firstRow="1" w:lastRow="0" w:firstColumn="1" w:lastColumn="0" w:noHBand="0" w:noVBand="1"/>
      </w:tblPr>
      <w:tblGrid>
        <w:gridCol w:w="2227"/>
        <w:gridCol w:w="887"/>
        <w:gridCol w:w="567"/>
        <w:gridCol w:w="1833"/>
        <w:gridCol w:w="718"/>
        <w:gridCol w:w="1134"/>
        <w:gridCol w:w="567"/>
      </w:tblGrid>
      <w:tr w:rsidR="007E253F" w:rsidRPr="007E253F" w14:paraId="2CF60AA1" w14:textId="77777777" w:rsidTr="00A05F3F">
        <w:trPr>
          <w:trHeight w:val="300"/>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352AD"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P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38B798EE"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672B361"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29589709"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718" w:type="dxa"/>
            <w:tcBorders>
              <w:top w:val="single" w:sz="4" w:space="0" w:color="auto"/>
              <w:left w:val="single" w:sz="4" w:space="0" w:color="auto"/>
              <w:bottom w:val="single" w:sz="4" w:space="0" w:color="auto"/>
            </w:tcBorders>
            <w:shd w:val="clear" w:color="auto" w:fill="auto"/>
            <w:noWrap/>
            <w:vAlign w:val="bottom"/>
            <w:hideMark/>
          </w:tcPr>
          <w:p w14:paraId="46A7056B"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1134" w:type="dxa"/>
            <w:tcBorders>
              <w:top w:val="single" w:sz="4" w:space="0" w:color="auto"/>
              <w:bottom w:val="single" w:sz="4" w:space="0" w:color="auto"/>
            </w:tcBorders>
            <w:shd w:val="clear" w:color="auto" w:fill="auto"/>
            <w:noWrap/>
            <w:vAlign w:val="bottom"/>
            <w:hideMark/>
          </w:tcPr>
          <w:p w14:paraId="1087A8D9"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Lsd 0,05</w:t>
            </w:r>
          </w:p>
        </w:tc>
        <w:tc>
          <w:tcPr>
            <w:tcW w:w="567" w:type="dxa"/>
            <w:tcBorders>
              <w:top w:val="single" w:sz="4" w:space="0" w:color="auto"/>
              <w:bottom w:val="single" w:sz="4" w:space="0" w:color="auto"/>
              <w:right w:val="single" w:sz="4" w:space="0" w:color="auto"/>
            </w:tcBorders>
            <w:shd w:val="clear" w:color="auto" w:fill="auto"/>
            <w:noWrap/>
            <w:vAlign w:val="bottom"/>
            <w:hideMark/>
          </w:tcPr>
          <w:p w14:paraId="3F65518B"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1EA8DE69" w14:textId="77777777" w:rsidTr="00A05F3F">
        <w:trPr>
          <w:trHeight w:val="300"/>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760280C0"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shd w:val="clear" w:color="auto" w:fill="auto"/>
            <w:noWrap/>
            <w:vAlign w:val="bottom"/>
            <w:hideMark/>
          </w:tcPr>
          <w:p w14:paraId="591243C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2,22</w:t>
            </w:r>
          </w:p>
        </w:tc>
        <w:tc>
          <w:tcPr>
            <w:tcW w:w="567" w:type="dxa"/>
            <w:tcBorders>
              <w:top w:val="nil"/>
              <w:left w:val="nil"/>
              <w:bottom w:val="single" w:sz="4" w:space="0" w:color="auto"/>
              <w:right w:val="single" w:sz="4" w:space="0" w:color="auto"/>
            </w:tcBorders>
            <w:shd w:val="clear" w:color="auto" w:fill="auto"/>
            <w:noWrap/>
            <w:vAlign w:val="bottom"/>
            <w:hideMark/>
          </w:tcPr>
          <w:p w14:paraId="2CBF173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33" w:type="dxa"/>
            <w:tcBorders>
              <w:top w:val="nil"/>
              <w:left w:val="nil"/>
              <w:bottom w:val="single" w:sz="4" w:space="0" w:color="auto"/>
              <w:right w:val="single" w:sz="4" w:space="0" w:color="auto"/>
            </w:tcBorders>
            <w:shd w:val="clear" w:color="auto" w:fill="auto"/>
            <w:noWrap/>
            <w:vAlign w:val="bottom"/>
            <w:hideMark/>
          </w:tcPr>
          <w:p w14:paraId="39EA5E5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0,54</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F32F74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144D19C"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82A0259"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0EC6DC3F" w14:textId="77777777" w:rsidTr="00A05F3F">
        <w:trPr>
          <w:trHeight w:val="300"/>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4F691FF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shd w:val="clear" w:color="auto" w:fill="auto"/>
            <w:noWrap/>
            <w:vAlign w:val="bottom"/>
            <w:hideMark/>
          </w:tcPr>
          <w:p w14:paraId="0EFBF49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4,31</w:t>
            </w:r>
          </w:p>
        </w:tc>
        <w:tc>
          <w:tcPr>
            <w:tcW w:w="567" w:type="dxa"/>
            <w:tcBorders>
              <w:top w:val="nil"/>
              <w:left w:val="nil"/>
              <w:bottom w:val="single" w:sz="4" w:space="0" w:color="auto"/>
              <w:right w:val="single" w:sz="4" w:space="0" w:color="auto"/>
            </w:tcBorders>
            <w:shd w:val="clear" w:color="auto" w:fill="auto"/>
            <w:noWrap/>
            <w:vAlign w:val="bottom"/>
            <w:hideMark/>
          </w:tcPr>
          <w:p w14:paraId="72E2FE9F"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833" w:type="dxa"/>
            <w:tcBorders>
              <w:top w:val="nil"/>
              <w:left w:val="nil"/>
              <w:bottom w:val="single" w:sz="4" w:space="0" w:color="auto"/>
              <w:right w:val="single" w:sz="4" w:space="0" w:color="auto"/>
            </w:tcBorders>
            <w:shd w:val="clear" w:color="auto" w:fill="auto"/>
            <w:noWrap/>
            <w:vAlign w:val="bottom"/>
            <w:hideMark/>
          </w:tcPr>
          <w:p w14:paraId="094F1BB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1,16</w:t>
            </w:r>
          </w:p>
        </w:tc>
        <w:tc>
          <w:tcPr>
            <w:tcW w:w="718" w:type="dxa"/>
            <w:tcBorders>
              <w:top w:val="nil"/>
              <w:left w:val="nil"/>
              <w:bottom w:val="single" w:sz="4" w:space="0" w:color="auto"/>
              <w:right w:val="single" w:sz="4" w:space="0" w:color="auto"/>
            </w:tcBorders>
            <w:shd w:val="clear" w:color="auto" w:fill="auto"/>
            <w:noWrap/>
            <w:vAlign w:val="bottom"/>
            <w:hideMark/>
          </w:tcPr>
          <w:p w14:paraId="3AE6079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134" w:type="dxa"/>
            <w:tcBorders>
              <w:top w:val="nil"/>
              <w:left w:val="nil"/>
              <w:bottom w:val="single" w:sz="4" w:space="0" w:color="auto"/>
              <w:right w:val="single" w:sz="4" w:space="0" w:color="auto"/>
            </w:tcBorders>
            <w:shd w:val="clear" w:color="auto" w:fill="auto"/>
            <w:noWrap/>
            <w:vAlign w:val="bottom"/>
            <w:hideMark/>
          </w:tcPr>
          <w:p w14:paraId="25BD8E09"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567" w:type="dxa"/>
            <w:tcBorders>
              <w:top w:val="nil"/>
              <w:left w:val="nil"/>
              <w:bottom w:val="single" w:sz="4" w:space="0" w:color="auto"/>
              <w:right w:val="single" w:sz="4" w:space="0" w:color="auto"/>
            </w:tcBorders>
            <w:shd w:val="clear" w:color="auto" w:fill="auto"/>
            <w:noWrap/>
            <w:vAlign w:val="bottom"/>
            <w:hideMark/>
          </w:tcPr>
          <w:p w14:paraId="73FEBDDE"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5C25DDD9" w14:textId="77777777" w:rsidTr="00A05F3F">
        <w:trPr>
          <w:trHeight w:val="300"/>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7DFC144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4AA20AB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5,4</w:t>
            </w:r>
          </w:p>
        </w:tc>
        <w:tc>
          <w:tcPr>
            <w:tcW w:w="567" w:type="dxa"/>
            <w:tcBorders>
              <w:top w:val="nil"/>
              <w:left w:val="nil"/>
              <w:bottom w:val="single" w:sz="4" w:space="0" w:color="auto"/>
              <w:right w:val="single" w:sz="4" w:space="0" w:color="auto"/>
            </w:tcBorders>
            <w:shd w:val="clear" w:color="auto" w:fill="auto"/>
            <w:noWrap/>
            <w:vAlign w:val="bottom"/>
            <w:hideMark/>
          </w:tcPr>
          <w:p w14:paraId="4582915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833" w:type="dxa"/>
            <w:tcBorders>
              <w:top w:val="nil"/>
              <w:left w:val="nil"/>
              <w:bottom w:val="single" w:sz="4" w:space="0" w:color="auto"/>
              <w:right w:val="single" w:sz="4" w:space="0" w:color="auto"/>
            </w:tcBorders>
            <w:shd w:val="clear" w:color="auto" w:fill="auto"/>
            <w:noWrap/>
            <w:vAlign w:val="bottom"/>
            <w:hideMark/>
          </w:tcPr>
          <w:p w14:paraId="3D0F3FB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0,76</w:t>
            </w:r>
          </w:p>
        </w:tc>
        <w:tc>
          <w:tcPr>
            <w:tcW w:w="718" w:type="dxa"/>
            <w:tcBorders>
              <w:top w:val="nil"/>
              <w:left w:val="nil"/>
              <w:bottom w:val="single" w:sz="4" w:space="0" w:color="auto"/>
              <w:right w:val="single" w:sz="4" w:space="0" w:color="auto"/>
            </w:tcBorders>
            <w:shd w:val="clear" w:color="auto" w:fill="auto"/>
            <w:noWrap/>
            <w:vAlign w:val="bottom"/>
            <w:hideMark/>
          </w:tcPr>
          <w:p w14:paraId="0D0BA899"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1134" w:type="dxa"/>
            <w:tcBorders>
              <w:top w:val="nil"/>
              <w:left w:val="nil"/>
              <w:bottom w:val="single" w:sz="4" w:space="0" w:color="auto"/>
              <w:right w:val="single" w:sz="4" w:space="0" w:color="auto"/>
            </w:tcBorders>
            <w:shd w:val="clear" w:color="auto" w:fill="auto"/>
            <w:noWrap/>
            <w:vAlign w:val="bottom"/>
            <w:hideMark/>
          </w:tcPr>
          <w:p w14:paraId="134F9EA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567" w:type="dxa"/>
            <w:tcBorders>
              <w:top w:val="nil"/>
              <w:left w:val="nil"/>
              <w:bottom w:val="single" w:sz="4" w:space="0" w:color="auto"/>
              <w:right w:val="single" w:sz="4" w:space="0" w:color="auto"/>
            </w:tcBorders>
            <w:shd w:val="clear" w:color="auto" w:fill="auto"/>
            <w:noWrap/>
            <w:vAlign w:val="bottom"/>
            <w:hideMark/>
          </w:tcPr>
          <w:p w14:paraId="7085E818" w14:textId="77777777" w:rsidR="007E253F" w:rsidRPr="007E253F" w:rsidRDefault="007E253F" w:rsidP="00BC127C">
            <w:pPr>
              <w:spacing w:after="0" w:line="240" w:lineRule="auto"/>
              <w:jc w:val="center"/>
              <w:rPr>
                <w:rFonts w:eastAsia="Times New Roman" w:cs="Times New Roman"/>
                <w:color w:val="000000"/>
                <w:szCs w:val="24"/>
                <w:lang w:eastAsia="es-EC"/>
              </w:rPr>
            </w:pPr>
          </w:p>
        </w:tc>
      </w:tr>
      <w:tr w:rsidR="007E253F" w:rsidRPr="007E253F" w14:paraId="0B5FE16B" w14:textId="77777777" w:rsidTr="00A05F3F">
        <w:trPr>
          <w:trHeight w:val="300"/>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33BCB4D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w:t>
            </w:r>
          </w:p>
        </w:tc>
        <w:tc>
          <w:tcPr>
            <w:tcW w:w="887" w:type="dxa"/>
            <w:tcBorders>
              <w:top w:val="nil"/>
              <w:left w:val="nil"/>
              <w:bottom w:val="single" w:sz="4" w:space="0" w:color="auto"/>
              <w:right w:val="single" w:sz="4" w:space="0" w:color="auto"/>
            </w:tcBorders>
            <w:shd w:val="clear" w:color="auto" w:fill="auto"/>
            <w:noWrap/>
            <w:vAlign w:val="bottom"/>
            <w:hideMark/>
          </w:tcPr>
          <w:p w14:paraId="69732C6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10,18</w:t>
            </w:r>
          </w:p>
        </w:tc>
        <w:tc>
          <w:tcPr>
            <w:tcW w:w="567" w:type="dxa"/>
            <w:tcBorders>
              <w:top w:val="nil"/>
              <w:left w:val="nil"/>
              <w:bottom w:val="single" w:sz="4" w:space="0" w:color="auto"/>
              <w:right w:val="single" w:sz="4" w:space="0" w:color="auto"/>
            </w:tcBorders>
            <w:shd w:val="clear" w:color="auto" w:fill="auto"/>
            <w:noWrap/>
            <w:vAlign w:val="bottom"/>
            <w:hideMark/>
          </w:tcPr>
          <w:p w14:paraId="027AFBAE"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38</w:t>
            </w:r>
          </w:p>
        </w:tc>
        <w:tc>
          <w:tcPr>
            <w:tcW w:w="1833" w:type="dxa"/>
            <w:tcBorders>
              <w:top w:val="nil"/>
              <w:left w:val="nil"/>
              <w:bottom w:val="single" w:sz="4" w:space="0" w:color="auto"/>
              <w:right w:val="single" w:sz="4" w:space="0" w:color="auto"/>
            </w:tcBorders>
            <w:shd w:val="clear" w:color="auto" w:fill="auto"/>
            <w:noWrap/>
            <w:vAlign w:val="bottom"/>
            <w:hideMark/>
          </w:tcPr>
          <w:p w14:paraId="431605A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0,57</w:t>
            </w:r>
          </w:p>
        </w:tc>
        <w:tc>
          <w:tcPr>
            <w:tcW w:w="718" w:type="dxa"/>
            <w:tcBorders>
              <w:top w:val="nil"/>
              <w:left w:val="nil"/>
              <w:bottom w:val="single" w:sz="4" w:space="0" w:color="auto"/>
              <w:right w:val="single" w:sz="4" w:space="0" w:color="auto"/>
            </w:tcBorders>
            <w:shd w:val="clear" w:color="auto" w:fill="auto"/>
            <w:noWrap/>
            <w:vAlign w:val="bottom"/>
            <w:hideMark/>
          </w:tcPr>
          <w:p w14:paraId="3EE37711"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1134" w:type="dxa"/>
            <w:tcBorders>
              <w:top w:val="nil"/>
              <w:left w:val="nil"/>
              <w:bottom w:val="single" w:sz="4" w:space="0" w:color="auto"/>
              <w:right w:val="single" w:sz="4" w:space="0" w:color="auto"/>
            </w:tcBorders>
            <w:shd w:val="clear" w:color="auto" w:fill="auto"/>
            <w:noWrap/>
            <w:vAlign w:val="bottom"/>
            <w:hideMark/>
          </w:tcPr>
          <w:p w14:paraId="375B95C7" w14:textId="77777777" w:rsidR="007E253F" w:rsidRPr="007E253F" w:rsidRDefault="007E253F" w:rsidP="00BC127C">
            <w:pPr>
              <w:spacing w:after="0" w:line="240" w:lineRule="auto"/>
              <w:jc w:val="center"/>
              <w:rPr>
                <w:rFonts w:eastAsia="Times New Roman" w:cs="Times New Roman"/>
                <w:color w:val="000000"/>
                <w:szCs w:val="24"/>
                <w:lang w:eastAsia="es-EC"/>
              </w:rPr>
            </w:pPr>
          </w:p>
        </w:tc>
        <w:tc>
          <w:tcPr>
            <w:tcW w:w="567" w:type="dxa"/>
            <w:tcBorders>
              <w:top w:val="nil"/>
              <w:left w:val="nil"/>
              <w:bottom w:val="single" w:sz="4" w:space="0" w:color="auto"/>
              <w:right w:val="single" w:sz="4" w:space="0" w:color="auto"/>
            </w:tcBorders>
            <w:shd w:val="clear" w:color="auto" w:fill="auto"/>
            <w:noWrap/>
            <w:vAlign w:val="bottom"/>
            <w:hideMark/>
          </w:tcPr>
          <w:p w14:paraId="4F8DBB8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709EAD24" w14:textId="77777777" w:rsidR="00BC127C" w:rsidRDefault="007E253F" w:rsidP="00BC127C">
      <w:pPr>
        <w:autoSpaceDE w:val="0"/>
        <w:autoSpaceDN w:val="0"/>
        <w:adjustRightInd w:val="0"/>
        <w:spacing w:after="0" w:line="360" w:lineRule="auto"/>
        <w:rPr>
          <w:rFonts w:cs="Times New Roman"/>
          <w:szCs w:val="24"/>
        </w:rPr>
      </w:pPr>
      <w:r w:rsidRPr="007E253F">
        <w:rPr>
          <w:rFonts w:cs="Times New Roman"/>
          <w:szCs w:val="24"/>
        </w:rPr>
        <w:t>Medias con una letra común no son significa</w:t>
      </w:r>
      <w:r w:rsidR="00077513">
        <w:rPr>
          <w:rFonts w:cs="Times New Roman"/>
          <w:szCs w:val="24"/>
        </w:rPr>
        <w:t>tivamente diferentes (p &gt; 0,05)</w:t>
      </w:r>
      <w:bookmarkStart w:id="1438" w:name="_Toc79314040"/>
    </w:p>
    <w:p w14:paraId="5AD56F0A" w14:textId="773EC2FF" w:rsidR="00077513" w:rsidRPr="00BC127C" w:rsidRDefault="00077513" w:rsidP="00BC127C">
      <w:pPr>
        <w:autoSpaceDE w:val="0"/>
        <w:autoSpaceDN w:val="0"/>
        <w:adjustRightInd w:val="0"/>
        <w:spacing w:before="360" w:after="0" w:line="360" w:lineRule="auto"/>
        <w:rPr>
          <w:rFonts w:cs="Times New Roman"/>
          <w:szCs w:val="24"/>
        </w:rPr>
      </w:pPr>
      <w:r w:rsidRPr="00077513">
        <w:rPr>
          <w:rFonts w:cs="Times New Roman"/>
          <w:b/>
          <w:szCs w:val="24"/>
        </w:rPr>
        <w:lastRenderedPageBreak/>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48</w:t>
      </w:r>
      <w:r w:rsidRPr="00077513">
        <w:rPr>
          <w:rFonts w:cs="Times New Roman"/>
          <w:b/>
          <w:i/>
          <w:iCs/>
          <w:szCs w:val="24"/>
        </w:rPr>
        <w:fldChar w:fldCharType="end"/>
      </w:r>
      <w:r w:rsidRPr="00077513">
        <w:rPr>
          <w:rFonts w:cs="Times New Roman"/>
          <w:b/>
          <w:szCs w:val="24"/>
        </w:rPr>
        <w:t xml:space="preserve">. </w:t>
      </w:r>
      <w:r w:rsidRPr="00077513">
        <w:rPr>
          <w:rFonts w:cs="Times New Roman"/>
          <w:szCs w:val="24"/>
        </w:rPr>
        <w:t>Absorción total de azufre para diversas dosis de potasio evaluadas en la provincia de Bolívar del 2006 al 2011.</w:t>
      </w:r>
      <w:bookmarkEnd w:id="1438"/>
    </w:p>
    <w:tbl>
      <w:tblPr>
        <w:tblW w:w="8063" w:type="dxa"/>
        <w:tblCellMar>
          <w:left w:w="70" w:type="dxa"/>
          <w:right w:w="70" w:type="dxa"/>
        </w:tblCellMar>
        <w:tblLook w:val="04A0" w:firstRow="1" w:lastRow="0" w:firstColumn="1" w:lastColumn="0" w:noHBand="0" w:noVBand="1"/>
      </w:tblPr>
      <w:tblGrid>
        <w:gridCol w:w="2191"/>
        <w:gridCol w:w="916"/>
        <w:gridCol w:w="547"/>
        <w:gridCol w:w="1931"/>
        <w:gridCol w:w="1239"/>
        <w:gridCol w:w="1239"/>
      </w:tblGrid>
      <w:tr w:rsidR="007E253F" w:rsidRPr="007E253F" w14:paraId="3DC6D0DF" w14:textId="77777777" w:rsidTr="00FA6594">
        <w:trPr>
          <w:trHeight w:val="288"/>
        </w:trPr>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BB629" w14:textId="77777777" w:rsidR="007E253F" w:rsidRPr="007E253F" w:rsidRDefault="007E253F" w:rsidP="00FA6594">
            <w:pPr>
              <w:spacing w:after="0"/>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K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1C81278" w14:textId="77777777" w:rsidR="007E253F" w:rsidRPr="007E253F" w:rsidRDefault="007E253F" w:rsidP="00FA6594">
            <w:pPr>
              <w:spacing w:after="0"/>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33795BB0" w14:textId="77777777" w:rsidR="007E253F" w:rsidRPr="007E253F" w:rsidRDefault="007E253F" w:rsidP="00FA6594">
            <w:pPr>
              <w:spacing w:after="0"/>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14:paraId="51BF3D76" w14:textId="77777777" w:rsidR="007E253F" w:rsidRPr="007E253F" w:rsidRDefault="007E253F" w:rsidP="00FA6594">
            <w:pPr>
              <w:spacing w:after="0"/>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239" w:type="dxa"/>
            <w:tcBorders>
              <w:top w:val="single" w:sz="4" w:space="0" w:color="auto"/>
              <w:left w:val="single" w:sz="4" w:space="0" w:color="auto"/>
              <w:bottom w:val="single" w:sz="4" w:space="0" w:color="auto"/>
            </w:tcBorders>
            <w:shd w:val="clear" w:color="auto" w:fill="auto"/>
            <w:noWrap/>
            <w:vAlign w:val="bottom"/>
            <w:hideMark/>
          </w:tcPr>
          <w:p w14:paraId="30A5BF7F" w14:textId="77777777" w:rsidR="007E253F" w:rsidRPr="007E253F" w:rsidRDefault="007E253F" w:rsidP="00FA6594">
            <w:pPr>
              <w:spacing w:after="0"/>
              <w:jc w:val="right"/>
              <w:rPr>
                <w:rFonts w:eastAsia="Times New Roman" w:cs="Times New Roman"/>
                <w:b/>
                <w:bCs/>
                <w:color w:val="000000"/>
                <w:szCs w:val="24"/>
                <w:lang w:eastAsia="es-EC"/>
              </w:rPr>
            </w:pPr>
            <w:r w:rsidRPr="007E253F">
              <w:rPr>
                <w:rFonts w:eastAsia="Times New Roman" w:cs="Times New Roman"/>
                <w:b/>
                <w:bCs/>
                <w:color w:val="000000"/>
                <w:szCs w:val="24"/>
                <w:lang w:eastAsia="es-EC"/>
              </w:rPr>
              <w:t>Lsd</w:t>
            </w:r>
          </w:p>
        </w:tc>
        <w:tc>
          <w:tcPr>
            <w:tcW w:w="1239" w:type="dxa"/>
            <w:tcBorders>
              <w:top w:val="single" w:sz="4" w:space="0" w:color="auto"/>
              <w:bottom w:val="single" w:sz="4" w:space="0" w:color="auto"/>
              <w:right w:val="single" w:sz="4" w:space="0" w:color="auto"/>
            </w:tcBorders>
            <w:shd w:val="clear" w:color="auto" w:fill="auto"/>
            <w:noWrap/>
            <w:vAlign w:val="bottom"/>
            <w:hideMark/>
          </w:tcPr>
          <w:p w14:paraId="61B026A1" w14:textId="77777777" w:rsidR="007E253F" w:rsidRPr="007E253F" w:rsidRDefault="007E253F" w:rsidP="00FA6594">
            <w:pPr>
              <w:spacing w:after="0"/>
              <w:rPr>
                <w:rFonts w:eastAsia="Times New Roman" w:cs="Times New Roman"/>
                <w:b/>
                <w:bCs/>
                <w:color w:val="000000"/>
                <w:szCs w:val="24"/>
                <w:lang w:eastAsia="es-EC"/>
              </w:rPr>
            </w:pPr>
            <w:r w:rsidRPr="007E253F">
              <w:rPr>
                <w:rFonts w:eastAsia="Times New Roman" w:cs="Times New Roman"/>
                <w:b/>
                <w:bCs/>
                <w:color w:val="000000"/>
                <w:szCs w:val="24"/>
                <w:lang w:eastAsia="es-EC"/>
              </w:rPr>
              <w:t>0,05</w:t>
            </w:r>
          </w:p>
        </w:tc>
      </w:tr>
      <w:tr w:rsidR="007E253F" w:rsidRPr="007E253F" w14:paraId="4E0B8988" w14:textId="77777777" w:rsidTr="00FA6594">
        <w:trPr>
          <w:trHeight w:val="288"/>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0F47C173"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916" w:type="dxa"/>
            <w:tcBorders>
              <w:top w:val="nil"/>
              <w:left w:val="nil"/>
              <w:bottom w:val="single" w:sz="4" w:space="0" w:color="auto"/>
              <w:right w:val="single" w:sz="4" w:space="0" w:color="auto"/>
            </w:tcBorders>
            <w:shd w:val="clear" w:color="auto" w:fill="auto"/>
            <w:noWrap/>
            <w:vAlign w:val="bottom"/>
            <w:hideMark/>
          </w:tcPr>
          <w:p w14:paraId="4ED5025D"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2,1</w:t>
            </w:r>
          </w:p>
        </w:tc>
        <w:tc>
          <w:tcPr>
            <w:tcW w:w="547" w:type="dxa"/>
            <w:tcBorders>
              <w:top w:val="nil"/>
              <w:left w:val="nil"/>
              <w:bottom w:val="single" w:sz="4" w:space="0" w:color="auto"/>
              <w:right w:val="single" w:sz="4" w:space="0" w:color="auto"/>
            </w:tcBorders>
            <w:shd w:val="clear" w:color="auto" w:fill="auto"/>
            <w:noWrap/>
            <w:vAlign w:val="bottom"/>
            <w:hideMark/>
          </w:tcPr>
          <w:p w14:paraId="5CC87C5B"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931" w:type="dxa"/>
            <w:tcBorders>
              <w:top w:val="nil"/>
              <w:left w:val="nil"/>
              <w:bottom w:val="single" w:sz="4" w:space="0" w:color="auto"/>
              <w:right w:val="single" w:sz="4" w:space="0" w:color="auto"/>
            </w:tcBorders>
            <w:shd w:val="clear" w:color="auto" w:fill="auto"/>
            <w:noWrap/>
            <w:vAlign w:val="bottom"/>
            <w:hideMark/>
          </w:tcPr>
          <w:p w14:paraId="12578F58"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0,54</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4422E61B"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09E26A0F" w14:textId="77777777" w:rsidR="007E253F" w:rsidRPr="007E253F" w:rsidRDefault="007E253F" w:rsidP="00FA6594">
            <w:pPr>
              <w:spacing w:after="0"/>
              <w:jc w:val="center"/>
              <w:rPr>
                <w:rFonts w:eastAsia="Times New Roman" w:cs="Times New Roman"/>
                <w:color w:val="000000"/>
                <w:szCs w:val="24"/>
                <w:lang w:eastAsia="es-EC"/>
              </w:rPr>
            </w:pPr>
          </w:p>
        </w:tc>
      </w:tr>
      <w:tr w:rsidR="007E253F" w:rsidRPr="007E253F" w14:paraId="574CA9B3" w14:textId="77777777" w:rsidTr="00FA6594">
        <w:trPr>
          <w:trHeight w:val="288"/>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2BA7F635"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916" w:type="dxa"/>
            <w:tcBorders>
              <w:top w:val="nil"/>
              <w:left w:val="nil"/>
              <w:bottom w:val="single" w:sz="4" w:space="0" w:color="auto"/>
              <w:right w:val="single" w:sz="4" w:space="0" w:color="auto"/>
            </w:tcBorders>
            <w:shd w:val="clear" w:color="auto" w:fill="auto"/>
            <w:noWrap/>
            <w:vAlign w:val="bottom"/>
            <w:hideMark/>
          </w:tcPr>
          <w:p w14:paraId="659D13E3"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2,13</w:t>
            </w:r>
          </w:p>
        </w:tc>
        <w:tc>
          <w:tcPr>
            <w:tcW w:w="547" w:type="dxa"/>
            <w:tcBorders>
              <w:top w:val="nil"/>
              <w:left w:val="nil"/>
              <w:bottom w:val="single" w:sz="4" w:space="0" w:color="auto"/>
              <w:right w:val="single" w:sz="4" w:space="0" w:color="auto"/>
            </w:tcBorders>
            <w:shd w:val="clear" w:color="auto" w:fill="auto"/>
            <w:noWrap/>
            <w:vAlign w:val="bottom"/>
            <w:hideMark/>
          </w:tcPr>
          <w:p w14:paraId="5610D3FD"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931" w:type="dxa"/>
            <w:tcBorders>
              <w:top w:val="nil"/>
              <w:left w:val="nil"/>
              <w:bottom w:val="single" w:sz="4" w:space="0" w:color="auto"/>
              <w:right w:val="single" w:sz="4" w:space="0" w:color="auto"/>
            </w:tcBorders>
            <w:shd w:val="clear" w:color="auto" w:fill="auto"/>
            <w:noWrap/>
            <w:vAlign w:val="bottom"/>
            <w:hideMark/>
          </w:tcPr>
          <w:p w14:paraId="5EA179A9"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1,26</w:t>
            </w:r>
          </w:p>
        </w:tc>
        <w:tc>
          <w:tcPr>
            <w:tcW w:w="1239" w:type="dxa"/>
            <w:tcBorders>
              <w:top w:val="nil"/>
              <w:left w:val="nil"/>
              <w:bottom w:val="single" w:sz="4" w:space="0" w:color="auto"/>
              <w:right w:val="single" w:sz="4" w:space="0" w:color="auto"/>
            </w:tcBorders>
            <w:shd w:val="clear" w:color="auto" w:fill="auto"/>
            <w:noWrap/>
            <w:vAlign w:val="bottom"/>
            <w:hideMark/>
          </w:tcPr>
          <w:p w14:paraId="73C51FAF"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39" w:type="dxa"/>
            <w:tcBorders>
              <w:top w:val="nil"/>
              <w:left w:val="nil"/>
              <w:bottom w:val="single" w:sz="4" w:space="0" w:color="auto"/>
              <w:right w:val="single" w:sz="4" w:space="0" w:color="auto"/>
            </w:tcBorders>
            <w:shd w:val="clear" w:color="auto" w:fill="auto"/>
            <w:noWrap/>
            <w:vAlign w:val="bottom"/>
            <w:hideMark/>
          </w:tcPr>
          <w:p w14:paraId="6C5D6DDD" w14:textId="77777777" w:rsidR="007E253F" w:rsidRPr="007E253F" w:rsidRDefault="007E253F" w:rsidP="00FA6594">
            <w:pPr>
              <w:spacing w:after="0"/>
              <w:jc w:val="center"/>
              <w:rPr>
                <w:rFonts w:eastAsia="Times New Roman" w:cs="Times New Roman"/>
                <w:color w:val="000000"/>
                <w:szCs w:val="24"/>
                <w:lang w:eastAsia="es-EC"/>
              </w:rPr>
            </w:pPr>
          </w:p>
        </w:tc>
      </w:tr>
      <w:tr w:rsidR="007E253F" w:rsidRPr="007E253F" w14:paraId="7B2B441C" w14:textId="77777777" w:rsidTr="00FA6594">
        <w:trPr>
          <w:trHeight w:val="288"/>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33171FF4"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916" w:type="dxa"/>
            <w:tcBorders>
              <w:top w:val="nil"/>
              <w:left w:val="nil"/>
              <w:bottom w:val="single" w:sz="4" w:space="0" w:color="auto"/>
              <w:right w:val="single" w:sz="4" w:space="0" w:color="auto"/>
            </w:tcBorders>
            <w:shd w:val="clear" w:color="auto" w:fill="auto"/>
            <w:noWrap/>
            <w:vAlign w:val="bottom"/>
            <w:hideMark/>
          </w:tcPr>
          <w:p w14:paraId="1931AB02"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2,57</w:t>
            </w:r>
          </w:p>
        </w:tc>
        <w:tc>
          <w:tcPr>
            <w:tcW w:w="547" w:type="dxa"/>
            <w:tcBorders>
              <w:top w:val="nil"/>
              <w:left w:val="nil"/>
              <w:bottom w:val="single" w:sz="4" w:space="0" w:color="auto"/>
              <w:right w:val="single" w:sz="4" w:space="0" w:color="auto"/>
            </w:tcBorders>
            <w:shd w:val="clear" w:color="auto" w:fill="auto"/>
            <w:noWrap/>
            <w:vAlign w:val="bottom"/>
            <w:hideMark/>
          </w:tcPr>
          <w:p w14:paraId="217A3DA0"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931" w:type="dxa"/>
            <w:tcBorders>
              <w:top w:val="nil"/>
              <w:left w:val="nil"/>
              <w:bottom w:val="single" w:sz="4" w:space="0" w:color="auto"/>
              <w:right w:val="single" w:sz="4" w:space="0" w:color="auto"/>
            </w:tcBorders>
            <w:shd w:val="clear" w:color="auto" w:fill="auto"/>
            <w:noWrap/>
            <w:vAlign w:val="bottom"/>
            <w:hideMark/>
          </w:tcPr>
          <w:p w14:paraId="699AEB0E"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1,26</w:t>
            </w:r>
          </w:p>
        </w:tc>
        <w:tc>
          <w:tcPr>
            <w:tcW w:w="1239" w:type="dxa"/>
            <w:tcBorders>
              <w:top w:val="nil"/>
              <w:left w:val="nil"/>
              <w:bottom w:val="single" w:sz="4" w:space="0" w:color="auto"/>
              <w:right w:val="single" w:sz="4" w:space="0" w:color="auto"/>
            </w:tcBorders>
            <w:shd w:val="clear" w:color="auto" w:fill="auto"/>
            <w:noWrap/>
            <w:vAlign w:val="bottom"/>
            <w:hideMark/>
          </w:tcPr>
          <w:p w14:paraId="7738604F"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39" w:type="dxa"/>
            <w:tcBorders>
              <w:top w:val="nil"/>
              <w:left w:val="nil"/>
              <w:bottom w:val="single" w:sz="4" w:space="0" w:color="auto"/>
              <w:right w:val="single" w:sz="4" w:space="0" w:color="auto"/>
            </w:tcBorders>
            <w:shd w:val="clear" w:color="auto" w:fill="auto"/>
            <w:noWrap/>
            <w:vAlign w:val="bottom"/>
            <w:hideMark/>
          </w:tcPr>
          <w:p w14:paraId="48D3A9F0" w14:textId="77777777" w:rsidR="007E253F" w:rsidRPr="007E253F" w:rsidRDefault="007E253F" w:rsidP="00FA6594">
            <w:pPr>
              <w:spacing w:after="0"/>
              <w:jc w:val="center"/>
              <w:rPr>
                <w:rFonts w:eastAsia="Times New Roman" w:cs="Times New Roman"/>
                <w:color w:val="000000"/>
                <w:szCs w:val="24"/>
                <w:lang w:eastAsia="es-EC"/>
              </w:rPr>
            </w:pPr>
          </w:p>
        </w:tc>
      </w:tr>
      <w:tr w:rsidR="007E253F" w:rsidRPr="007E253F" w14:paraId="1CF74857" w14:textId="77777777" w:rsidTr="00FA6594">
        <w:trPr>
          <w:trHeight w:val="288"/>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45E0E3E7"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916" w:type="dxa"/>
            <w:tcBorders>
              <w:top w:val="nil"/>
              <w:left w:val="nil"/>
              <w:bottom w:val="single" w:sz="4" w:space="0" w:color="auto"/>
              <w:right w:val="single" w:sz="4" w:space="0" w:color="auto"/>
            </w:tcBorders>
            <w:shd w:val="clear" w:color="auto" w:fill="auto"/>
            <w:noWrap/>
            <w:vAlign w:val="bottom"/>
            <w:hideMark/>
          </w:tcPr>
          <w:p w14:paraId="5F93E6F6"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9,92</w:t>
            </w:r>
          </w:p>
        </w:tc>
        <w:tc>
          <w:tcPr>
            <w:tcW w:w="547" w:type="dxa"/>
            <w:tcBorders>
              <w:top w:val="nil"/>
              <w:left w:val="nil"/>
              <w:bottom w:val="single" w:sz="4" w:space="0" w:color="auto"/>
              <w:right w:val="single" w:sz="4" w:space="0" w:color="auto"/>
            </w:tcBorders>
            <w:shd w:val="clear" w:color="auto" w:fill="auto"/>
            <w:noWrap/>
            <w:vAlign w:val="bottom"/>
            <w:hideMark/>
          </w:tcPr>
          <w:p w14:paraId="48106799"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931" w:type="dxa"/>
            <w:tcBorders>
              <w:top w:val="nil"/>
              <w:left w:val="nil"/>
              <w:bottom w:val="single" w:sz="4" w:space="0" w:color="auto"/>
              <w:right w:val="single" w:sz="4" w:space="0" w:color="auto"/>
            </w:tcBorders>
            <w:shd w:val="clear" w:color="auto" w:fill="auto"/>
            <w:noWrap/>
            <w:vAlign w:val="bottom"/>
            <w:hideMark/>
          </w:tcPr>
          <w:p w14:paraId="38633891"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0,47</w:t>
            </w:r>
          </w:p>
        </w:tc>
        <w:tc>
          <w:tcPr>
            <w:tcW w:w="1239" w:type="dxa"/>
            <w:tcBorders>
              <w:top w:val="nil"/>
              <w:left w:val="nil"/>
              <w:bottom w:val="single" w:sz="4" w:space="0" w:color="auto"/>
              <w:right w:val="single" w:sz="4" w:space="0" w:color="auto"/>
            </w:tcBorders>
            <w:shd w:val="clear" w:color="auto" w:fill="auto"/>
            <w:noWrap/>
            <w:vAlign w:val="bottom"/>
            <w:hideMark/>
          </w:tcPr>
          <w:p w14:paraId="517DE04D" w14:textId="77777777" w:rsidR="007E253F" w:rsidRPr="007E253F" w:rsidRDefault="007E253F" w:rsidP="00FA6594">
            <w:pPr>
              <w:spacing w:after="0"/>
              <w:jc w:val="center"/>
              <w:rPr>
                <w:rFonts w:eastAsia="Times New Roman" w:cs="Times New Roman"/>
                <w:color w:val="000000"/>
                <w:szCs w:val="24"/>
                <w:lang w:eastAsia="es-EC"/>
              </w:rPr>
            </w:pPr>
          </w:p>
        </w:tc>
        <w:tc>
          <w:tcPr>
            <w:tcW w:w="1239" w:type="dxa"/>
            <w:tcBorders>
              <w:top w:val="nil"/>
              <w:left w:val="nil"/>
              <w:bottom w:val="single" w:sz="4" w:space="0" w:color="auto"/>
              <w:right w:val="single" w:sz="4" w:space="0" w:color="auto"/>
            </w:tcBorders>
            <w:shd w:val="clear" w:color="auto" w:fill="auto"/>
            <w:noWrap/>
            <w:vAlign w:val="bottom"/>
            <w:hideMark/>
          </w:tcPr>
          <w:p w14:paraId="6512CAB4"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r w:rsidR="007E253F" w:rsidRPr="007E253F" w14:paraId="354ED36C" w14:textId="77777777" w:rsidTr="00FA6594">
        <w:trPr>
          <w:trHeight w:val="288"/>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14:paraId="559EE920"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916" w:type="dxa"/>
            <w:tcBorders>
              <w:top w:val="nil"/>
              <w:left w:val="nil"/>
              <w:bottom w:val="single" w:sz="4" w:space="0" w:color="auto"/>
              <w:right w:val="single" w:sz="4" w:space="0" w:color="auto"/>
            </w:tcBorders>
            <w:shd w:val="clear" w:color="auto" w:fill="auto"/>
            <w:noWrap/>
            <w:vAlign w:val="bottom"/>
            <w:hideMark/>
          </w:tcPr>
          <w:p w14:paraId="4C626151"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11,27</w:t>
            </w:r>
          </w:p>
        </w:tc>
        <w:tc>
          <w:tcPr>
            <w:tcW w:w="547" w:type="dxa"/>
            <w:tcBorders>
              <w:top w:val="nil"/>
              <w:left w:val="nil"/>
              <w:bottom w:val="single" w:sz="4" w:space="0" w:color="auto"/>
              <w:right w:val="single" w:sz="4" w:space="0" w:color="auto"/>
            </w:tcBorders>
            <w:shd w:val="clear" w:color="auto" w:fill="auto"/>
            <w:noWrap/>
            <w:vAlign w:val="bottom"/>
            <w:hideMark/>
          </w:tcPr>
          <w:p w14:paraId="753C4174"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931" w:type="dxa"/>
            <w:tcBorders>
              <w:top w:val="nil"/>
              <w:left w:val="nil"/>
              <w:bottom w:val="single" w:sz="4" w:space="0" w:color="auto"/>
              <w:right w:val="single" w:sz="4" w:space="0" w:color="auto"/>
            </w:tcBorders>
            <w:shd w:val="clear" w:color="auto" w:fill="auto"/>
            <w:noWrap/>
            <w:vAlign w:val="bottom"/>
            <w:hideMark/>
          </w:tcPr>
          <w:p w14:paraId="23A807F6"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2,81</w:t>
            </w:r>
          </w:p>
        </w:tc>
        <w:tc>
          <w:tcPr>
            <w:tcW w:w="1239" w:type="dxa"/>
            <w:tcBorders>
              <w:top w:val="nil"/>
              <w:left w:val="nil"/>
              <w:bottom w:val="single" w:sz="4" w:space="0" w:color="auto"/>
              <w:right w:val="single" w:sz="4" w:space="0" w:color="auto"/>
            </w:tcBorders>
            <w:shd w:val="clear" w:color="auto" w:fill="auto"/>
            <w:noWrap/>
            <w:vAlign w:val="bottom"/>
            <w:hideMark/>
          </w:tcPr>
          <w:p w14:paraId="004635EC" w14:textId="77777777" w:rsidR="007E253F" w:rsidRPr="007E253F" w:rsidRDefault="007E253F" w:rsidP="00FA6594">
            <w:pPr>
              <w:spacing w:after="0"/>
              <w:jc w:val="center"/>
              <w:rPr>
                <w:rFonts w:eastAsia="Times New Roman" w:cs="Times New Roman"/>
                <w:color w:val="000000"/>
                <w:szCs w:val="24"/>
                <w:lang w:eastAsia="es-EC"/>
              </w:rPr>
            </w:pPr>
          </w:p>
        </w:tc>
        <w:tc>
          <w:tcPr>
            <w:tcW w:w="1239" w:type="dxa"/>
            <w:tcBorders>
              <w:top w:val="nil"/>
              <w:left w:val="nil"/>
              <w:bottom w:val="single" w:sz="4" w:space="0" w:color="auto"/>
              <w:right w:val="single" w:sz="4" w:space="0" w:color="auto"/>
            </w:tcBorders>
            <w:shd w:val="clear" w:color="auto" w:fill="auto"/>
            <w:noWrap/>
            <w:vAlign w:val="bottom"/>
            <w:hideMark/>
          </w:tcPr>
          <w:p w14:paraId="208F5223" w14:textId="77777777" w:rsidR="007E253F" w:rsidRPr="007E253F" w:rsidRDefault="007E253F" w:rsidP="00FA6594">
            <w:pPr>
              <w:spacing w:after="0"/>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bl>
    <w:p w14:paraId="7ED58460" w14:textId="77777777" w:rsidR="00BC127C" w:rsidRDefault="007E253F" w:rsidP="00BC127C">
      <w:pPr>
        <w:autoSpaceDE w:val="0"/>
        <w:autoSpaceDN w:val="0"/>
        <w:adjustRightInd w:val="0"/>
        <w:spacing w:after="0" w:line="360" w:lineRule="auto"/>
        <w:rPr>
          <w:rFonts w:cs="Times New Roman"/>
          <w:szCs w:val="24"/>
        </w:rPr>
      </w:pPr>
      <w:r w:rsidRPr="007E253F">
        <w:rPr>
          <w:rFonts w:cs="Times New Roman"/>
          <w:szCs w:val="24"/>
        </w:rPr>
        <w:t>Medias con una letra común no son significativamente difer</w:t>
      </w:r>
      <w:r w:rsidR="00077513">
        <w:rPr>
          <w:rFonts w:cs="Times New Roman"/>
          <w:szCs w:val="24"/>
        </w:rPr>
        <w:t>entes (p &gt; 0,05)</w:t>
      </w:r>
      <w:bookmarkStart w:id="1439" w:name="_Toc79314041"/>
    </w:p>
    <w:p w14:paraId="5C77595A" w14:textId="72435E57" w:rsidR="00077513" w:rsidRPr="00BC127C" w:rsidRDefault="00077513" w:rsidP="00BC127C">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49</w:t>
      </w:r>
      <w:r w:rsidRPr="00077513">
        <w:rPr>
          <w:rFonts w:cs="Times New Roman"/>
          <w:b/>
          <w:i/>
          <w:iCs/>
          <w:szCs w:val="24"/>
        </w:rPr>
        <w:fldChar w:fldCharType="end"/>
      </w:r>
      <w:r w:rsidRPr="00077513">
        <w:rPr>
          <w:rFonts w:cs="Times New Roman"/>
          <w:b/>
          <w:szCs w:val="24"/>
        </w:rPr>
        <w:t xml:space="preserve">. </w:t>
      </w:r>
      <w:r w:rsidRPr="00077513">
        <w:rPr>
          <w:rFonts w:cs="Times New Roman"/>
          <w:szCs w:val="24"/>
        </w:rPr>
        <w:t>Absorción total de azufre para diversas dosis de azufre evaluadas en la provincia de Bolívar del 2006 al 2011.</w:t>
      </w:r>
      <w:bookmarkEnd w:id="1439"/>
    </w:p>
    <w:tbl>
      <w:tblPr>
        <w:tblW w:w="5267" w:type="dxa"/>
        <w:jc w:val="center"/>
        <w:tblCellMar>
          <w:left w:w="70" w:type="dxa"/>
          <w:right w:w="70" w:type="dxa"/>
        </w:tblCellMar>
        <w:tblLook w:val="04A0" w:firstRow="1" w:lastRow="0" w:firstColumn="1" w:lastColumn="0" w:noHBand="0" w:noVBand="1"/>
      </w:tblPr>
      <w:tblGrid>
        <w:gridCol w:w="1980"/>
        <w:gridCol w:w="887"/>
        <w:gridCol w:w="530"/>
        <w:gridCol w:w="1870"/>
      </w:tblGrid>
      <w:tr w:rsidR="007E253F" w:rsidRPr="007E253F" w14:paraId="0EEDBE03" w14:textId="77777777" w:rsidTr="006F57B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49D06"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S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0838B64A"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14:paraId="02B5F6D3"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19CAAA23"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29444565" w14:textId="77777777" w:rsidTr="006F57B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19F3388"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shd w:val="clear" w:color="auto" w:fill="auto"/>
            <w:noWrap/>
            <w:vAlign w:val="bottom"/>
            <w:hideMark/>
          </w:tcPr>
          <w:p w14:paraId="6388DC5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2,06</w:t>
            </w:r>
          </w:p>
        </w:tc>
        <w:tc>
          <w:tcPr>
            <w:tcW w:w="530" w:type="dxa"/>
            <w:tcBorders>
              <w:top w:val="nil"/>
              <w:left w:val="nil"/>
              <w:bottom w:val="single" w:sz="4" w:space="0" w:color="auto"/>
              <w:right w:val="single" w:sz="4" w:space="0" w:color="auto"/>
            </w:tcBorders>
            <w:shd w:val="clear" w:color="auto" w:fill="auto"/>
            <w:noWrap/>
            <w:vAlign w:val="bottom"/>
            <w:hideMark/>
          </w:tcPr>
          <w:p w14:paraId="14790F8E"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70" w:type="dxa"/>
            <w:tcBorders>
              <w:top w:val="nil"/>
              <w:left w:val="nil"/>
              <w:bottom w:val="single" w:sz="4" w:space="0" w:color="auto"/>
              <w:right w:val="single" w:sz="4" w:space="0" w:color="auto"/>
            </w:tcBorders>
            <w:shd w:val="clear" w:color="auto" w:fill="auto"/>
            <w:noWrap/>
            <w:vAlign w:val="bottom"/>
            <w:hideMark/>
          </w:tcPr>
          <w:p w14:paraId="0356854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0,54</w:t>
            </w:r>
          </w:p>
        </w:tc>
      </w:tr>
      <w:tr w:rsidR="007E253F" w:rsidRPr="007E253F" w14:paraId="322177B1" w14:textId="77777777" w:rsidTr="006F57B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B27018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627300C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3,44</w:t>
            </w:r>
          </w:p>
        </w:tc>
        <w:tc>
          <w:tcPr>
            <w:tcW w:w="530" w:type="dxa"/>
            <w:tcBorders>
              <w:top w:val="nil"/>
              <w:left w:val="nil"/>
              <w:bottom w:val="single" w:sz="4" w:space="0" w:color="auto"/>
              <w:right w:val="single" w:sz="4" w:space="0" w:color="auto"/>
            </w:tcBorders>
            <w:shd w:val="clear" w:color="auto" w:fill="auto"/>
            <w:noWrap/>
            <w:vAlign w:val="bottom"/>
            <w:hideMark/>
          </w:tcPr>
          <w:p w14:paraId="70F1662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870" w:type="dxa"/>
            <w:tcBorders>
              <w:top w:val="nil"/>
              <w:left w:val="nil"/>
              <w:bottom w:val="single" w:sz="4" w:space="0" w:color="auto"/>
              <w:right w:val="single" w:sz="4" w:space="0" w:color="auto"/>
            </w:tcBorders>
            <w:shd w:val="clear" w:color="auto" w:fill="auto"/>
            <w:noWrap/>
            <w:vAlign w:val="bottom"/>
            <w:hideMark/>
          </w:tcPr>
          <w:p w14:paraId="77E89ED0"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0,85</w:t>
            </w:r>
          </w:p>
        </w:tc>
      </w:tr>
      <w:tr w:rsidR="007E253F" w:rsidRPr="007E253F" w14:paraId="6051BB62" w14:textId="77777777" w:rsidTr="006F57B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98AF4"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2854A1B0"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9,92</w:t>
            </w:r>
          </w:p>
        </w:tc>
        <w:tc>
          <w:tcPr>
            <w:tcW w:w="530" w:type="dxa"/>
            <w:tcBorders>
              <w:top w:val="single" w:sz="4" w:space="0" w:color="auto"/>
              <w:left w:val="nil"/>
              <w:bottom w:val="single" w:sz="4" w:space="0" w:color="auto"/>
              <w:right w:val="single" w:sz="4" w:space="0" w:color="auto"/>
            </w:tcBorders>
            <w:shd w:val="clear" w:color="auto" w:fill="auto"/>
            <w:noWrap/>
            <w:vAlign w:val="bottom"/>
            <w:hideMark/>
          </w:tcPr>
          <w:p w14:paraId="51CB97C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0A89B782"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0,47</w:t>
            </w:r>
          </w:p>
        </w:tc>
      </w:tr>
    </w:tbl>
    <w:p w14:paraId="49375BD2" w14:textId="0E67E3F3" w:rsidR="00077513" w:rsidRPr="00077513" w:rsidRDefault="00077513" w:rsidP="00BC127C">
      <w:pPr>
        <w:pStyle w:val="Descripcin"/>
        <w:keepNext/>
        <w:spacing w:before="360"/>
        <w:rPr>
          <w:rFonts w:cs="Times New Roman"/>
          <w:i w:val="0"/>
          <w:iCs w:val="0"/>
          <w:color w:val="auto"/>
          <w:sz w:val="24"/>
          <w:szCs w:val="24"/>
          <w:lang w:eastAsia="en-US"/>
        </w:rPr>
      </w:pPr>
      <w:bookmarkStart w:id="1440" w:name="_Toc79314042"/>
      <w:r w:rsidRPr="00077513">
        <w:rPr>
          <w:rFonts w:cs="Times New Roman"/>
          <w:b/>
          <w:i w:val="0"/>
          <w:iCs w:val="0"/>
          <w:color w:val="auto"/>
          <w:sz w:val="24"/>
          <w:szCs w:val="24"/>
          <w:lang w:eastAsia="en-US"/>
        </w:rPr>
        <w:t xml:space="preserve">Cuadro </w:t>
      </w:r>
      <w:r w:rsidRPr="00077513">
        <w:rPr>
          <w:rFonts w:cs="Times New Roman"/>
          <w:b/>
          <w:i w:val="0"/>
          <w:iCs w:val="0"/>
          <w:color w:val="auto"/>
          <w:sz w:val="24"/>
          <w:szCs w:val="24"/>
          <w:lang w:eastAsia="en-US"/>
        </w:rPr>
        <w:fldChar w:fldCharType="begin"/>
      </w:r>
      <w:r w:rsidRPr="00077513">
        <w:rPr>
          <w:rFonts w:cs="Times New Roman"/>
          <w:b/>
          <w:i w:val="0"/>
          <w:iCs w:val="0"/>
          <w:color w:val="auto"/>
          <w:sz w:val="24"/>
          <w:szCs w:val="24"/>
          <w:lang w:eastAsia="en-US"/>
        </w:rPr>
        <w:instrText xml:space="preserve"> SEQ Cuadro \* ARABIC </w:instrText>
      </w:r>
      <w:r w:rsidRPr="00077513">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50</w:t>
      </w:r>
      <w:r w:rsidRPr="00077513">
        <w:rPr>
          <w:rFonts w:cs="Times New Roman"/>
          <w:b/>
          <w:i w:val="0"/>
          <w:iCs w:val="0"/>
          <w:color w:val="auto"/>
          <w:sz w:val="24"/>
          <w:szCs w:val="24"/>
          <w:lang w:eastAsia="en-US"/>
        </w:rPr>
        <w:fldChar w:fldCharType="end"/>
      </w:r>
      <w:r w:rsidRPr="00077513">
        <w:rPr>
          <w:rFonts w:cs="Times New Roman"/>
          <w:b/>
          <w:i w:val="0"/>
          <w:iCs w:val="0"/>
          <w:color w:val="auto"/>
          <w:sz w:val="24"/>
          <w:szCs w:val="24"/>
          <w:lang w:eastAsia="en-US"/>
        </w:rPr>
        <w:t xml:space="preserve">. </w:t>
      </w:r>
      <w:r w:rsidRPr="00077513">
        <w:rPr>
          <w:rFonts w:cs="Times New Roman"/>
          <w:i w:val="0"/>
          <w:iCs w:val="0"/>
          <w:color w:val="auto"/>
          <w:sz w:val="24"/>
          <w:szCs w:val="24"/>
          <w:lang w:eastAsia="en-US"/>
        </w:rPr>
        <w:t>. Absorción total de azufre para diversas dosis de magnesio evaluadas en la provincia de Bolívar del 2006 al 2011.</w:t>
      </w:r>
      <w:bookmarkEnd w:id="1440"/>
    </w:p>
    <w:tbl>
      <w:tblPr>
        <w:tblW w:w="5514" w:type="dxa"/>
        <w:jc w:val="center"/>
        <w:tblCellMar>
          <w:left w:w="70" w:type="dxa"/>
          <w:right w:w="70" w:type="dxa"/>
        </w:tblCellMar>
        <w:tblLook w:val="04A0" w:firstRow="1" w:lastRow="0" w:firstColumn="1" w:lastColumn="0" w:noHBand="0" w:noVBand="1"/>
      </w:tblPr>
      <w:tblGrid>
        <w:gridCol w:w="2227"/>
        <w:gridCol w:w="887"/>
        <w:gridCol w:w="425"/>
        <w:gridCol w:w="1975"/>
      </w:tblGrid>
      <w:tr w:rsidR="007E253F" w:rsidRPr="007E253F" w14:paraId="671D91C3" w14:textId="77777777" w:rsidTr="006F57BE">
        <w:trPr>
          <w:trHeight w:val="300"/>
          <w:jc w:val="center"/>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3EE91"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Mg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7F53FF46"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4750F06"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14:paraId="29CE36EB" w14:textId="77777777" w:rsidR="007E253F" w:rsidRPr="007E253F" w:rsidRDefault="007E253F" w:rsidP="00BC127C">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483A1BEA" w14:textId="77777777" w:rsidTr="006F57BE">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746DCF1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33AF6D3E"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2,03</w:t>
            </w:r>
          </w:p>
        </w:tc>
        <w:tc>
          <w:tcPr>
            <w:tcW w:w="425" w:type="dxa"/>
            <w:tcBorders>
              <w:top w:val="nil"/>
              <w:left w:val="nil"/>
              <w:bottom w:val="single" w:sz="4" w:space="0" w:color="auto"/>
              <w:right w:val="single" w:sz="4" w:space="0" w:color="auto"/>
            </w:tcBorders>
            <w:shd w:val="clear" w:color="auto" w:fill="auto"/>
            <w:noWrap/>
            <w:vAlign w:val="bottom"/>
            <w:hideMark/>
          </w:tcPr>
          <w:p w14:paraId="6BFEB7F7"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975" w:type="dxa"/>
            <w:tcBorders>
              <w:top w:val="nil"/>
              <w:left w:val="nil"/>
              <w:bottom w:val="single" w:sz="4" w:space="0" w:color="auto"/>
              <w:right w:val="single" w:sz="4" w:space="0" w:color="auto"/>
            </w:tcBorders>
            <w:shd w:val="clear" w:color="auto" w:fill="auto"/>
            <w:noWrap/>
            <w:vAlign w:val="bottom"/>
            <w:hideMark/>
          </w:tcPr>
          <w:p w14:paraId="25E473C5"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0,54</w:t>
            </w:r>
          </w:p>
        </w:tc>
      </w:tr>
      <w:tr w:rsidR="007E253F" w:rsidRPr="007E253F" w14:paraId="486FB646" w14:textId="77777777" w:rsidTr="006F57BE">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784DC78E"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5AED93D6"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w:t>
            </w:r>
          </w:p>
        </w:tc>
        <w:tc>
          <w:tcPr>
            <w:tcW w:w="425" w:type="dxa"/>
            <w:tcBorders>
              <w:top w:val="nil"/>
              <w:left w:val="nil"/>
              <w:bottom w:val="single" w:sz="4" w:space="0" w:color="auto"/>
              <w:right w:val="single" w:sz="4" w:space="0" w:color="auto"/>
            </w:tcBorders>
            <w:shd w:val="clear" w:color="auto" w:fill="auto"/>
            <w:noWrap/>
            <w:vAlign w:val="bottom"/>
            <w:hideMark/>
          </w:tcPr>
          <w:p w14:paraId="674D5F5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975" w:type="dxa"/>
            <w:tcBorders>
              <w:top w:val="nil"/>
              <w:left w:val="nil"/>
              <w:bottom w:val="single" w:sz="4" w:space="0" w:color="auto"/>
              <w:right w:val="single" w:sz="4" w:space="0" w:color="auto"/>
            </w:tcBorders>
            <w:shd w:val="clear" w:color="auto" w:fill="auto"/>
            <w:noWrap/>
            <w:vAlign w:val="bottom"/>
            <w:hideMark/>
          </w:tcPr>
          <w:p w14:paraId="1E4E99D1"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0,85</w:t>
            </w:r>
          </w:p>
        </w:tc>
      </w:tr>
      <w:tr w:rsidR="007E253F" w:rsidRPr="007E253F" w14:paraId="3165FFBE" w14:textId="77777777" w:rsidTr="006F57BE">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00B082FC"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shd w:val="clear" w:color="auto" w:fill="auto"/>
            <w:noWrap/>
            <w:vAlign w:val="bottom"/>
            <w:hideMark/>
          </w:tcPr>
          <w:p w14:paraId="0E9DB213"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9,92</w:t>
            </w:r>
          </w:p>
        </w:tc>
        <w:tc>
          <w:tcPr>
            <w:tcW w:w="425" w:type="dxa"/>
            <w:tcBorders>
              <w:top w:val="nil"/>
              <w:left w:val="nil"/>
              <w:bottom w:val="single" w:sz="4" w:space="0" w:color="auto"/>
              <w:right w:val="single" w:sz="4" w:space="0" w:color="auto"/>
            </w:tcBorders>
            <w:shd w:val="clear" w:color="auto" w:fill="auto"/>
            <w:noWrap/>
            <w:vAlign w:val="bottom"/>
            <w:hideMark/>
          </w:tcPr>
          <w:p w14:paraId="52C5430B"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975" w:type="dxa"/>
            <w:tcBorders>
              <w:top w:val="nil"/>
              <w:left w:val="nil"/>
              <w:bottom w:val="single" w:sz="4" w:space="0" w:color="auto"/>
              <w:right w:val="single" w:sz="4" w:space="0" w:color="auto"/>
            </w:tcBorders>
            <w:shd w:val="clear" w:color="auto" w:fill="auto"/>
            <w:noWrap/>
            <w:vAlign w:val="bottom"/>
            <w:hideMark/>
          </w:tcPr>
          <w:p w14:paraId="74A9CE8D" w14:textId="77777777" w:rsidR="007E253F" w:rsidRPr="007E253F" w:rsidRDefault="007E253F" w:rsidP="00BC127C">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0,47</w:t>
            </w:r>
          </w:p>
        </w:tc>
      </w:tr>
    </w:tbl>
    <w:p w14:paraId="418CD211" w14:textId="7D6F7222" w:rsidR="00371049" w:rsidRDefault="00DE3875" w:rsidP="00BC127C">
      <w:pPr>
        <w:autoSpaceDE w:val="0"/>
        <w:autoSpaceDN w:val="0"/>
        <w:adjustRightInd w:val="0"/>
        <w:spacing w:before="360" w:after="0" w:line="360" w:lineRule="auto"/>
        <w:rPr>
          <w:rFonts w:cs="Times New Roman"/>
          <w:bCs/>
          <w:szCs w:val="24"/>
        </w:rPr>
      </w:pPr>
      <w:r>
        <w:rPr>
          <w:rFonts w:cs="Times New Roman"/>
          <w:bCs/>
          <w:szCs w:val="24"/>
        </w:rPr>
        <w:t xml:space="preserve">El efecto de los nutrientes que fueron significativos (p&lt;0,001) </w:t>
      </w:r>
      <w:r w:rsidR="007E253F" w:rsidRPr="007E253F">
        <w:rPr>
          <w:rFonts w:cs="Times New Roman"/>
          <w:bCs/>
          <w:szCs w:val="24"/>
        </w:rPr>
        <w:t xml:space="preserve">sobre la absorción total de azufre de maíz en la provincia de Bolívar se observa en </w:t>
      </w:r>
      <w:r w:rsidR="00185D16">
        <w:rPr>
          <w:rFonts w:cs="Times New Roman"/>
          <w:bCs/>
          <w:szCs w:val="24"/>
        </w:rPr>
        <w:t>la</w:t>
      </w:r>
      <w:r w:rsidR="007E253F" w:rsidRPr="007E253F">
        <w:rPr>
          <w:rFonts w:cs="Times New Roman"/>
          <w:bCs/>
          <w:szCs w:val="24"/>
        </w:rPr>
        <w:t xml:space="preserve"> siguiente </w:t>
      </w:r>
      <w:r w:rsidR="00185D16">
        <w:rPr>
          <w:rFonts w:cs="Times New Roman"/>
          <w:bCs/>
          <w:szCs w:val="24"/>
        </w:rPr>
        <w:t>figura</w:t>
      </w:r>
      <w:r w:rsidR="006227BB">
        <w:rPr>
          <w:rFonts w:cs="Times New Roman"/>
          <w:bCs/>
          <w:szCs w:val="24"/>
        </w:rPr>
        <w:t>:</w:t>
      </w:r>
    </w:p>
    <w:p w14:paraId="726FF40F" w14:textId="422C775E" w:rsidR="007E253F" w:rsidRPr="00371049" w:rsidRDefault="006227BB" w:rsidP="00135DE8">
      <w:pPr>
        <w:pStyle w:val="Ttulo1"/>
        <w:numPr>
          <w:ilvl w:val="0"/>
          <w:numId w:val="25"/>
        </w:numPr>
        <w:spacing w:after="0"/>
        <w:rPr>
          <w:szCs w:val="24"/>
        </w:rPr>
      </w:pPr>
      <w:bookmarkStart w:id="1441" w:name="_Toc72704033"/>
      <w:bookmarkStart w:id="1442" w:name="_Toc72704557"/>
      <w:bookmarkStart w:id="1443" w:name="_Toc72705621"/>
      <w:bookmarkStart w:id="1444" w:name="_Toc72706260"/>
      <w:bookmarkStart w:id="1445" w:name="_Toc72741210"/>
      <w:bookmarkStart w:id="1446" w:name="_Toc72742806"/>
      <w:bookmarkStart w:id="1447" w:name="_Toc72881174"/>
      <w:bookmarkStart w:id="1448" w:name="_Toc72881545"/>
      <w:bookmarkStart w:id="1449" w:name="_Toc75606417"/>
      <w:bookmarkStart w:id="1450" w:name="_Toc75608970"/>
      <w:bookmarkStart w:id="1451" w:name="_Toc75611896"/>
      <w:bookmarkStart w:id="1452" w:name="_Toc75612742"/>
      <w:bookmarkStart w:id="1453" w:name="_Toc75679898"/>
      <w:bookmarkStart w:id="1454" w:name="_Toc75702506"/>
      <w:bookmarkStart w:id="1455" w:name="_Toc79313219"/>
      <w:bookmarkStart w:id="1456" w:name="_Toc80008421"/>
      <w:bookmarkStart w:id="1457" w:name="_Toc80312314"/>
      <w:r>
        <w:rPr>
          <w:rStyle w:val="Ttulo1Car"/>
        </w:rPr>
        <w:t>P</w:t>
      </w:r>
      <w:r w:rsidR="00371049" w:rsidRPr="00371049">
        <w:rPr>
          <w:rStyle w:val="Ttulo1Car"/>
        </w:rPr>
        <w:t>otasio</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3D962C20" w14:textId="77777777" w:rsidR="007E253F" w:rsidRPr="007E253F" w:rsidRDefault="007E253F" w:rsidP="007E253F">
      <w:pPr>
        <w:autoSpaceDE w:val="0"/>
        <w:autoSpaceDN w:val="0"/>
        <w:adjustRightInd w:val="0"/>
        <w:spacing w:after="0" w:line="360" w:lineRule="auto"/>
        <w:rPr>
          <w:rFonts w:cs="Times New Roman"/>
          <w:szCs w:val="24"/>
        </w:rPr>
      </w:pPr>
      <w:r w:rsidRPr="007E253F">
        <w:rPr>
          <w:rFonts w:cs="Times New Roman"/>
          <w:noProof/>
          <w:szCs w:val="24"/>
          <w:lang w:eastAsia="es-EC"/>
        </w:rPr>
        <w:drawing>
          <wp:anchor distT="0" distB="0" distL="114300" distR="114300" simplePos="0" relativeHeight="251673600" behindDoc="0" locked="0" layoutInCell="1" allowOverlap="1" wp14:anchorId="6FDF3763" wp14:editId="4EE16A28">
            <wp:simplePos x="0" y="0"/>
            <wp:positionH relativeFrom="margin">
              <wp:posOffset>912495</wp:posOffset>
            </wp:positionH>
            <wp:positionV relativeFrom="paragraph">
              <wp:posOffset>158686</wp:posOffset>
            </wp:positionV>
            <wp:extent cx="3519170" cy="1998345"/>
            <wp:effectExtent l="0" t="0" r="5080" b="1905"/>
            <wp:wrapSquare wrapText="bothSides"/>
            <wp:docPr id="31" name="Gráfico 31">
              <a:extLst xmlns:a="http://schemas.openxmlformats.org/drawingml/2006/main">
                <a:ext uri="{FF2B5EF4-FFF2-40B4-BE49-F238E27FC236}">
                  <a16:creationId xmlns:a16="http://schemas.microsoft.com/office/drawing/2014/main" id="{12ACDA64-2EDF-4CA8-9BFF-FFCBDBDBB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527A223" w14:textId="77777777" w:rsidR="007E253F" w:rsidRPr="007E253F" w:rsidRDefault="007E253F" w:rsidP="007E253F">
      <w:pPr>
        <w:autoSpaceDE w:val="0"/>
        <w:autoSpaceDN w:val="0"/>
        <w:adjustRightInd w:val="0"/>
        <w:spacing w:after="0" w:line="360" w:lineRule="auto"/>
        <w:jc w:val="right"/>
        <w:rPr>
          <w:rFonts w:cs="Times New Roman"/>
          <w:szCs w:val="24"/>
        </w:rPr>
      </w:pPr>
    </w:p>
    <w:p w14:paraId="1C8402BE" w14:textId="77777777" w:rsidR="007E253F" w:rsidRPr="007E253F" w:rsidRDefault="007E253F" w:rsidP="007E253F">
      <w:pPr>
        <w:autoSpaceDE w:val="0"/>
        <w:autoSpaceDN w:val="0"/>
        <w:adjustRightInd w:val="0"/>
        <w:spacing w:after="0" w:line="360" w:lineRule="auto"/>
        <w:jc w:val="right"/>
        <w:rPr>
          <w:rFonts w:cs="Times New Roman"/>
          <w:szCs w:val="24"/>
        </w:rPr>
      </w:pPr>
    </w:p>
    <w:p w14:paraId="0F69E754" w14:textId="77777777" w:rsidR="007E253F" w:rsidRPr="007E253F" w:rsidRDefault="007E253F" w:rsidP="007E253F">
      <w:pPr>
        <w:autoSpaceDE w:val="0"/>
        <w:autoSpaceDN w:val="0"/>
        <w:adjustRightInd w:val="0"/>
        <w:spacing w:after="0" w:line="360" w:lineRule="auto"/>
        <w:jc w:val="right"/>
        <w:rPr>
          <w:rFonts w:cs="Times New Roman"/>
          <w:szCs w:val="24"/>
        </w:rPr>
      </w:pPr>
    </w:p>
    <w:p w14:paraId="6CDC2CBF" w14:textId="77777777" w:rsidR="007E253F" w:rsidRPr="007E253F" w:rsidRDefault="007E253F" w:rsidP="007E253F">
      <w:pPr>
        <w:autoSpaceDE w:val="0"/>
        <w:autoSpaceDN w:val="0"/>
        <w:adjustRightInd w:val="0"/>
        <w:spacing w:after="0" w:line="360" w:lineRule="auto"/>
        <w:jc w:val="right"/>
        <w:rPr>
          <w:rFonts w:cs="Times New Roman"/>
          <w:szCs w:val="24"/>
        </w:rPr>
      </w:pPr>
    </w:p>
    <w:p w14:paraId="55AD942C" w14:textId="77777777" w:rsidR="007E253F" w:rsidRPr="007E253F" w:rsidRDefault="007E253F" w:rsidP="007E253F">
      <w:pPr>
        <w:rPr>
          <w:rFonts w:cs="Times New Roman"/>
          <w:szCs w:val="24"/>
        </w:rPr>
      </w:pPr>
    </w:p>
    <w:p w14:paraId="7F1A2E54" w14:textId="77777777" w:rsidR="007E253F" w:rsidRPr="007E253F" w:rsidRDefault="007E253F" w:rsidP="007E253F">
      <w:pPr>
        <w:rPr>
          <w:rFonts w:cs="Times New Roman"/>
          <w:szCs w:val="24"/>
        </w:rPr>
      </w:pPr>
    </w:p>
    <w:p w14:paraId="2A703E42" w14:textId="77777777" w:rsidR="007E253F" w:rsidRPr="007E253F" w:rsidRDefault="007E253F" w:rsidP="007E253F">
      <w:pPr>
        <w:rPr>
          <w:rFonts w:cs="Times New Roman"/>
          <w:szCs w:val="24"/>
        </w:rPr>
      </w:pPr>
    </w:p>
    <w:p w14:paraId="390D5B21" w14:textId="152DA415" w:rsidR="00371049" w:rsidRPr="00371049" w:rsidRDefault="006227BB" w:rsidP="00135DE8">
      <w:pPr>
        <w:pStyle w:val="Ttulo1"/>
        <w:numPr>
          <w:ilvl w:val="0"/>
          <w:numId w:val="25"/>
        </w:numPr>
        <w:spacing w:after="0"/>
        <w:rPr>
          <w:szCs w:val="24"/>
        </w:rPr>
      </w:pPr>
      <w:bookmarkStart w:id="1458" w:name="_Toc72704034"/>
      <w:bookmarkStart w:id="1459" w:name="_Toc72704558"/>
      <w:bookmarkStart w:id="1460" w:name="_Toc72705622"/>
      <w:bookmarkStart w:id="1461" w:name="_Toc72706261"/>
      <w:bookmarkStart w:id="1462" w:name="_Toc72741211"/>
      <w:bookmarkStart w:id="1463" w:name="_Toc72742807"/>
      <w:bookmarkStart w:id="1464" w:name="_Toc72881175"/>
      <w:bookmarkStart w:id="1465" w:name="_Toc72881546"/>
      <w:bookmarkStart w:id="1466" w:name="_Toc75606418"/>
      <w:bookmarkStart w:id="1467" w:name="_Toc75608971"/>
      <w:bookmarkStart w:id="1468" w:name="_Toc75611897"/>
      <w:bookmarkStart w:id="1469" w:name="_Toc75612743"/>
      <w:bookmarkStart w:id="1470" w:name="_Toc75679899"/>
      <w:bookmarkStart w:id="1471" w:name="_Toc75702507"/>
      <w:bookmarkStart w:id="1472" w:name="_Toc79313220"/>
      <w:bookmarkStart w:id="1473" w:name="_Toc80008422"/>
      <w:bookmarkStart w:id="1474" w:name="_Toc80312315"/>
      <w:r>
        <w:rPr>
          <w:rStyle w:val="Ttulo1Car"/>
        </w:rPr>
        <w:lastRenderedPageBreak/>
        <w:t>N</w:t>
      </w:r>
      <w:r w:rsidR="00371049">
        <w:rPr>
          <w:rStyle w:val="Ttulo1Car"/>
        </w:rPr>
        <w:t>itrógeno</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00371049">
        <w:rPr>
          <w:rStyle w:val="Ttulo1Car"/>
        </w:rPr>
        <w:t xml:space="preserve">  </w:t>
      </w:r>
    </w:p>
    <w:p w14:paraId="42DC8C30" w14:textId="4FE9D0CC" w:rsidR="007E253F" w:rsidRDefault="00077513" w:rsidP="007E253F">
      <w:pPr>
        <w:jc w:val="center"/>
        <w:rPr>
          <w:rFonts w:cs="Times New Roman"/>
          <w:szCs w:val="24"/>
        </w:rPr>
      </w:pPr>
      <w:r w:rsidRPr="007E253F">
        <w:rPr>
          <w:noProof/>
          <w:szCs w:val="24"/>
          <w:lang w:eastAsia="es-EC"/>
        </w:rPr>
        <w:drawing>
          <wp:inline distT="0" distB="0" distL="0" distR="0" wp14:anchorId="372F79DB" wp14:editId="3362A857">
            <wp:extent cx="4029075" cy="2295525"/>
            <wp:effectExtent l="0" t="0" r="9525" b="9525"/>
            <wp:docPr id="48" name="Gráfico 48">
              <a:extLst xmlns:a="http://schemas.openxmlformats.org/drawingml/2006/main">
                <a:ext uri="{FF2B5EF4-FFF2-40B4-BE49-F238E27FC236}">
                  <a16:creationId xmlns:a16="http://schemas.microsoft.com/office/drawing/2014/main" id="{8FD3F6DE-C0AB-42B7-AE15-28C457D57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908AE1" w14:textId="2CE61920" w:rsidR="00371049" w:rsidRPr="00371049" w:rsidRDefault="00371049" w:rsidP="00135DE8">
      <w:pPr>
        <w:pStyle w:val="Ttulo1"/>
        <w:numPr>
          <w:ilvl w:val="0"/>
          <w:numId w:val="25"/>
        </w:numPr>
        <w:spacing w:after="0"/>
        <w:rPr>
          <w:szCs w:val="24"/>
        </w:rPr>
      </w:pPr>
      <w:bookmarkStart w:id="1475" w:name="_Toc72704035"/>
      <w:bookmarkStart w:id="1476" w:name="_Toc72704559"/>
      <w:bookmarkStart w:id="1477" w:name="_Toc72705623"/>
      <w:bookmarkStart w:id="1478" w:name="_Toc72706262"/>
      <w:bookmarkStart w:id="1479" w:name="_Toc72741212"/>
      <w:bookmarkStart w:id="1480" w:name="_Toc72742808"/>
      <w:bookmarkStart w:id="1481" w:name="_Toc72881176"/>
      <w:bookmarkStart w:id="1482" w:name="_Toc72881547"/>
      <w:bookmarkStart w:id="1483" w:name="_Toc75606419"/>
      <w:bookmarkStart w:id="1484" w:name="_Toc75608972"/>
      <w:bookmarkStart w:id="1485" w:name="_Toc75611898"/>
      <w:bookmarkStart w:id="1486" w:name="_Toc75612744"/>
      <w:bookmarkStart w:id="1487" w:name="_Toc75679900"/>
      <w:bookmarkStart w:id="1488" w:name="_Toc75702508"/>
      <w:bookmarkStart w:id="1489" w:name="_Toc79313221"/>
      <w:bookmarkStart w:id="1490" w:name="_Toc80008423"/>
      <w:bookmarkStart w:id="1491" w:name="_Toc80312316"/>
      <w:r>
        <w:rPr>
          <w:rStyle w:val="Ttulo1Car"/>
        </w:rPr>
        <w:t>F</w:t>
      </w:r>
      <w:r w:rsidR="005A6120">
        <w:rPr>
          <w:rStyle w:val="Ttulo1Car"/>
        </w:rPr>
        <w:t>ó</w:t>
      </w:r>
      <w:r>
        <w:rPr>
          <w:rStyle w:val="Ttulo1Car"/>
        </w:rPr>
        <w:t>sforo</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4231BE47" w14:textId="74D49E58" w:rsidR="00077513" w:rsidRDefault="00077513" w:rsidP="00077513">
      <w:pPr>
        <w:autoSpaceDE w:val="0"/>
        <w:autoSpaceDN w:val="0"/>
        <w:adjustRightInd w:val="0"/>
        <w:spacing w:after="0" w:line="360" w:lineRule="auto"/>
        <w:jc w:val="center"/>
        <w:rPr>
          <w:rFonts w:cs="Times New Roman"/>
          <w:szCs w:val="24"/>
        </w:rPr>
      </w:pPr>
      <w:r w:rsidRPr="007E253F">
        <w:rPr>
          <w:rFonts w:cs="Times New Roman"/>
          <w:noProof/>
          <w:szCs w:val="24"/>
          <w:lang w:eastAsia="es-EC"/>
        </w:rPr>
        <w:drawing>
          <wp:inline distT="0" distB="0" distL="0" distR="0" wp14:anchorId="1BCB92CD" wp14:editId="25681AEB">
            <wp:extent cx="4076700" cy="1981200"/>
            <wp:effectExtent l="0" t="0" r="0" b="0"/>
            <wp:docPr id="27" name="Gráfico 27">
              <a:extLst xmlns:a="http://schemas.openxmlformats.org/drawingml/2006/main">
                <a:ext uri="{FF2B5EF4-FFF2-40B4-BE49-F238E27FC236}">
                  <a16:creationId xmlns:a16="http://schemas.microsoft.com/office/drawing/2014/main" id="{C454F27D-4D3B-4CC6-89C3-4B4573E35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373B1B" w14:textId="67C5506A" w:rsidR="007E253F" w:rsidRPr="00371049" w:rsidRDefault="007E253F" w:rsidP="005A6120">
      <w:pPr>
        <w:autoSpaceDE w:val="0"/>
        <w:autoSpaceDN w:val="0"/>
        <w:adjustRightInd w:val="0"/>
        <w:spacing w:before="360" w:after="0" w:line="360" w:lineRule="auto"/>
        <w:rPr>
          <w:rFonts w:cs="Times New Roman"/>
          <w:szCs w:val="24"/>
        </w:rPr>
      </w:pPr>
      <w:r w:rsidRPr="00371049">
        <w:rPr>
          <w:rFonts w:cs="Times New Roman"/>
          <w:szCs w:val="24"/>
        </w:rPr>
        <w:t>Efecto de los macronutrientes</w:t>
      </w:r>
      <w:r w:rsidR="00DE3875">
        <w:rPr>
          <w:rFonts w:cs="Times New Roman"/>
          <w:szCs w:val="24"/>
        </w:rPr>
        <w:t xml:space="preserve"> a) potasio b) nitrógeno c) fósforo  </w:t>
      </w:r>
      <w:r w:rsidRPr="00371049">
        <w:rPr>
          <w:rFonts w:cs="Times New Roman"/>
          <w:szCs w:val="24"/>
        </w:rPr>
        <w:t xml:space="preserve"> sobre la a</w:t>
      </w:r>
      <w:r w:rsidR="005F2CA6">
        <w:rPr>
          <w:rFonts w:cs="Times New Roman"/>
          <w:szCs w:val="24"/>
        </w:rPr>
        <w:t>b</w:t>
      </w:r>
      <w:r w:rsidRPr="00371049">
        <w:rPr>
          <w:rFonts w:cs="Times New Roman"/>
          <w:szCs w:val="24"/>
        </w:rPr>
        <w:t>sorción total de azufre en maíz suave en la provincia de Bolívar (2006-2011).</w:t>
      </w:r>
    </w:p>
    <w:p w14:paraId="50DFAE37" w14:textId="7453422F" w:rsidR="007E253F" w:rsidRPr="007E253F" w:rsidRDefault="007E253F" w:rsidP="00380191">
      <w:pPr>
        <w:pStyle w:val="Ttulo3"/>
        <w:numPr>
          <w:ilvl w:val="2"/>
          <w:numId w:val="50"/>
        </w:numPr>
        <w:spacing w:before="360" w:after="360"/>
      </w:pPr>
      <w:bookmarkStart w:id="1492" w:name="_Toc80312317"/>
      <w:r w:rsidRPr="007E253F">
        <w:t>A</w:t>
      </w:r>
      <w:r w:rsidR="005F2CA6">
        <w:t>b</w:t>
      </w:r>
      <w:r w:rsidRPr="007E253F">
        <w:t xml:space="preserve">sorción de </w:t>
      </w:r>
      <w:r w:rsidRPr="00380191">
        <w:rPr>
          <w:color w:val="000000"/>
        </w:rPr>
        <w:t xml:space="preserve">magnesio </w:t>
      </w:r>
      <w:r w:rsidRPr="007E253F">
        <w:t>(Kg</w:t>
      </w:r>
      <w:r w:rsidRPr="00380191">
        <w:rPr>
          <w:rFonts w:eastAsia="Times New Roman"/>
          <w:color w:val="000000"/>
          <w:lang w:eastAsia="es-EC"/>
        </w:rPr>
        <w:t>/</w:t>
      </w:r>
      <w:r w:rsidRPr="007E253F">
        <w:t>ha</w:t>
      </w:r>
      <w:r w:rsidRPr="00380191">
        <w:rPr>
          <w:vertAlign w:val="superscript"/>
        </w:rPr>
        <w:t>-1</w:t>
      </w:r>
      <w:r w:rsidRPr="007E253F">
        <w:t>)</w:t>
      </w:r>
      <w:bookmarkEnd w:id="1492"/>
      <w:r w:rsidRPr="00380191">
        <w:rPr>
          <w:color w:val="000000"/>
        </w:rPr>
        <w:t xml:space="preserve"> </w:t>
      </w:r>
    </w:p>
    <w:p w14:paraId="335F897A" w14:textId="163BD7F9" w:rsidR="007E253F" w:rsidRDefault="007E253F" w:rsidP="00077513">
      <w:pPr>
        <w:autoSpaceDE w:val="0"/>
        <w:autoSpaceDN w:val="0"/>
        <w:adjustRightInd w:val="0"/>
        <w:spacing w:after="0" w:line="360" w:lineRule="auto"/>
        <w:rPr>
          <w:rFonts w:cs="Times New Roman"/>
          <w:b/>
          <w:bCs/>
          <w:color w:val="0000FF"/>
        </w:rPr>
      </w:pPr>
      <w:r w:rsidRPr="007E253F">
        <w:rPr>
          <w:rFonts w:cs="Times New Roman"/>
          <w:szCs w:val="24"/>
        </w:rPr>
        <w:t>Al utilizar el modelo estadístico para la absorción total de magnesio, se detectaron diferencias estadísticas significativas (p &lt;0,05) para las fuentes de variación de nitrógeno, fósforo y potasio; mientras que no fueron significativos para dosis de, azufre, magnesio (</w:t>
      </w:r>
      <w:r w:rsidR="006F57BE">
        <w:rPr>
          <w:rFonts w:cs="Times New Roman"/>
          <w:szCs w:val="24"/>
        </w:rPr>
        <w:t>Cuadro</w:t>
      </w:r>
      <w:r w:rsidR="00371049">
        <w:rPr>
          <w:rFonts w:cs="Times New Roman"/>
          <w:szCs w:val="24"/>
        </w:rPr>
        <w:t xml:space="preserve"> </w:t>
      </w:r>
      <w:r w:rsidRPr="007E253F">
        <w:rPr>
          <w:rFonts w:cs="Times New Roman"/>
          <w:szCs w:val="24"/>
        </w:rPr>
        <w:t xml:space="preserve">51). Por lo tanto, las dosis de los fertilizantes con N, P, K afectaron a esta variable. Cantón también tuvo un efecto significativo sobre la absorción de magnesio. El </w:t>
      </w:r>
      <w:bookmarkStart w:id="1493" w:name="_Hlk69441226"/>
      <w:r w:rsidRPr="007E253F">
        <w:rPr>
          <w:rFonts w:cs="Times New Roman"/>
          <w:szCs w:val="24"/>
        </w:rPr>
        <w:t>promedio general de la absorción total de magnesio fue 17,69 Kg/ha</w:t>
      </w:r>
      <w:r w:rsidRPr="007E253F">
        <w:rPr>
          <w:rFonts w:cs="Times New Roman"/>
          <w:szCs w:val="24"/>
          <w:vertAlign w:val="superscript"/>
        </w:rPr>
        <w:t>-1</w:t>
      </w:r>
      <w:r w:rsidRPr="007E253F">
        <w:rPr>
          <w:rFonts w:cs="Times New Roman"/>
          <w:szCs w:val="24"/>
        </w:rPr>
        <w:t>; con un R</w:t>
      </w:r>
      <w:r w:rsidRPr="007E253F">
        <w:rPr>
          <w:rFonts w:cs="Times New Roman"/>
          <w:szCs w:val="24"/>
          <w:vertAlign w:val="superscript"/>
        </w:rPr>
        <w:t>2</w:t>
      </w:r>
      <w:r w:rsidRPr="007E253F">
        <w:rPr>
          <w:rFonts w:cs="Times New Roman"/>
          <w:szCs w:val="24"/>
        </w:rPr>
        <w:t xml:space="preserve"> de 0,57% y un coeficiente de variación fue de 31,66%</w:t>
      </w:r>
      <w:r w:rsidRPr="007E253F">
        <w:rPr>
          <w:rFonts w:cs="Times New Roman"/>
          <w:b/>
          <w:bCs/>
          <w:color w:val="0000FF"/>
        </w:rPr>
        <w:t>.</w:t>
      </w:r>
      <w:bookmarkEnd w:id="1493"/>
    </w:p>
    <w:p w14:paraId="10D91605" w14:textId="77777777" w:rsidR="00077513" w:rsidRPr="00077513" w:rsidRDefault="00077513" w:rsidP="00077513">
      <w:pPr>
        <w:autoSpaceDE w:val="0"/>
        <w:autoSpaceDN w:val="0"/>
        <w:adjustRightInd w:val="0"/>
        <w:spacing w:after="0" w:line="360" w:lineRule="auto"/>
        <w:rPr>
          <w:rFonts w:cs="Times New Roman"/>
          <w:b/>
          <w:bCs/>
          <w:color w:val="0000FF"/>
        </w:rPr>
      </w:pPr>
    </w:p>
    <w:p w14:paraId="35751340" w14:textId="72296149" w:rsidR="00077513" w:rsidRPr="00077513" w:rsidRDefault="00077513" w:rsidP="00077513">
      <w:pPr>
        <w:pStyle w:val="Descripcin"/>
        <w:keepNext/>
        <w:rPr>
          <w:rFonts w:cs="Times New Roman"/>
          <w:i w:val="0"/>
          <w:iCs w:val="0"/>
          <w:color w:val="auto"/>
          <w:sz w:val="24"/>
          <w:szCs w:val="24"/>
          <w:lang w:eastAsia="en-US"/>
        </w:rPr>
      </w:pPr>
      <w:bookmarkStart w:id="1494" w:name="_Toc79314043"/>
      <w:r w:rsidRPr="00077513">
        <w:rPr>
          <w:rFonts w:cs="Times New Roman"/>
          <w:b/>
          <w:i w:val="0"/>
          <w:iCs w:val="0"/>
          <w:color w:val="auto"/>
          <w:sz w:val="24"/>
          <w:szCs w:val="24"/>
          <w:lang w:eastAsia="en-US"/>
        </w:rPr>
        <w:t xml:space="preserve">Cuadro </w:t>
      </w:r>
      <w:r w:rsidRPr="00077513">
        <w:rPr>
          <w:rFonts w:cs="Times New Roman"/>
          <w:b/>
          <w:i w:val="0"/>
          <w:iCs w:val="0"/>
          <w:color w:val="auto"/>
          <w:sz w:val="24"/>
          <w:szCs w:val="24"/>
          <w:lang w:eastAsia="en-US"/>
        </w:rPr>
        <w:fldChar w:fldCharType="begin"/>
      </w:r>
      <w:r w:rsidRPr="00077513">
        <w:rPr>
          <w:rFonts w:cs="Times New Roman"/>
          <w:b/>
          <w:i w:val="0"/>
          <w:iCs w:val="0"/>
          <w:color w:val="auto"/>
          <w:sz w:val="24"/>
          <w:szCs w:val="24"/>
          <w:lang w:eastAsia="en-US"/>
        </w:rPr>
        <w:instrText xml:space="preserve"> SEQ Cuadro \* ARABIC </w:instrText>
      </w:r>
      <w:r w:rsidRPr="00077513">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51</w:t>
      </w:r>
      <w:r w:rsidRPr="00077513">
        <w:rPr>
          <w:rFonts w:cs="Times New Roman"/>
          <w:b/>
          <w:i w:val="0"/>
          <w:iCs w:val="0"/>
          <w:color w:val="auto"/>
          <w:sz w:val="24"/>
          <w:szCs w:val="24"/>
          <w:lang w:eastAsia="en-US"/>
        </w:rPr>
        <w:fldChar w:fldCharType="end"/>
      </w:r>
      <w:r w:rsidRPr="00077513">
        <w:rPr>
          <w:rFonts w:cs="Times New Roman"/>
          <w:b/>
          <w:i w:val="0"/>
          <w:iCs w:val="0"/>
          <w:color w:val="auto"/>
          <w:sz w:val="24"/>
          <w:szCs w:val="24"/>
          <w:lang w:eastAsia="en-US"/>
        </w:rPr>
        <w:t>.</w:t>
      </w:r>
      <w:r w:rsidRPr="00077513">
        <w:rPr>
          <w:rFonts w:cs="Times New Roman"/>
          <w:i w:val="0"/>
          <w:iCs w:val="0"/>
          <w:color w:val="auto"/>
          <w:sz w:val="24"/>
          <w:szCs w:val="24"/>
          <w:lang w:eastAsia="en-US"/>
        </w:rPr>
        <w:t xml:space="preserve"> Análisis de la Varianza (SC tipo I) para la absorción total de magnesio la provincia de Bolívar del 2006 al 2011.</w:t>
      </w:r>
      <w:bookmarkEnd w:id="1494"/>
    </w:p>
    <w:tbl>
      <w:tblPr>
        <w:tblW w:w="5000" w:type="pct"/>
        <w:tblCellMar>
          <w:left w:w="70" w:type="dxa"/>
          <w:right w:w="70" w:type="dxa"/>
        </w:tblCellMar>
        <w:tblLook w:val="04A0" w:firstRow="1" w:lastRow="0" w:firstColumn="1" w:lastColumn="0" w:noHBand="0" w:noVBand="1"/>
      </w:tblPr>
      <w:tblGrid>
        <w:gridCol w:w="1781"/>
        <w:gridCol w:w="920"/>
        <w:gridCol w:w="909"/>
        <w:gridCol w:w="871"/>
        <w:gridCol w:w="997"/>
        <w:gridCol w:w="997"/>
        <w:gridCol w:w="1452"/>
      </w:tblGrid>
      <w:tr w:rsidR="007E253F" w:rsidRPr="007E253F" w14:paraId="69669FC1" w14:textId="77777777" w:rsidTr="00077513">
        <w:trPr>
          <w:trHeight w:val="300"/>
        </w:trPr>
        <w:tc>
          <w:tcPr>
            <w:tcW w:w="11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9E476"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F.V.</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14:paraId="292E6639"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SC</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74146D26"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Gl</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14:paraId="4EAC3FD8"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CM</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411A10D1"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F</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2004097B"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p-valor</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14:paraId="55EC6835"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Varianza %</w:t>
            </w:r>
          </w:p>
        </w:tc>
      </w:tr>
      <w:tr w:rsidR="007E253F" w:rsidRPr="007E253F" w14:paraId="660E767F"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210B9B89"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Modelo</w:t>
            </w:r>
          </w:p>
        </w:tc>
        <w:tc>
          <w:tcPr>
            <w:tcW w:w="542" w:type="pct"/>
            <w:tcBorders>
              <w:top w:val="nil"/>
              <w:left w:val="nil"/>
              <w:bottom w:val="single" w:sz="4" w:space="0" w:color="auto"/>
              <w:right w:val="single" w:sz="4" w:space="0" w:color="auto"/>
            </w:tcBorders>
            <w:shd w:val="clear" w:color="auto" w:fill="auto"/>
            <w:noWrap/>
            <w:vAlign w:val="bottom"/>
            <w:hideMark/>
          </w:tcPr>
          <w:p w14:paraId="555AAA3D"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3139,47</w:t>
            </w:r>
          </w:p>
        </w:tc>
        <w:tc>
          <w:tcPr>
            <w:tcW w:w="583" w:type="pct"/>
            <w:tcBorders>
              <w:top w:val="nil"/>
              <w:left w:val="nil"/>
              <w:bottom w:val="single" w:sz="4" w:space="0" w:color="auto"/>
              <w:right w:val="single" w:sz="4" w:space="0" w:color="auto"/>
            </w:tcBorders>
            <w:shd w:val="clear" w:color="auto" w:fill="auto"/>
            <w:noWrap/>
            <w:vAlign w:val="bottom"/>
            <w:hideMark/>
          </w:tcPr>
          <w:p w14:paraId="1241CD5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w:t>
            </w:r>
          </w:p>
        </w:tc>
        <w:tc>
          <w:tcPr>
            <w:tcW w:w="558" w:type="pct"/>
            <w:tcBorders>
              <w:top w:val="nil"/>
              <w:left w:val="nil"/>
              <w:bottom w:val="single" w:sz="4" w:space="0" w:color="auto"/>
              <w:right w:val="single" w:sz="4" w:space="0" w:color="auto"/>
            </w:tcBorders>
            <w:shd w:val="clear" w:color="auto" w:fill="auto"/>
            <w:noWrap/>
            <w:vAlign w:val="bottom"/>
            <w:hideMark/>
          </w:tcPr>
          <w:p w14:paraId="016F3AA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224,25</w:t>
            </w:r>
          </w:p>
        </w:tc>
        <w:tc>
          <w:tcPr>
            <w:tcW w:w="638" w:type="pct"/>
            <w:tcBorders>
              <w:top w:val="nil"/>
              <w:left w:val="nil"/>
              <w:bottom w:val="single" w:sz="4" w:space="0" w:color="auto"/>
              <w:right w:val="single" w:sz="4" w:space="0" w:color="auto"/>
            </w:tcBorders>
            <w:shd w:val="clear" w:color="auto" w:fill="auto"/>
            <w:noWrap/>
            <w:vAlign w:val="bottom"/>
            <w:hideMark/>
          </w:tcPr>
          <w:p w14:paraId="2329ED6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7,14</w:t>
            </w:r>
          </w:p>
        </w:tc>
        <w:tc>
          <w:tcPr>
            <w:tcW w:w="638" w:type="pct"/>
            <w:tcBorders>
              <w:top w:val="nil"/>
              <w:left w:val="nil"/>
              <w:bottom w:val="single" w:sz="4" w:space="0" w:color="auto"/>
              <w:right w:val="single" w:sz="4" w:space="0" w:color="auto"/>
            </w:tcBorders>
            <w:shd w:val="clear" w:color="auto" w:fill="auto"/>
            <w:noWrap/>
            <w:vAlign w:val="bottom"/>
            <w:hideMark/>
          </w:tcPr>
          <w:p w14:paraId="1A85BFB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926" w:type="pct"/>
            <w:tcBorders>
              <w:top w:val="nil"/>
              <w:left w:val="nil"/>
              <w:bottom w:val="single" w:sz="4" w:space="0" w:color="auto"/>
              <w:right w:val="single" w:sz="4" w:space="0" w:color="auto"/>
            </w:tcBorders>
            <w:shd w:val="clear" w:color="auto" w:fill="auto"/>
            <w:noWrap/>
            <w:vAlign w:val="bottom"/>
            <w:hideMark/>
          </w:tcPr>
          <w:p w14:paraId="1817D9E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57,14</w:t>
            </w:r>
          </w:p>
        </w:tc>
      </w:tr>
      <w:tr w:rsidR="007E253F" w:rsidRPr="007E253F" w14:paraId="3E07B182"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53E4E1F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Cantón</w:t>
            </w:r>
          </w:p>
        </w:tc>
        <w:tc>
          <w:tcPr>
            <w:tcW w:w="542" w:type="pct"/>
            <w:tcBorders>
              <w:top w:val="nil"/>
              <w:left w:val="nil"/>
              <w:bottom w:val="single" w:sz="4" w:space="0" w:color="auto"/>
              <w:right w:val="single" w:sz="4" w:space="0" w:color="auto"/>
            </w:tcBorders>
            <w:shd w:val="clear" w:color="auto" w:fill="auto"/>
            <w:noWrap/>
            <w:vAlign w:val="bottom"/>
            <w:hideMark/>
          </w:tcPr>
          <w:p w14:paraId="0EBD40E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459,11</w:t>
            </w:r>
          </w:p>
        </w:tc>
        <w:tc>
          <w:tcPr>
            <w:tcW w:w="583" w:type="pct"/>
            <w:tcBorders>
              <w:top w:val="nil"/>
              <w:left w:val="nil"/>
              <w:bottom w:val="single" w:sz="4" w:space="0" w:color="auto"/>
              <w:right w:val="single" w:sz="4" w:space="0" w:color="auto"/>
            </w:tcBorders>
            <w:shd w:val="clear" w:color="auto" w:fill="auto"/>
            <w:noWrap/>
            <w:vAlign w:val="bottom"/>
            <w:hideMark/>
          </w:tcPr>
          <w:p w14:paraId="0D6EDF8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558" w:type="pct"/>
            <w:tcBorders>
              <w:top w:val="nil"/>
              <w:left w:val="nil"/>
              <w:bottom w:val="single" w:sz="4" w:space="0" w:color="auto"/>
              <w:right w:val="single" w:sz="4" w:space="0" w:color="auto"/>
            </w:tcBorders>
            <w:shd w:val="clear" w:color="auto" w:fill="auto"/>
            <w:noWrap/>
            <w:vAlign w:val="bottom"/>
            <w:hideMark/>
          </w:tcPr>
          <w:p w14:paraId="7181946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153,04</w:t>
            </w:r>
          </w:p>
        </w:tc>
        <w:tc>
          <w:tcPr>
            <w:tcW w:w="638" w:type="pct"/>
            <w:tcBorders>
              <w:top w:val="nil"/>
              <w:left w:val="nil"/>
              <w:bottom w:val="single" w:sz="4" w:space="0" w:color="auto"/>
              <w:right w:val="single" w:sz="4" w:space="0" w:color="auto"/>
            </w:tcBorders>
            <w:shd w:val="clear" w:color="auto" w:fill="auto"/>
            <w:noWrap/>
            <w:vAlign w:val="bottom"/>
            <w:hideMark/>
          </w:tcPr>
          <w:p w14:paraId="13264DB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4,87</w:t>
            </w:r>
          </w:p>
        </w:tc>
        <w:tc>
          <w:tcPr>
            <w:tcW w:w="638" w:type="pct"/>
            <w:tcBorders>
              <w:top w:val="nil"/>
              <w:left w:val="nil"/>
              <w:bottom w:val="single" w:sz="4" w:space="0" w:color="auto"/>
              <w:right w:val="single" w:sz="4" w:space="0" w:color="auto"/>
            </w:tcBorders>
            <w:shd w:val="clear" w:color="auto" w:fill="auto"/>
            <w:noWrap/>
            <w:vAlign w:val="bottom"/>
            <w:hideMark/>
          </w:tcPr>
          <w:p w14:paraId="3F81394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0,0038</w:t>
            </w:r>
          </w:p>
        </w:tc>
        <w:tc>
          <w:tcPr>
            <w:tcW w:w="926" w:type="pct"/>
            <w:tcBorders>
              <w:top w:val="nil"/>
              <w:left w:val="nil"/>
              <w:bottom w:val="single" w:sz="4" w:space="0" w:color="auto"/>
              <w:right w:val="single" w:sz="4" w:space="0" w:color="auto"/>
            </w:tcBorders>
            <w:shd w:val="clear" w:color="auto" w:fill="auto"/>
            <w:noWrap/>
            <w:vAlign w:val="bottom"/>
            <w:hideMark/>
          </w:tcPr>
          <w:p w14:paraId="5B7F4F0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8,36</w:t>
            </w:r>
          </w:p>
        </w:tc>
      </w:tr>
      <w:tr w:rsidR="007E253F" w:rsidRPr="007E253F" w14:paraId="3027F61C"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4831ACA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w:t>
            </w:r>
          </w:p>
        </w:tc>
        <w:tc>
          <w:tcPr>
            <w:tcW w:w="542" w:type="pct"/>
            <w:tcBorders>
              <w:top w:val="nil"/>
              <w:left w:val="nil"/>
              <w:bottom w:val="single" w:sz="4" w:space="0" w:color="auto"/>
              <w:right w:val="single" w:sz="4" w:space="0" w:color="auto"/>
            </w:tcBorders>
            <w:shd w:val="clear" w:color="auto" w:fill="auto"/>
            <w:noWrap/>
            <w:vAlign w:val="bottom"/>
            <w:hideMark/>
          </w:tcPr>
          <w:p w14:paraId="34B8859D"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882,36</w:t>
            </w:r>
          </w:p>
        </w:tc>
        <w:tc>
          <w:tcPr>
            <w:tcW w:w="583" w:type="pct"/>
            <w:tcBorders>
              <w:top w:val="nil"/>
              <w:left w:val="nil"/>
              <w:bottom w:val="single" w:sz="4" w:space="0" w:color="auto"/>
              <w:right w:val="single" w:sz="4" w:space="0" w:color="auto"/>
            </w:tcBorders>
            <w:shd w:val="clear" w:color="auto" w:fill="auto"/>
            <w:noWrap/>
            <w:vAlign w:val="bottom"/>
            <w:hideMark/>
          </w:tcPr>
          <w:p w14:paraId="25EAABC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558" w:type="pct"/>
            <w:tcBorders>
              <w:top w:val="nil"/>
              <w:left w:val="nil"/>
              <w:bottom w:val="single" w:sz="4" w:space="0" w:color="auto"/>
              <w:right w:val="single" w:sz="4" w:space="0" w:color="auto"/>
            </w:tcBorders>
            <w:shd w:val="clear" w:color="auto" w:fill="auto"/>
            <w:noWrap/>
            <w:vAlign w:val="bottom"/>
            <w:hideMark/>
          </w:tcPr>
          <w:p w14:paraId="36CDDA86"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294,12</w:t>
            </w:r>
          </w:p>
        </w:tc>
        <w:tc>
          <w:tcPr>
            <w:tcW w:w="638" w:type="pct"/>
            <w:tcBorders>
              <w:top w:val="nil"/>
              <w:left w:val="nil"/>
              <w:bottom w:val="single" w:sz="4" w:space="0" w:color="auto"/>
              <w:right w:val="single" w:sz="4" w:space="0" w:color="auto"/>
            </w:tcBorders>
            <w:shd w:val="clear" w:color="auto" w:fill="auto"/>
            <w:noWrap/>
            <w:vAlign w:val="bottom"/>
            <w:hideMark/>
          </w:tcPr>
          <w:p w14:paraId="1245149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9,37</w:t>
            </w:r>
          </w:p>
        </w:tc>
        <w:tc>
          <w:tcPr>
            <w:tcW w:w="638" w:type="pct"/>
            <w:tcBorders>
              <w:top w:val="nil"/>
              <w:left w:val="nil"/>
              <w:bottom w:val="single" w:sz="4" w:space="0" w:color="auto"/>
              <w:right w:val="single" w:sz="4" w:space="0" w:color="auto"/>
            </w:tcBorders>
            <w:shd w:val="clear" w:color="auto" w:fill="auto"/>
            <w:noWrap/>
            <w:vAlign w:val="bottom"/>
            <w:hideMark/>
          </w:tcPr>
          <w:p w14:paraId="7F34548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926" w:type="pct"/>
            <w:tcBorders>
              <w:top w:val="nil"/>
              <w:left w:val="nil"/>
              <w:bottom w:val="single" w:sz="4" w:space="0" w:color="auto"/>
              <w:right w:val="single" w:sz="4" w:space="0" w:color="auto"/>
            </w:tcBorders>
            <w:shd w:val="clear" w:color="auto" w:fill="auto"/>
            <w:noWrap/>
            <w:vAlign w:val="bottom"/>
            <w:hideMark/>
          </w:tcPr>
          <w:p w14:paraId="159C81B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16,06</w:t>
            </w:r>
          </w:p>
        </w:tc>
      </w:tr>
      <w:tr w:rsidR="007E253F" w:rsidRPr="007E253F" w14:paraId="10709FBA"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08195A5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P</w:t>
            </w:r>
          </w:p>
        </w:tc>
        <w:tc>
          <w:tcPr>
            <w:tcW w:w="542" w:type="pct"/>
            <w:tcBorders>
              <w:top w:val="nil"/>
              <w:left w:val="nil"/>
              <w:bottom w:val="single" w:sz="4" w:space="0" w:color="auto"/>
              <w:right w:val="single" w:sz="4" w:space="0" w:color="auto"/>
            </w:tcBorders>
            <w:shd w:val="clear" w:color="auto" w:fill="auto"/>
            <w:noWrap/>
            <w:vAlign w:val="bottom"/>
            <w:hideMark/>
          </w:tcPr>
          <w:p w14:paraId="4FAC01C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313,21</w:t>
            </w:r>
          </w:p>
        </w:tc>
        <w:tc>
          <w:tcPr>
            <w:tcW w:w="583" w:type="pct"/>
            <w:tcBorders>
              <w:top w:val="nil"/>
              <w:left w:val="nil"/>
              <w:bottom w:val="single" w:sz="4" w:space="0" w:color="auto"/>
              <w:right w:val="single" w:sz="4" w:space="0" w:color="auto"/>
            </w:tcBorders>
            <w:shd w:val="clear" w:color="auto" w:fill="auto"/>
            <w:noWrap/>
            <w:vAlign w:val="bottom"/>
            <w:hideMark/>
          </w:tcPr>
          <w:p w14:paraId="14CD8D1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w:t>
            </w:r>
          </w:p>
        </w:tc>
        <w:tc>
          <w:tcPr>
            <w:tcW w:w="558" w:type="pct"/>
            <w:tcBorders>
              <w:top w:val="nil"/>
              <w:left w:val="nil"/>
              <w:bottom w:val="single" w:sz="4" w:space="0" w:color="auto"/>
              <w:right w:val="single" w:sz="4" w:space="0" w:color="auto"/>
            </w:tcBorders>
            <w:shd w:val="clear" w:color="auto" w:fill="auto"/>
            <w:noWrap/>
            <w:vAlign w:val="bottom"/>
            <w:hideMark/>
          </w:tcPr>
          <w:p w14:paraId="2CAA2B4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156,6</w:t>
            </w:r>
          </w:p>
        </w:tc>
        <w:tc>
          <w:tcPr>
            <w:tcW w:w="638" w:type="pct"/>
            <w:tcBorders>
              <w:top w:val="nil"/>
              <w:left w:val="nil"/>
              <w:bottom w:val="single" w:sz="4" w:space="0" w:color="auto"/>
              <w:right w:val="single" w:sz="4" w:space="0" w:color="auto"/>
            </w:tcBorders>
            <w:shd w:val="clear" w:color="auto" w:fill="auto"/>
            <w:noWrap/>
            <w:vAlign w:val="bottom"/>
            <w:hideMark/>
          </w:tcPr>
          <w:p w14:paraId="174B3C0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4,99</w:t>
            </w:r>
          </w:p>
        </w:tc>
        <w:tc>
          <w:tcPr>
            <w:tcW w:w="638" w:type="pct"/>
            <w:tcBorders>
              <w:top w:val="nil"/>
              <w:left w:val="nil"/>
              <w:bottom w:val="single" w:sz="4" w:space="0" w:color="auto"/>
              <w:right w:val="single" w:sz="4" w:space="0" w:color="auto"/>
            </w:tcBorders>
            <w:shd w:val="clear" w:color="auto" w:fill="auto"/>
            <w:noWrap/>
            <w:vAlign w:val="bottom"/>
            <w:hideMark/>
          </w:tcPr>
          <w:p w14:paraId="3C4AAE56"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0,0092</w:t>
            </w:r>
          </w:p>
        </w:tc>
        <w:tc>
          <w:tcPr>
            <w:tcW w:w="926" w:type="pct"/>
            <w:tcBorders>
              <w:top w:val="nil"/>
              <w:left w:val="nil"/>
              <w:bottom w:val="single" w:sz="4" w:space="0" w:color="auto"/>
              <w:right w:val="single" w:sz="4" w:space="0" w:color="auto"/>
            </w:tcBorders>
            <w:shd w:val="clear" w:color="auto" w:fill="auto"/>
            <w:noWrap/>
            <w:vAlign w:val="bottom"/>
            <w:hideMark/>
          </w:tcPr>
          <w:p w14:paraId="180EF24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5,70</w:t>
            </w:r>
          </w:p>
        </w:tc>
      </w:tr>
      <w:tr w:rsidR="007E253F" w:rsidRPr="007E253F" w14:paraId="31F4B4B4"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4BAC5C9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K</w:t>
            </w:r>
          </w:p>
        </w:tc>
        <w:tc>
          <w:tcPr>
            <w:tcW w:w="542" w:type="pct"/>
            <w:tcBorders>
              <w:top w:val="nil"/>
              <w:left w:val="nil"/>
              <w:bottom w:val="single" w:sz="4" w:space="0" w:color="auto"/>
              <w:right w:val="single" w:sz="4" w:space="0" w:color="auto"/>
            </w:tcBorders>
            <w:shd w:val="clear" w:color="auto" w:fill="auto"/>
            <w:noWrap/>
            <w:vAlign w:val="bottom"/>
            <w:hideMark/>
          </w:tcPr>
          <w:p w14:paraId="2E67F0C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1141,47</w:t>
            </w:r>
          </w:p>
        </w:tc>
        <w:tc>
          <w:tcPr>
            <w:tcW w:w="583" w:type="pct"/>
            <w:tcBorders>
              <w:top w:val="nil"/>
              <w:left w:val="nil"/>
              <w:bottom w:val="single" w:sz="4" w:space="0" w:color="auto"/>
              <w:right w:val="single" w:sz="4" w:space="0" w:color="auto"/>
            </w:tcBorders>
            <w:shd w:val="clear" w:color="auto" w:fill="auto"/>
            <w:noWrap/>
            <w:vAlign w:val="bottom"/>
            <w:hideMark/>
          </w:tcPr>
          <w:p w14:paraId="648CF4C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558" w:type="pct"/>
            <w:tcBorders>
              <w:top w:val="nil"/>
              <w:left w:val="nil"/>
              <w:bottom w:val="single" w:sz="4" w:space="0" w:color="auto"/>
              <w:right w:val="single" w:sz="4" w:space="0" w:color="auto"/>
            </w:tcBorders>
            <w:shd w:val="clear" w:color="auto" w:fill="auto"/>
            <w:noWrap/>
            <w:vAlign w:val="bottom"/>
            <w:hideMark/>
          </w:tcPr>
          <w:p w14:paraId="0E978B7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380,49</w:t>
            </w:r>
          </w:p>
        </w:tc>
        <w:tc>
          <w:tcPr>
            <w:tcW w:w="638" w:type="pct"/>
            <w:tcBorders>
              <w:top w:val="nil"/>
              <w:left w:val="nil"/>
              <w:bottom w:val="single" w:sz="4" w:space="0" w:color="auto"/>
              <w:right w:val="single" w:sz="4" w:space="0" w:color="auto"/>
            </w:tcBorders>
            <w:shd w:val="clear" w:color="auto" w:fill="auto"/>
            <w:noWrap/>
            <w:vAlign w:val="bottom"/>
            <w:hideMark/>
          </w:tcPr>
          <w:p w14:paraId="66CE939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12,12</w:t>
            </w:r>
          </w:p>
        </w:tc>
        <w:tc>
          <w:tcPr>
            <w:tcW w:w="638" w:type="pct"/>
            <w:tcBorders>
              <w:top w:val="nil"/>
              <w:left w:val="nil"/>
              <w:bottom w:val="single" w:sz="4" w:space="0" w:color="auto"/>
              <w:right w:val="single" w:sz="4" w:space="0" w:color="auto"/>
            </w:tcBorders>
            <w:shd w:val="clear" w:color="auto" w:fill="auto"/>
            <w:noWrap/>
            <w:vAlign w:val="bottom"/>
            <w:hideMark/>
          </w:tcPr>
          <w:p w14:paraId="1E012AF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926" w:type="pct"/>
            <w:tcBorders>
              <w:top w:val="nil"/>
              <w:left w:val="nil"/>
              <w:bottom w:val="single" w:sz="4" w:space="0" w:color="auto"/>
              <w:right w:val="single" w:sz="4" w:space="0" w:color="auto"/>
            </w:tcBorders>
            <w:shd w:val="clear" w:color="auto" w:fill="auto"/>
            <w:noWrap/>
            <w:vAlign w:val="bottom"/>
            <w:hideMark/>
          </w:tcPr>
          <w:p w14:paraId="2DDA7CD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20,78</w:t>
            </w:r>
          </w:p>
        </w:tc>
      </w:tr>
      <w:tr w:rsidR="007E253F" w:rsidRPr="007E253F" w14:paraId="06622B0F"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13C51A63"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S</w:t>
            </w:r>
          </w:p>
        </w:tc>
        <w:tc>
          <w:tcPr>
            <w:tcW w:w="542" w:type="pct"/>
            <w:tcBorders>
              <w:top w:val="nil"/>
              <w:left w:val="nil"/>
              <w:bottom w:val="single" w:sz="4" w:space="0" w:color="auto"/>
              <w:right w:val="single" w:sz="4" w:space="0" w:color="auto"/>
            </w:tcBorders>
            <w:shd w:val="clear" w:color="auto" w:fill="auto"/>
            <w:noWrap/>
            <w:vAlign w:val="bottom"/>
            <w:hideMark/>
          </w:tcPr>
          <w:p w14:paraId="0B91F5E6"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54,59</w:t>
            </w:r>
          </w:p>
        </w:tc>
        <w:tc>
          <w:tcPr>
            <w:tcW w:w="583" w:type="pct"/>
            <w:tcBorders>
              <w:top w:val="nil"/>
              <w:left w:val="nil"/>
              <w:bottom w:val="single" w:sz="4" w:space="0" w:color="auto"/>
              <w:right w:val="single" w:sz="4" w:space="0" w:color="auto"/>
            </w:tcBorders>
            <w:shd w:val="clear" w:color="auto" w:fill="auto"/>
            <w:noWrap/>
            <w:vAlign w:val="bottom"/>
            <w:hideMark/>
          </w:tcPr>
          <w:p w14:paraId="7993394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558" w:type="pct"/>
            <w:tcBorders>
              <w:top w:val="nil"/>
              <w:left w:val="nil"/>
              <w:bottom w:val="single" w:sz="4" w:space="0" w:color="auto"/>
              <w:right w:val="single" w:sz="4" w:space="0" w:color="auto"/>
            </w:tcBorders>
            <w:shd w:val="clear" w:color="auto" w:fill="auto"/>
            <w:noWrap/>
            <w:vAlign w:val="bottom"/>
            <w:hideMark/>
          </w:tcPr>
          <w:p w14:paraId="2009C9B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54,59</w:t>
            </w:r>
          </w:p>
        </w:tc>
        <w:tc>
          <w:tcPr>
            <w:tcW w:w="638" w:type="pct"/>
            <w:tcBorders>
              <w:top w:val="nil"/>
              <w:left w:val="nil"/>
              <w:bottom w:val="single" w:sz="4" w:space="0" w:color="auto"/>
              <w:right w:val="single" w:sz="4" w:space="0" w:color="auto"/>
            </w:tcBorders>
            <w:shd w:val="clear" w:color="auto" w:fill="auto"/>
            <w:noWrap/>
            <w:vAlign w:val="bottom"/>
            <w:hideMark/>
          </w:tcPr>
          <w:p w14:paraId="328B3DE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1,74</w:t>
            </w:r>
          </w:p>
        </w:tc>
        <w:tc>
          <w:tcPr>
            <w:tcW w:w="638" w:type="pct"/>
            <w:tcBorders>
              <w:top w:val="nil"/>
              <w:left w:val="nil"/>
              <w:bottom w:val="single" w:sz="4" w:space="0" w:color="auto"/>
              <w:right w:val="single" w:sz="4" w:space="0" w:color="auto"/>
            </w:tcBorders>
            <w:shd w:val="clear" w:color="auto" w:fill="auto"/>
            <w:noWrap/>
            <w:vAlign w:val="bottom"/>
            <w:hideMark/>
          </w:tcPr>
          <w:p w14:paraId="22D1AB8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0,1913</w:t>
            </w:r>
          </w:p>
        </w:tc>
        <w:tc>
          <w:tcPr>
            <w:tcW w:w="926" w:type="pct"/>
            <w:tcBorders>
              <w:top w:val="nil"/>
              <w:left w:val="nil"/>
              <w:bottom w:val="single" w:sz="4" w:space="0" w:color="auto"/>
              <w:right w:val="single" w:sz="4" w:space="0" w:color="auto"/>
            </w:tcBorders>
            <w:shd w:val="clear" w:color="auto" w:fill="auto"/>
            <w:noWrap/>
            <w:vAlign w:val="bottom"/>
            <w:hideMark/>
          </w:tcPr>
          <w:p w14:paraId="60ADCB6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0,99</w:t>
            </w:r>
          </w:p>
        </w:tc>
      </w:tr>
      <w:tr w:rsidR="007E253F" w:rsidRPr="007E253F" w14:paraId="161EF132"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7F1A87B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Mg</w:t>
            </w:r>
          </w:p>
        </w:tc>
        <w:tc>
          <w:tcPr>
            <w:tcW w:w="542" w:type="pct"/>
            <w:tcBorders>
              <w:top w:val="nil"/>
              <w:left w:val="nil"/>
              <w:bottom w:val="single" w:sz="4" w:space="0" w:color="auto"/>
              <w:right w:val="single" w:sz="4" w:space="0" w:color="auto"/>
            </w:tcBorders>
            <w:shd w:val="clear" w:color="auto" w:fill="auto"/>
            <w:noWrap/>
            <w:vAlign w:val="bottom"/>
            <w:hideMark/>
          </w:tcPr>
          <w:p w14:paraId="37D6145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77,01</w:t>
            </w:r>
          </w:p>
        </w:tc>
        <w:tc>
          <w:tcPr>
            <w:tcW w:w="583" w:type="pct"/>
            <w:tcBorders>
              <w:top w:val="nil"/>
              <w:left w:val="nil"/>
              <w:bottom w:val="single" w:sz="4" w:space="0" w:color="auto"/>
              <w:right w:val="single" w:sz="4" w:space="0" w:color="auto"/>
            </w:tcBorders>
            <w:shd w:val="clear" w:color="auto" w:fill="auto"/>
            <w:noWrap/>
            <w:vAlign w:val="bottom"/>
            <w:hideMark/>
          </w:tcPr>
          <w:p w14:paraId="2AD7D7F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558" w:type="pct"/>
            <w:tcBorders>
              <w:top w:val="nil"/>
              <w:left w:val="nil"/>
              <w:bottom w:val="single" w:sz="4" w:space="0" w:color="auto"/>
              <w:right w:val="single" w:sz="4" w:space="0" w:color="auto"/>
            </w:tcBorders>
            <w:shd w:val="clear" w:color="auto" w:fill="auto"/>
            <w:noWrap/>
            <w:vAlign w:val="bottom"/>
            <w:hideMark/>
          </w:tcPr>
          <w:p w14:paraId="3585616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77,01</w:t>
            </w:r>
          </w:p>
        </w:tc>
        <w:tc>
          <w:tcPr>
            <w:tcW w:w="638" w:type="pct"/>
            <w:tcBorders>
              <w:top w:val="nil"/>
              <w:left w:val="nil"/>
              <w:bottom w:val="single" w:sz="4" w:space="0" w:color="auto"/>
              <w:right w:val="single" w:sz="4" w:space="0" w:color="auto"/>
            </w:tcBorders>
            <w:shd w:val="clear" w:color="auto" w:fill="auto"/>
            <w:noWrap/>
            <w:vAlign w:val="bottom"/>
            <w:hideMark/>
          </w:tcPr>
          <w:p w14:paraId="58F635C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2,45</w:t>
            </w:r>
          </w:p>
        </w:tc>
        <w:tc>
          <w:tcPr>
            <w:tcW w:w="638" w:type="pct"/>
            <w:tcBorders>
              <w:top w:val="nil"/>
              <w:left w:val="nil"/>
              <w:bottom w:val="single" w:sz="4" w:space="0" w:color="auto"/>
              <w:right w:val="single" w:sz="4" w:space="0" w:color="auto"/>
            </w:tcBorders>
            <w:shd w:val="clear" w:color="auto" w:fill="auto"/>
            <w:noWrap/>
            <w:vAlign w:val="bottom"/>
            <w:hideMark/>
          </w:tcPr>
          <w:p w14:paraId="787A2E8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0,1215</w:t>
            </w:r>
          </w:p>
        </w:tc>
        <w:tc>
          <w:tcPr>
            <w:tcW w:w="926" w:type="pct"/>
            <w:tcBorders>
              <w:top w:val="nil"/>
              <w:left w:val="nil"/>
              <w:bottom w:val="single" w:sz="4" w:space="0" w:color="auto"/>
              <w:right w:val="single" w:sz="4" w:space="0" w:color="auto"/>
            </w:tcBorders>
            <w:shd w:val="clear" w:color="auto" w:fill="auto"/>
            <w:noWrap/>
            <w:vAlign w:val="bottom"/>
            <w:hideMark/>
          </w:tcPr>
          <w:p w14:paraId="0258722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1,40</w:t>
            </w:r>
          </w:p>
        </w:tc>
      </w:tr>
      <w:tr w:rsidR="007E253F" w:rsidRPr="007E253F" w14:paraId="03E786BC"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3C17CE2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Dosis N*Dosis P</w:t>
            </w:r>
          </w:p>
        </w:tc>
        <w:tc>
          <w:tcPr>
            <w:tcW w:w="542" w:type="pct"/>
            <w:tcBorders>
              <w:top w:val="nil"/>
              <w:left w:val="nil"/>
              <w:bottom w:val="single" w:sz="4" w:space="0" w:color="auto"/>
              <w:right w:val="single" w:sz="4" w:space="0" w:color="auto"/>
            </w:tcBorders>
            <w:shd w:val="clear" w:color="auto" w:fill="auto"/>
            <w:noWrap/>
            <w:vAlign w:val="bottom"/>
            <w:hideMark/>
          </w:tcPr>
          <w:p w14:paraId="784C877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211,72</w:t>
            </w:r>
          </w:p>
        </w:tc>
        <w:tc>
          <w:tcPr>
            <w:tcW w:w="583" w:type="pct"/>
            <w:tcBorders>
              <w:top w:val="nil"/>
              <w:left w:val="nil"/>
              <w:bottom w:val="single" w:sz="4" w:space="0" w:color="auto"/>
              <w:right w:val="single" w:sz="4" w:space="0" w:color="auto"/>
            </w:tcBorders>
            <w:shd w:val="clear" w:color="auto" w:fill="auto"/>
            <w:noWrap/>
            <w:vAlign w:val="bottom"/>
            <w:hideMark/>
          </w:tcPr>
          <w:p w14:paraId="2AF6674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558" w:type="pct"/>
            <w:tcBorders>
              <w:top w:val="nil"/>
              <w:left w:val="nil"/>
              <w:bottom w:val="single" w:sz="4" w:space="0" w:color="auto"/>
              <w:right w:val="single" w:sz="4" w:space="0" w:color="auto"/>
            </w:tcBorders>
            <w:shd w:val="clear" w:color="auto" w:fill="auto"/>
            <w:noWrap/>
            <w:vAlign w:val="bottom"/>
            <w:hideMark/>
          </w:tcPr>
          <w:p w14:paraId="49E5EB49"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211,72</w:t>
            </w:r>
          </w:p>
        </w:tc>
        <w:tc>
          <w:tcPr>
            <w:tcW w:w="638" w:type="pct"/>
            <w:tcBorders>
              <w:top w:val="nil"/>
              <w:left w:val="nil"/>
              <w:bottom w:val="single" w:sz="4" w:space="0" w:color="auto"/>
              <w:right w:val="single" w:sz="4" w:space="0" w:color="auto"/>
            </w:tcBorders>
            <w:shd w:val="clear" w:color="auto" w:fill="auto"/>
            <w:noWrap/>
            <w:vAlign w:val="bottom"/>
            <w:hideMark/>
          </w:tcPr>
          <w:p w14:paraId="1480221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6,74</w:t>
            </w:r>
          </w:p>
        </w:tc>
        <w:tc>
          <w:tcPr>
            <w:tcW w:w="638" w:type="pct"/>
            <w:tcBorders>
              <w:top w:val="nil"/>
              <w:left w:val="nil"/>
              <w:bottom w:val="single" w:sz="4" w:space="0" w:color="auto"/>
              <w:right w:val="single" w:sz="4" w:space="0" w:color="auto"/>
            </w:tcBorders>
            <w:shd w:val="clear" w:color="auto" w:fill="auto"/>
            <w:noWrap/>
            <w:vAlign w:val="bottom"/>
            <w:hideMark/>
          </w:tcPr>
          <w:p w14:paraId="12A8ACA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0,0113</w:t>
            </w:r>
          </w:p>
        </w:tc>
        <w:tc>
          <w:tcPr>
            <w:tcW w:w="926" w:type="pct"/>
            <w:tcBorders>
              <w:top w:val="nil"/>
              <w:left w:val="nil"/>
              <w:bottom w:val="single" w:sz="4" w:space="0" w:color="auto"/>
              <w:right w:val="single" w:sz="4" w:space="0" w:color="auto"/>
            </w:tcBorders>
            <w:shd w:val="clear" w:color="auto" w:fill="auto"/>
            <w:noWrap/>
            <w:vAlign w:val="bottom"/>
            <w:hideMark/>
          </w:tcPr>
          <w:p w14:paraId="6BF3D2B6"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3,85</w:t>
            </w:r>
          </w:p>
        </w:tc>
      </w:tr>
      <w:tr w:rsidR="007E253F" w:rsidRPr="007E253F" w14:paraId="74CCA5B9"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64287C16"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Error</w:t>
            </w:r>
          </w:p>
        </w:tc>
        <w:tc>
          <w:tcPr>
            <w:tcW w:w="542" w:type="pct"/>
            <w:tcBorders>
              <w:top w:val="nil"/>
              <w:left w:val="nil"/>
              <w:bottom w:val="single" w:sz="4" w:space="0" w:color="auto"/>
              <w:right w:val="single" w:sz="4" w:space="0" w:color="auto"/>
            </w:tcBorders>
            <w:shd w:val="clear" w:color="auto" w:fill="auto"/>
            <w:noWrap/>
            <w:vAlign w:val="bottom"/>
            <w:hideMark/>
          </w:tcPr>
          <w:p w14:paraId="002D552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2354,47</w:t>
            </w:r>
          </w:p>
        </w:tc>
        <w:tc>
          <w:tcPr>
            <w:tcW w:w="583" w:type="pct"/>
            <w:tcBorders>
              <w:top w:val="nil"/>
              <w:left w:val="nil"/>
              <w:bottom w:val="single" w:sz="4" w:space="0" w:color="auto"/>
              <w:right w:val="single" w:sz="4" w:space="0" w:color="auto"/>
            </w:tcBorders>
            <w:shd w:val="clear" w:color="auto" w:fill="auto"/>
            <w:noWrap/>
            <w:vAlign w:val="bottom"/>
            <w:hideMark/>
          </w:tcPr>
          <w:p w14:paraId="66276D23"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75</w:t>
            </w:r>
          </w:p>
        </w:tc>
        <w:tc>
          <w:tcPr>
            <w:tcW w:w="558" w:type="pct"/>
            <w:tcBorders>
              <w:top w:val="nil"/>
              <w:left w:val="nil"/>
              <w:bottom w:val="single" w:sz="4" w:space="0" w:color="auto"/>
              <w:right w:val="single" w:sz="4" w:space="0" w:color="auto"/>
            </w:tcBorders>
            <w:shd w:val="clear" w:color="auto" w:fill="auto"/>
            <w:noWrap/>
            <w:vAlign w:val="bottom"/>
            <w:hideMark/>
          </w:tcPr>
          <w:p w14:paraId="1192C09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31,39</w:t>
            </w:r>
          </w:p>
        </w:tc>
        <w:tc>
          <w:tcPr>
            <w:tcW w:w="638" w:type="pct"/>
            <w:tcBorders>
              <w:top w:val="nil"/>
              <w:left w:val="nil"/>
              <w:bottom w:val="single" w:sz="4" w:space="0" w:color="auto"/>
              <w:right w:val="single" w:sz="4" w:space="0" w:color="auto"/>
            </w:tcBorders>
            <w:shd w:val="clear" w:color="auto" w:fill="auto"/>
            <w:noWrap/>
            <w:vAlign w:val="bottom"/>
            <w:hideMark/>
          </w:tcPr>
          <w:p w14:paraId="45F43AA6"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8" w:type="pct"/>
            <w:tcBorders>
              <w:top w:val="nil"/>
              <w:left w:val="nil"/>
              <w:bottom w:val="single" w:sz="4" w:space="0" w:color="auto"/>
              <w:right w:val="single" w:sz="4" w:space="0" w:color="auto"/>
            </w:tcBorders>
            <w:shd w:val="clear" w:color="auto" w:fill="auto"/>
            <w:noWrap/>
            <w:vAlign w:val="bottom"/>
            <w:hideMark/>
          </w:tcPr>
          <w:p w14:paraId="457AD68F"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926" w:type="pct"/>
            <w:tcBorders>
              <w:top w:val="nil"/>
              <w:left w:val="nil"/>
              <w:bottom w:val="single" w:sz="4" w:space="0" w:color="auto"/>
              <w:right w:val="single" w:sz="4" w:space="0" w:color="auto"/>
            </w:tcBorders>
            <w:shd w:val="clear" w:color="auto" w:fill="auto"/>
            <w:noWrap/>
            <w:vAlign w:val="bottom"/>
            <w:hideMark/>
          </w:tcPr>
          <w:p w14:paraId="1486072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42,86</w:t>
            </w:r>
          </w:p>
        </w:tc>
      </w:tr>
      <w:tr w:rsidR="007E253F" w:rsidRPr="007E253F" w14:paraId="58B6392B" w14:textId="77777777" w:rsidTr="00077513">
        <w:trPr>
          <w:trHeight w:val="300"/>
        </w:trPr>
        <w:tc>
          <w:tcPr>
            <w:tcW w:w="1116" w:type="pct"/>
            <w:tcBorders>
              <w:top w:val="nil"/>
              <w:left w:val="single" w:sz="4" w:space="0" w:color="auto"/>
              <w:bottom w:val="single" w:sz="4" w:space="0" w:color="auto"/>
              <w:right w:val="single" w:sz="4" w:space="0" w:color="auto"/>
            </w:tcBorders>
            <w:shd w:val="clear" w:color="auto" w:fill="auto"/>
            <w:noWrap/>
            <w:vAlign w:val="bottom"/>
            <w:hideMark/>
          </w:tcPr>
          <w:p w14:paraId="69FEAC8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Total</w:t>
            </w:r>
          </w:p>
        </w:tc>
        <w:tc>
          <w:tcPr>
            <w:tcW w:w="542" w:type="pct"/>
            <w:tcBorders>
              <w:top w:val="nil"/>
              <w:left w:val="nil"/>
              <w:bottom w:val="single" w:sz="4" w:space="0" w:color="auto"/>
              <w:right w:val="single" w:sz="4" w:space="0" w:color="auto"/>
            </w:tcBorders>
            <w:shd w:val="clear" w:color="auto" w:fill="auto"/>
            <w:noWrap/>
            <w:vAlign w:val="bottom"/>
            <w:hideMark/>
          </w:tcPr>
          <w:p w14:paraId="6A2CCC4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5493,94</w:t>
            </w:r>
          </w:p>
        </w:tc>
        <w:tc>
          <w:tcPr>
            <w:tcW w:w="583" w:type="pct"/>
            <w:tcBorders>
              <w:top w:val="nil"/>
              <w:left w:val="nil"/>
              <w:bottom w:val="single" w:sz="4" w:space="0" w:color="auto"/>
              <w:right w:val="single" w:sz="4" w:space="0" w:color="auto"/>
            </w:tcBorders>
            <w:shd w:val="clear" w:color="auto" w:fill="auto"/>
            <w:noWrap/>
            <w:vAlign w:val="bottom"/>
            <w:hideMark/>
          </w:tcPr>
          <w:p w14:paraId="53A5532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89</w:t>
            </w:r>
          </w:p>
        </w:tc>
        <w:tc>
          <w:tcPr>
            <w:tcW w:w="558" w:type="pct"/>
            <w:tcBorders>
              <w:top w:val="nil"/>
              <w:left w:val="nil"/>
              <w:bottom w:val="single" w:sz="4" w:space="0" w:color="auto"/>
              <w:right w:val="single" w:sz="4" w:space="0" w:color="auto"/>
            </w:tcBorders>
            <w:shd w:val="clear" w:color="auto" w:fill="auto"/>
            <w:noWrap/>
            <w:vAlign w:val="bottom"/>
            <w:hideMark/>
          </w:tcPr>
          <w:p w14:paraId="0872C739"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8" w:type="pct"/>
            <w:tcBorders>
              <w:top w:val="nil"/>
              <w:left w:val="nil"/>
              <w:bottom w:val="single" w:sz="4" w:space="0" w:color="auto"/>
              <w:right w:val="single" w:sz="4" w:space="0" w:color="auto"/>
            </w:tcBorders>
            <w:shd w:val="clear" w:color="auto" w:fill="auto"/>
            <w:noWrap/>
            <w:vAlign w:val="bottom"/>
            <w:hideMark/>
          </w:tcPr>
          <w:p w14:paraId="36518BF5"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8" w:type="pct"/>
            <w:tcBorders>
              <w:top w:val="nil"/>
              <w:left w:val="nil"/>
              <w:bottom w:val="single" w:sz="4" w:space="0" w:color="auto"/>
              <w:right w:val="single" w:sz="4" w:space="0" w:color="auto"/>
            </w:tcBorders>
            <w:shd w:val="clear" w:color="auto" w:fill="auto"/>
            <w:noWrap/>
            <w:vAlign w:val="bottom"/>
            <w:hideMark/>
          </w:tcPr>
          <w:p w14:paraId="7172FCF5"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926" w:type="pct"/>
            <w:tcBorders>
              <w:top w:val="nil"/>
              <w:left w:val="nil"/>
              <w:bottom w:val="single" w:sz="4" w:space="0" w:color="auto"/>
              <w:right w:val="single" w:sz="4" w:space="0" w:color="auto"/>
            </w:tcBorders>
            <w:shd w:val="clear" w:color="auto" w:fill="auto"/>
            <w:noWrap/>
            <w:vAlign w:val="bottom"/>
            <w:hideMark/>
          </w:tcPr>
          <w:p w14:paraId="635F43BB" w14:textId="77777777" w:rsidR="007E253F" w:rsidRPr="007E253F" w:rsidRDefault="007E253F" w:rsidP="00380191">
            <w:pPr>
              <w:spacing w:after="0" w:line="240" w:lineRule="auto"/>
              <w:jc w:val="center"/>
              <w:rPr>
                <w:rFonts w:eastAsia="Times New Roman" w:cs="Times New Roman"/>
                <w:color w:val="000000"/>
                <w:szCs w:val="24"/>
                <w:lang w:eastAsia="es-EC"/>
              </w:rPr>
            </w:pPr>
          </w:p>
        </w:tc>
      </w:tr>
    </w:tbl>
    <w:p w14:paraId="07DCF8D7" w14:textId="7383C37A" w:rsidR="007E253F" w:rsidRPr="007E253F" w:rsidRDefault="007E253F" w:rsidP="00380191">
      <w:pPr>
        <w:autoSpaceDE w:val="0"/>
        <w:autoSpaceDN w:val="0"/>
        <w:adjustRightInd w:val="0"/>
        <w:spacing w:before="360" w:after="360" w:line="360" w:lineRule="auto"/>
        <w:rPr>
          <w:rFonts w:cs="Times New Roman"/>
          <w:bCs/>
          <w:szCs w:val="24"/>
        </w:rPr>
      </w:pPr>
      <w:r w:rsidRPr="007E253F">
        <w:rPr>
          <w:rFonts w:cs="Times New Roman"/>
          <w:bCs/>
          <w:szCs w:val="24"/>
        </w:rPr>
        <w:t>El modelo estadístico establecido explica el 57,14% de la variación observada en los datos; el magnesio considera una variación del 1,40 %, el nitrógeno nutriente con más importancia que explica el 16,06% de la variación observada. Un 42,86% de la variación se les atribuyó a efectos aleatorios que el modelo no pudo explicar (error) de a</w:t>
      </w:r>
      <w:r w:rsidR="005F2CA6">
        <w:rPr>
          <w:rFonts w:cs="Times New Roman"/>
          <w:bCs/>
          <w:szCs w:val="24"/>
        </w:rPr>
        <w:t>b</w:t>
      </w:r>
      <w:r w:rsidRPr="007E253F">
        <w:rPr>
          <w:rFonts w:cs="Times New Roman"/>
          <w:bCs/>
          <w:szCs w:val="24"/>
        </w:rPr>
        <w:t xml:space="preserve">sorción total de magnesios, respectivamente. Los nutrientes azufre y magnesio explicaron menos del 5% de la </w:t>
      </w:r>
      <w:r w:rsidRPr="007E253F">
        <w:rPr>
          <w:rFonts w:cs="Times New Roman"/>
          <w:szCs w:val="24"/>
        </w:rPr>
        <w:t>absorción total de azufre</w:t>
      </w:r>
      <w:r w:rsidRPr="007E253F">
        <w:rPr>
          <w:rFonts w:cs="Times New Roman"/>
          <w:bCs/>
          <w:szCs w:val="24"/>
        </w:rPr>
        <w:t xml:space="preserve"> (</w:t>
      </w:r>
      <w:r w:rsidR="009226C1">
        <w:rPr>
          <w:rFonts w:cs="Times New Roman"/>
          <w:bCs/>
          <w:szCs w:val="24"/>
        </w:rPr>
        <w:t>Cuadro</w:t>
      </w:r>
      <w:r w:rsidRPr="007E253F">
        <w:rPr>
          <w:rFonts w:cs="Times New Roman"/>
          <w:bCs/>
          <w:szCs w:val="24"/>
        </w:rPr>
        <w:t xml:space="preserve"> 51).  </w:t>
      </w:r>
    </w:p>
    <w:p w14:paraId="3363EC37" w14:textId="77777777" w:rsidR="00380191" w:rsidRDefault="007E253F" w:rsidP="00380191">
      <w:pPr>
        <w:autoSpaceDE w:val="0"/>
        <w:autoSpaceDN w:val="0"/>
        <w:adjustRightInd w:val="0"/>
        <w:spacing w:after="0" w:line="360" w:lineRule="auto"/>
        <w:rPr>
          <w:rFonts w:cs="Times New Roman"/>
          <w:bCs/>
          <w:szCs w:val="24"/>
        </w:rPr>
      </w:pPr>
      <w:r w:rsidRPr="007E253F">
        <w:rPr>
          <w:rFonts w:cs="Times New Roman"/>
          <w:bCs/>
          <w:szCs w:val="24"/>
        </w:rPr>
        <w:t xml:space="preserve">En </w:t>
      </w:r>
      <w:r w:rsidR="00C35AC8">
        <w:rPr>
          <w:rFonts w:cs="Times New Roman"/>
          <w:bCs/>
          <w:szCs w:val="24"/>
        </w:rPr>
        <w:t>l</w:t>
      </w:r>
      <w:r w:rsidR="009226C1">
        <w:rPr>
          <w:rFonts w:cs="Times New Roman"/>
          <w:bCs/>
          <w:szCs w:val="24"/>
        </w:rPr>
        <w:t>os cuadros</w:t>
      </w:r>
      <w:r w:rsidR="00C35AC8">
        <w:rPr>
          <w:rFonts w:cs="Times New Roman"/>
          <w:bCs/>
          <w:szCs w:val="24"/>
        </w:rPr>
        <w:t xml:space="preserve"> </w:t>
      </w:r>
      <w:r w:rsidRPr="007E253F">
        <w:rPr>
          <w:rFonts w:cs="Times New Roman"/>
          <w:bCs/>
          <w:szCs w:val="24"/>
        </w:rPr>
        <w:t>52, 53, 54, 55, 56 y 57 se presentan los promedios y el error estándar de a</w:t>
      </w:r>
      <w:r w:rsidR="005F2CA6">
        <w:rPr>
          <w:rFonts w:cs="Times New Roman"/>
          <w:bCs/>
          <w:szCs w:val="24"/>
        </w:rPr>
        <w:t>b</w:t>
      </w:r>
      <w:r w:rsidRPr="007E253F">
        <w:rPr>
          <w:rFonts w:cs="Times New Roman"/>
          <w:bCs/>
          <w:szCs w:val="24"/>
        </w:rPr>
        <w:t>sorción de magnesio por efecto de las localidades (cantón) y los niveles de nitrógeno, fósforo, potasio, azufre, magnesio con su respectiva prueba de Lsd F</w:t>
      </w:r>
      <w:r w:rsidR="00077513">
        <w:rPr>
          <w:rFonts w:cs="Times New Roman"/>
          <w:bCs/>
          <w:szCs w:val="24"/>
        </w:rPr>
        <w:t xml:space="preserve">isher (alfa=0,05). </w:t>
      </w:r>
      <w:bookmarkStart w:id="1495" w:name="_Toc79314044"/>
    </w:p>
    <w:p w14:paraId="4E6C24D5" w14:textId="1974491B" w:rsidR="00077513" w:rsidRPr="00380191" w:rsidRDefault="00077513" w:rsidP="00380191">
      <w:pPr>
        <w:autoSpaceDE w:val="0"/>
        <w:autoSpaceDN w:val="0"/>
        <w:adjustRightInd w:val="0"/>
        <w:spacing w:before="360" w:after="0" w:line="360" w:lineRule="auto"/>
        <w:rPr>
          <w:rFonts w:cs="Times New Roman"/>
          <w:bCs/>
          <w:szCs w:val="24"/>
        </w:rPr>
      </w:pPr>
      <w:r w:rsidRPr="00077513">
        <w:rPr>
          <w:rFonts w:cs="Times New Roman"/>
          <w:b/>
          <w:bCs/>
          <w:szCs w:val="24"/>
        </w:rPr>
        <w:t xml:space="preserve">Cuadro </w:t>
      </w:r>
      <w:r w:rsidRPr="00077513">
        <w:rPr>
          <w:rFonts w:cs="Times New Roman"/>
          <w:b/>
          <w:bCs/>
          <w:i/>
          <w:iCs/>
          <w:szCs w:val="24"/>
        </w:rPr>
        <w:fldChar w:fldCharType="begin"/>
      </w:r>
      <w:r w:rsidRPr="00077513">
        <w:rPr>
          <w:rFonts w:cs="Times New Roman"/>
          <w:b/>
          <w:bCs/>
          <w:szCs w:val="24"/>
        </w:rPr>
        <w:instrText xml:space="preserve"> SEQ Cuadro \* ARABIC </w:instrText>
      </w:r>
      <w:r w:rsidRPr="00077513">
        <w:rPr>
          <w:rFonts w:cs="Times New Roman"/>
          <w:b/>
          <w:bCs/>
          <w:i/>
          <w:iCs/>
          <w:szCs w:val="24"/>
        </w:rPr>
        <w:fldChar w:fldCharType="separate"/>
      </w:r>
      <w:r w:rsidR="000D1F55">
        <w:rPr>
          <w:rFonts w:cs="Times New Roman"/>
          <w:b/>
          <w:bCs/>
          <w:noProof/>
          <w:szCs w:val="24"/>
        </w:rPr>
        <w:t>52</w:t>
      </w:r>
      <w:r w:rsidRPr="00077513">
        <w:rPr>
          <w:rFonts w:cs="Times New Roman"/>
          <w:b/>
          <w:bCs/>
          <w:i/>
          <w:iCs/>
          <w:szCs w:val="24"/>
        </w:rPr>
        <w:fldChar w:fldCharType="end"/>
      </w:r>
      <w:r w:rsidRPr="00077513">
        <w:rPr>
          <w:rFonts w:cs="Times New Roman"/>
          <w:b/>
          <w:bCs/>
          <w:szCs w:val="24"/>
        </w:rPr>
        <w:t xml:space="preserve">. </w:t>
      </w:r>
      <w:r w:rsidRPr="00077513">
        <w:rPr>
          <w:rFonts w:cs="Times New Roman"/>
          <w:bCs/>
          <w:szCs w:val="24"/>
        </w:rPr>
        <w:t>Absorción total de magnesio, evaluado por localidades (cantón) en la provincia de Bolívar del 2006 al 2011.</w:t>
      </w:r>
      <w:bookmarkEnd w:id="1495"/>
    </w:p>
    <w:tbl>
      <w:tblPr>
        <w:tblW w:w="7893" w:type="dxa"/>
        <w:tblCellMar>
          <w:left w:w="70" w:type="dxa"/>
          <w:right w:w="70" w:type="dxa"/>
        </w:tblCellMar>
        <w:tblLook w:val="04A0" w:firstRow="1" w:lastRow="0" w:firstColumn="1" w:lastColumn="0" w:noHBand="0" w:noVBand="1"/>
      </w:tblPr>
      <w:tblGrid>
        <w:gridCol w:w="1813"/>
        <w:gridCol w:w="948"/>
        <w:gridCol w:w="778"/>
        <w:gridCol w:w="1788"/>
        <w:gridCol w:w="1283"/>
        <w:gridCol w:w="1283"/>
      </w:tblGrid>
      <w:tr w:rsidR="007E253F" w:rsidRPr="007E253F" w14:paraId="428A700C" w14:textId="77777777" w:rsidTr="00A05F3F">
        <w:trPr>
          <w:trHeight w:val="311"/>
        </w:trPr>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EFA23"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Cantón</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033F004A"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14:paraId="22FACCC2" w14:textId="7B2BDC72" w:rsidR="007E253F" w:rsidRPr="007E253F" w:rsidRDefault="00313B1A"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0A8DF8F6"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1283" w:type="dxa"/>
            <w:tcBorders>
              <w:top w:val="single" w:sz="4" w:space="0" w:color="auto"/>
              <w:left w:val="single" w:sz="4" w:space="0" w:color="auto"/>
              <w:bottom w:val="single" w:sz="4" w:space="0" w:color="auto"/>
            </w:tcBorders>
            <w:shd w:val="clear" w:color="auto" w:fill="auto"/>
            <w:noWrap/>
            <w:vAlign w:val="bottom"/>
            <w:hideMark/>
          </w:tcPr>
          <w:p w14:paraId="0394AE9E" w14:textId="77777777" w:rsidR="007E253F" w:rsidRPr="007E253F" w:rsidRDefault="007E253F" w:rsidP="00380191">
            <w:pPr>
              <w:spacing w:after="0" w:line="240" w:lineRule="auto"/>
              <w:jc w:val="right"/>
              <w:rPr>
                <w:rFonts w:eastAsia="Times New Roman" w:cs="Times New Roman"/>
                <w:b/>
                <w:bCs/>
                <w:color w:val="000000"/>
                <w:szCs w:val="24"/>
                <w:lang w:eastAsia="es-EC"/>
              </w:rPr>
            </w:pPr>
            <w:r w:rsidRPr="007E253F">
              <w:rPr>
                <w:rFonts w:eastAsia="Times New Roman" w:cs="Times New Roman"/>
                <w:b/>
                <w:bCs/>
                <w:color w:val="000000"/>
                <w:szCs w:val="24"/>
                <w:lang w:eastAsia="es-EC"/>
              </w:rPr>
              <w:t>Lsd</w:t>
            </w:r>
          </w:p>
        </w:tc>
        <w:tc>
          <w:tcPr>
            <w:tcW w:w="1283" w:type="dxa"/>
            <w:tcBorders>
              <w:top w:val="single" w:sz="4" w:space="0" w:color="auto"/>
              <w:bottom w:val="single" w:sz="4" w:space="0" w:color="auto"/>
              <w:right w:val="single" w:sz="4" w:space="0" w:color="auto"/>
            </w:tcBorders>
            <w:shd w:val="clear" w:color="auto" w:fill="auto"/>
            <w:noWrap/>
            <w:vAlign w:val="bottom"/>
            <w:hideMark/>
          </w:tcPr>
          <w:p w14:paraId="79FB8E2E" w14:textId="77777777" w:rsidR="007E253F" w:rsidRPr="007E253F" w:rsidRDefault="007E253F" w:rsidP="00380191">
            <w:pPr>
              <w:spacing w:after="0" w:line="240" w:lineRule="auto"/>
              <w:rPr>
                <w:rFonts w:eastAsia="Times New Roman" w:cs="Times New Roman"/>
                <w:b/>
                <w:bCs/>
                <w:color w:val="000000"/>
                <w:szCs w:val="24"/>
                <w:lang w:eastAsia="es-EC"/>
              </w:rPr>
            </w:pPr>
            <w:r w:rsidRPr="007E253F">
              <w:rPr>
                <w:rFonts w:eastAsia="Times New Roman" w:cs="Times New Roman"/>
                <w:b/>
                <w:bCs/>
                <w:color w:val="000000"/>
                <w:szCs w:val="24"/>
                <w:lang w:eastAsia="es-EC"/>
              </w:rPr>
              <w:t>0,05</w:t>
            </w:r>
          </w:p>
        </w:tc>
      </w:tr>
      <w:tr w:rsidR="007E253F" w:rsidRPr="007E253F" w14:paraId="6C83070F" w14:textId="77777777" w:rsidTr="00A05F3F">
        <w:trPr>
          <w:trHeight w:val="311"/>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53F9679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Chillanes</w:t>
            </w:r>
          </w:p>
        </w:tc>
        <w:tc>
          <w:tcPr>
            <w:tcW w:w="948" w:type="dxa"/>
            <w:tcBorders>
              <w:top w:val="nil"/>
              <w:left w:val="nil"/>
              <w:bottom w:val="single" w:sz="4" w:space="0" w:color="auto"/>
              <w:right w:val="single" w:sz="4" w:space="0" w:color="auto"/>
            </w:tcBorders>
            <w:shd w:val="clear" w:color="auto" w:fill="auto"/>
            <w:noWrap/>
            <w:vAlign w:val="bottom"/>
            <w:hideMark/>
          </w:tcPr>
          <w:p w14:paraId="22079633"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14,67</w:t>
            </w:r>
          </w:p>
        </w:tc>
        <w:tc>
          <w:tcPr>
            <w:tcW w:w="778" w:type="dxa"/>
            <w:tcBorders>
              <w:top w:val="nil"/>
              <w:left w:val="nil"/>
              <w:bottom w:val="single" w:sz="4" w:space="0" w:color="auto"/>
              <w:right w:val="single" w:sz="4" w:space="0" w:color="auto"/>
            </w:tcBorders>
            <w:shd w:val="clear" w:color="auto" w:fill="auto"/>
            <w:noWrap/>
            <w:vAlign w:val="bottom"/>
            <w:hideMark/>
          </w:tcPr>
          <w:p w14:paraId="1819D88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31</w:t>
            </w:r>
          </w:p>
        </w:tc>
        <w:tc>
          <w:tcPr>
            <w:tcW w:w="1788" w:type="dxa"/>
            <w:tcBorders>
              <w:top w:val="nil"/>
              <w:left w:val="nil"/>
              <w:bottom w:val="single" w:sz="4" w:space="0" w:color="auto"/>
              <w:right w:val="single" w:sz="4" w:space="0" w:color="auto"/>
            </w:tcBorders>
            <w:shd w:val="clear" w:color="auto" w:fill="auto"/>
            <w:noWrap/>
            <w:vAlign w:val="bottom"/>
            <w:hideMark/>
          </w:tcPr>
          <w:p w14:paraId="329571A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1,16</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2A3560F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5CD4D883"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3405BC6F" w14:textId="77777777" w:rsidTr="00A05F3F">
        <w:trPr>
          <w:trHeight w:val="311"/>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79B2B2B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San Miguel</w:t>
            </w:r>
          </w:p>
        </w:tc>
        <w:tc>
          <w:tcPr>
            <w:tcW w:w="948" w:type="dxa"/>
            <w:tcBorders>
              <w:top w:val="nil"/>
              <w:left w:val="nil"/>
              <w:bottom w:val="single" w:sz="4" w:space="0" w:color="auto"/>
              <w:right w:val="single" w:sz="4" w:space="0" w:color="auto"/>
            </w:tcBorders>
            <w:shd w:val="clear" w:color="auto" w:fill="auto"/>
            <w:noWrap/>
            <w:vAlign w:val="bottom"/>
            <w:hideMark/>
          </w:tcPr>
          <w:p w14:paraId="5780439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17,06</w:t>
            </w:r>
          </w:p>
        </w:tc>
        <w:tc>
          <w:tcPr>
            <w:tcW w:w="778" w:type="dxa"/>
            <w:tcBorders>
              <w:top w:val="nil"/>
              <w:left w:val="nil"/>
              <w:bottom w:val="single" w:sz="4" w:space="0" w:color="auto"/>
              <w:right w:val="single" w:sz="4" w:space="0" w:color="auto"/>
            </w:tcBorders>
            <w:shd w:val="clear" w:color="auto" w:fill="auto"/>
            <w:noWrap/>
            <w:vAlign w:val="bottom"/>
            <w:hideMark/>
          </w:tcPr>
          <w:p w14:paraId="6EAE01F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1788" w:type="dxa"/>
            <w:tcBorders>
              <w:top w:val="nil"/>
              <w:left w:val="nil"/>
              <w:bottom w:val="single" w:sz="4" w:space="0" w:color="auto"/>
              <w:right w:val="single" w:sz="4" w:space="0" w:color="auto"/>
            </w:tcBorders>
            <w:shd w:val="clear" w:color="auto" w:fill="auto"/>
            <w:noWrap/>
            <w:vAlign w:val="bottom"/>
            <w:hideMark/>
          </w:tcPr>
          <w:p w14:paraId="248D980D"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1,44</w:t>
            </w:r>
          </w:p>
        </w:tc>
        <w:tc>
          <w:tcPr>
            <w:tcW w:w="1283" w:type="dxa"/>
            <w:tcBorders>
              <w:top w:val="nil"/>
              <w:left w:val="nil"/>
              <w:bottom w:val="single" w:sz="4" w:space="0" w:color="auto"/>
              <w:right w:val="single" w:sz="4" w:space="0" w:color="auto"/>
            </w:tcBorders>
            <w:shd w:val="clear" w:color="auto" w:fill="auto"/>
            <w:noWrap/>
            <w:vAlign w:val="bottom"/>
            <w:hideMark/>
          </w:tcPr>
          <w:p w14:paraId="670EFD5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1283" w:type="dxa"/>
            <w:tcBorders>
              <w:top w:val="nil"/>
              <w:left w:val="nil"/>
              <w:bottom w:val="single" w:sz="4" w:space="0" w:color="auto"/>
              <w:right w:val="single" w:sz="4" w:space="0" w:color="auto"/>
            </w:tcBorders>
            <w:shd w:val="clear" w:color="auto" w:fill="auto"/>
            <w:noWrap/>
            <w:vAlign w:val="bottom"/>
            <w:hideMark/>
          </w:tcPr>
          <w:p w14:paraId="451AE666"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r w:rsidR="007E253F" w:rsidRPr="007E253F" w14:paraId="26EC615A" w14:textId="77777777" w:rsidTr="00A05F3F">
        <w:trPr>
          <w:trHeight w:val="311"/>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5B1ABEF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Guaranda</w:t>
            </w:r>
          </w:p>
        </w:tc>
        <w:tc>
          <w:tcPr>
            <w:tcW w:w="948" w:type="dxa"/>
            <w:tcBorders>
              <w:top w:val="nil"/>
              <w:left w:val="nil"/>
              <w:bottom w:val="single" w:sz="4" w:space="0" w:color="auto"/>
              <w:right w:val="single" w:sz="4" w:space="0" w:color="auto"/>
            </w:tcBorders>
            <w:shd w:val="clear" w:color="auto" w:fill="auto"/>
            <w:noWrap/>
            <w:vAlign w:val="bottom"/>
            <w:hideMark/>
          </w:tcPr>
          <w:p w14:paraId="2C1C34D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18,82</w:t>
            </w:r>
          </w:p>
        </w:tc>
        <w:tc>
          <w:tcPr>
            <w:tcW w:w="778" w:type="dxa"/>
            <w:tcBorders>
              <w:top w:val="nil"/>
              <w:left w:val="nil"/>
              <w:bottom w:val="single" w:sz="4" w:space="0" w:color="auto"/>
              <w:right w:val="single" w:sz="4" w:space="0" w:color="auto"/>
            </w:tcBorders>
            <w:shd w:val="clear" w:color="auto" w:fill="auto"/>
            <w:noWrap/>
            <w:vAlign w:val="bottom"/>
            <w:hideMark/>
          </w:tcPr>
          <w:p w14:paraId="5123D74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788" w:type="dxa"/>
            <w:tcBorders>
              <w:top w:val="nil"/>
              <w:left w:val="nil"/>
              <w:bottom w:val="single" w:sz="4" w:space="0" w:color="auto"/>
              <w:right w:val="single" w:sz="4" w:space="0" w:color="auto"/>
            </w:tcBorders>
            <w:shd w:val="clear" w:color="auto" w:fill="auto"/>
            <w:noWrap/>
            <w:vAlign w:val="bottom"/>
            <w:hideMark/>
          </w:tcPr>
          <w:p w14:paraId="67076B7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1,56</w:t>
            </w:r>
          </w:p>
        </w:tc>
        <w:tc>
          <w:tcPr>
            <w:tcW w:w="1283" w:type="dxa"/>
            <w:tcBorders>
              <w:top w:val="nil"/>
              <w:left w:val="nil"/>
              <w:bottom w:val="single" w:sz="4" w:space="0" w:color="auto"/>
              <w:right w:val="single" w:sz="4" w:space="0" w:color="auto"/>
            </w:tcBorders>
            <w:shd w:val="clear" w:color="auto" w:fill="auto"/>
            <w:noWrap/>
            <w:vAlign w:val="bottom"/>
            <w:hideMark/>
          </w:tcPr>
          <w:p w14:paraId="22B3249A"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1283" w:type="dxa"/>
            <w:tcBorders>
              <w:top w:val="nil"/>
              <w:left w:val="nil"/>
              <w:bottom w:val="single" w:sz="4" w:space="0" w:color="auto"/>
              <w:right w:val="single" w:sz="4" w:space="0" w:color="auto"/>
            </w:tcBorders>
            <w:shd w:val="clear" w:color="auto" w:fill="auto"/>
            <w:noWrap/>
            <w:vAlign w:val="bottom"/>
            <w:hideMark/>
          </w:tcPr>
          <w:p w14:paraId="4D8FF66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r w:rsidR="007E253F" w:rsidRPr="007E253F" w14:paraId="35D60A91" w14:textId="77777777" w:rsidTr="00A05F3F">
        <w:trPr>
          <w:trHeight w:val="311"/>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555F794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Chimbo</w:t>
            </w:r>
          </w:p>
        </w:tc>
        <w:tc>
          <w:tcPr>
            <w:tcW w:w="948" w:type="dxa"/>
            <w:tcBorders>
              <w:top w:val="nil"/>
              <w:left w:val="nil"/>
              <w:bottom w:val="single" w:sz="4" w:space="0" w:color="auto"/>
              <w:right w:val="single" w:sz="4" w:space="0" w:color="auto"/>
            </w:tcBorders>
            <w:shd w:val="clear" w:color="auto" w:fill="auto"/>
            <w:noWrap/>
            <w:vAlign w:val="bottom"/>
            <w:hideMark/>
          </w:tcPr>
          <w:p w14:paraId="4ABDADB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19,28</w:t>
            </w:r>
          </w:p>
        </w:tc>
        <w:tc>
          <w:tcPr>
            <w:tcW w:w="778" w:type="dxa"/>
            <w:tcBorders>
              <w:top w:val="nil"/>
              <w:left w:val="nil"/>
              <w:bottom w:val="single" w:sz="4" w:space="0" w:color="auto"/>
              <w:right w:val="single" w:sz="4" w:space="0" w:color="auto"/>
            </w:tcBorders>
            <w:shd w:val="clear" w:color="auto" w:fill="auto"/>
            <w:noWrap/>
            <w:vAlign w:val="bottom"/>
            <w:hideMark/>
          </w:tcPr>
          <w:p w14:paraId="69BDC2B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w:t>
            </w:r>
          </w:p>
        </w:tc>
        <w:tc>
          <w:tcPr>
            <w:tcW w:w="1788" w:type="dxa"/>
            <w:tcBorders>
              <w:top w:val="nil"/>
              <w:left w:val="nil"/>
              <w:bottom w:val="single" w:sz="4" w:space="0" w:color="auto"/>
              <w:right w:val="single" w:sz="4" w:space="0" w:color="auto"/>
            </w:tcBorders>
            <w:shd w:val="clear" w:color="auto" w:fill="auto"/>
            <w:noWrap/>
            <w:vAlign w:val="bottom"/>
            <w:hideMark/>
          </w:tcPr>
          <w:p w14:paraId="2FE37E4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1,37</w:t>
            </w:r>
          </w:p>
        </w:tc>
        <w:tc>
          <w:tcPr>
            <w:tcW w:w="1283" w:type="dxa"/>
            <w:tcBorders>
              <w:top w:val="nil"/>
              <w:left w:val="nil"/>
              <w:bottom w:val="single" w:sz="4" w:space="0" w:color="auto"/>
              <w:right w:val="single" w:sz="4" w:space="0" w:color="auto"/>
            </w:tcBorders>
            <w:shd w:val="clear" w:color="auto" w:fill="auto"/>
            <w:noWrap/>
            <w:vAlign w:val="bottom"/>
            <w:hideMark/>
          </w:tcPr>
          <w:p w14:paraId="45716D66"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1283" w:type="dxa"/>
            <w:tcBorders>
              <w:top w:val="nil"/>
              <w:left w:val="nil"/>
              <w:bottom w:val="single" w:sz="4" w:space="0" w:color="auto"/>
              <w:right w:val="single" w:sz="4" w:space="0" w:color="auto"/>
            </w:tcBorders>
            <w:shd w:val="clear" w:color="auto" w:fill="auto"/>
            <w:noWrap/>
            <w:vAlign w:val="bottom"/>
            <w:hideMark/>
          </w:tcPr>
          <w:p w14:paraId="2B7EAD96"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r>
    </w:tbl>
    <w:p w14:paraId="02529BB7" w14:textId="77777777" w:rsidR="00380191" w:rsidRDefault="007E253F" w:rsidP="00380191">
      <w:pPr>
        <w:autoSpaceDE w:val="0"/>
        <w:autoSpaceDN w:val="0"/>
        <w:adjustRightInd w:val="0"/>
        <w:spacing w:after="360" w:line="360" w:lineRule="auto"/>
        <w:rPr>
          <w:rFonts w:cs="Times New Roman"/>
          <w:szCs w:val="24"/>
        </w:rPr>
      </w:pPr>
      <w:r w:rsidRPr="007E253F">
        <w:rPr>
          <w:rFonts w:cs="Times New Roman"/>
          <w:szCs w:val="24"/>
        </w:rPr>
        <w:t>Medias con una letra común no son significa</w:t>
      </w:r>
      <w:r w:rsidR="00077513">
        <w:rPr>
          <w:rFonts w:cs="Times New Roman"/>
          <w:szCs w:val="24"/>
        </w:rPr>
        <w:t>tivamente diferentes (p &gt; 0,05)</w:t>
      </w:r>
      <w:bookmarkStart w:id="1496" w:name="_Toc79314045"/>
    </w:p>
    <w:p w14:paraId="7BCB09CB" w14:textId="77777777" w:rsidR="00380191" w:rsidRDefault="00380191" w:rsidP="00380191">
      <w:pPr>
        <w:autoSpaceDE w:val="0"/>
        <w:autoSpaceDN w:val="0"/>
        <w:adjustRightInd w:val="0"/>
        <w:spacing w:after="360" w:line="360" w:lineRule="auto"/>
        <w:rPr>
          <w:rFonts w:cs="Times New Roman"/>
          <w:b/>
          <w:szCs w:val="24"/>
        </w:rPr>
      </w:pPr>
      <w:r>
        <w:rPr>
          <w:rFonts w:cs="Times New Roman"/>
          <w:b/>
          <w:szCs w:val="24"/>
        </w:rPr>
        <w:br w:type="page"/>
      </w:r>
    </w:p>
    <w:p w14:paraId="12DAADF8" w14:textId="4814239C" w:rsidR="00077513" w:rsidRPr="00380191" w:rsidRDefault="00077513" w:rsidP="00380191">
      <w:pPr>
        <w:autoSpaceDE w:val="0"/>
        <w:autoSpaceDN w:val="0"/>
        <w:adjustRightInd w:val="0"/>
        <w:spacing w:after="0" w:line="360" w:lineRule="auto"/>
        <w:rPr>
          <w:rFonts w:cs="Times New Roman"/>
          <w:szCs w:val="24"/>
        </w:rPr>
      </w:pPr>
      <w:r w:rsidRPr="00077513">
        <w:rPr>
          <w:rFonts w:cs="Times New Roman"/>
          <w:b/>
          <w:szCs w:val="24"/>
        </w:rPr>
        <w:lastRenderedPageBreak/>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53</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magnesio para diversas dosis de nitrógeno evaluadas en la provincia de Bolívar del 2006 al 2011.</w:t>
      </w:r>
      <w:bookmarkEnd w:id="1496"/>
    </w:p>
    <w:tbl>
      <w:tblPr>
        <w:tblW w:w="5000" w:type="pct"/>
        <w:tblLayout w:type="fixed"/>
        <w:tblCellMar>
          <w:left w:w="70" w:type="dxa"/>
          <w:right w:w="70" w:type="dxa"/>
        </w:tblCellMar>
        <w:tblLook w:val="04A0" w:firstRow="1" w:lastRow="0" w:firstColumn="1" w:lastColumn="0" w:noHBand="0" w:noVBand="1"/>
      </w:tblPr>
      <w:tblGrid>
        <w:gridCol w:w="1938"/>
        <w:gridCol w:w="888"/>
        <w:gridCol w:w="642"/>
        <w:gridCol w:w="1945"/>
        <w:gridCol w:w="679"/>
        <w:gridCol w:w="1134"/>
        <w:gridCol w:w="701"/>
      </w:tblGrid>
      <w:tr w:rsidR="007E253F" w:rsidRPr="007E253F" w14:paraId="15B72F61" w14:textId="77777777" w:rsidTr="00077513">
        <w:trPr>
          <w:trHeight w:val="300"/>
        </w:trPr>
        <w:tc>
          <w:tcPr>
            <w:tcW w:w="1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17E00"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N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560" w:type="pct"/>
            <w:tcBorders>
              <w:top w:val="single" w:sz="4" w:space="0" w:color="auto"/>
              <w:left w:val="nil"/>
              <w:bottom w:val="single" w:sz="4" w:space="0" w:color="auto"/>
              <w:right w:val="single" w:sz="4" w:space="0" w:color="auto"/>
            </w:tcBorders>
            <w:shd w:val="clear" w:color="auto" w:fill="auto"/>
            <w:noWrap/>
            <w:vAlign w:val="bottom"/>
            <w:hideMark/>
          </w:tcPr>
          <w:p w14:paraId="296B8E15"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E368B6E" w14:textId="27BE1421" w:rsidR="007E253F" w:rsidRPr="007E253F" w:rsidRDefault="00313B1A"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227" w:type="pct"/>
            <w:tcBorders>
              <w:top w:val="single" w:sz="4" w:space="0" w:color="auto"/>
              <w:left w:val="nil"/>
              <w:bottom w:val="single" w:sz="4" w:space="0" w:color="auto"/>
              <w:right w:val="single" w:sz="4" w:space="0" w:color="auto"/>
            </w:tcBorders>
            <w:shd w:val="clear" w:color="auto" w:fill="auto"/>
            <w:noWrap/>
            <w:vAlign w:val="bottom"/>
            <w:hideMark/>
          </w:tcPr>
          <w:p w14:paraId="2D8FBF99"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428" w:type="pct"/>
            <w:tcBorders>
              <w:top w:val="single" w:sz="4" w:space="0" w:color="auto"/>
              <w:left w:val="single" w:sz="4" w:space="0" w:color="auto"/>
              <w:bottom w:val="single" w:sz="4" w:space="0" w:color="auto"/>
            </w:tcBorders>
            <w:shd w:val="clear" w:color="auto" w:fill="auto"/>
            <w:noWrap/>
            <w:vAlign w:val="bottom"/>
            <w:hideMark/>
          </w:tcPr>
          <w:p w14:paraId="7EB612BD"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715" w:type="pct"/>
            <w:tcBorders>
              <w:top w:val="single" w:sz="4" w:space="0" w:color="auto"/>
              <w:bottom w:val="single" w:sz="4" w:space="0" w:color="auto"/>
            </w:tcBorders>
            <w:shd w:val="clear" w:color="auto" w:fill="auto"/>
            <w:noWrap/>
            <w:vAlign w:val="bottom"/>
            <w:hideMark/>
          </w:tcPr>
          <w:p w14:paraId="29F9EBC6"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Lsd 0,05</w:t>
            </w:r>
          </w:p>
        </w:tc>
        <w:tc>
          <w:tcPr>
            <w:tcW w:w="443" w:type="pct"/>
            <w:tcBorders>
              <w:top w:val="single" w:sz="4" w:space="0" w:color="auto"/>
              <w:bottom w:val="single" w:sz="4" w:space="0" w:color="auto"/>
              <w:right w:val="single" w:sz="4" w:space="0" w:color="auto"/>
            </w:tcBorders>
            <w:shd w:val="clear" w:color="auto" w:fill="auto"/>
            <w:noWrap/>
            <w:vAlign w:val="bottom"/>
            <w:hideMark/>
          </w:tcPr>
          <w:p w14:paraId="73D6E25E"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35BDCB80" w14:textId="77777777" w:rsidTr="00077513">
        <w:trPr>
          <w:trHeight w:val="300"/>
        </w:trPr>
        <w:tc>
          <w:tcPr>
            <w:tcW w:w="1223" w:type="pct"/>
            <w:tcBorders>
              <w:top w:val="nil"/>
              <w:left w:val="single" w:sz="4" w:space="0" w:color="auto"/>
              <w:bottom w:val="single" w:sz="4" w:space="0" w:color="auto"/>
              <w:right w:val="single" w:sz="4" w:space="0" w:color="auto"/>
            </w:tcBorders>
            <w:shd w:val="clear" w:color="auto" w:fill="auto"/>
            <w:noWrap/>
            <w:vAlign w:val="bottom"/>
            <w:hideMark/>
          </w:tcPr>
          <w:p w14:paraId="2FA16033"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560" w:type="pct"/>
            <w:tcBorders>
              <w:top w:val="nil"/>
              <w:left w:val="nil"/>
              <w:bottom w:val="single" w:sz="4" w:space="0" w:color="auto"/>
              <w:right w:val="single" w:sz="4" w:space="0" w:color="auto"/>
            </w:tcBorders>
            <w:shd w:val="clear" w:color="auto" w:fill="auto"/>
            <w:noWrap/>
            <w:vAlign w:val="bottom"/>
            <w:hideMark/>
          </w:tcPr>
          <w:p w14:paraId="5CF454B3"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11,45</w:t>
            </w:r>
          </w:p>
        </w:tc>
        <w:tc>
          <w:tcPr>
            <w:tcW w:w="405" w:type="pct"/>
            <w:tcBorders>
              <w:top w:val="nil"/>
              <w:left w:val="nil"/>
              <w:bottom w:val="single" w:sz="4" w:space="0" w:color="auto"/>
              <w:right w:val="single" w:sz="4" w:space="0" w:color="auto"/>
            </w:tcBorders>
            <w:shd w:val="clear" w:color="auto" w:fill="auto"/>
            <w:noWrap/>
            <w:vAlign w:val="bottom"/>
            <w:hideMark/>
          </w:tcPr>
          <w:p w14:paraId="24623E8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w:t>
            </w:r>
          </w:p>
        </w:tc>
        <w:tc>
          <w:tcPr>
            <w:tcW w:w="1227" w:type="pct"/>
            <w:tcBorders>
              <w:top w:val="nil"/>
              <w:left w:val="nil"/>
              <w:bottom w:val="single" w:sz="4" w:space="0" w:color="auto"/>
              <w:right w:val="single" w:sz="4" w:space="0" w:color="auto"/>
            </w:tcBorders>
            <w:shd w:val="clear" w:color="auto" w:fill="auto"/>
            <w:noWrap/>
            <w:vAlign w:val="bottom"/>
            <w:hideMark/>
          </w:tcPr>
          <w:p w14:paraId="6804AEC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1,63</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14:paraId="16B2194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715" w:type="pct"/>
            <w:tcBorders>
              <w:top w:val="single" w:sz="4" w:space="0" w:color="auto"/>
              <w:left w:val="nil"/>
              <w:bottom w:val="single" w:sz="4" w:space="0" w:color="auto"/>
              <w:right w:val="single" w:sz="4" w:space="0" w:color="auto"/>
            </w:tcBorders>
            <w:shd w:val="clear" w:color="auto" w:fill="auto"/>
            <w:noWrap/>
            <w:vAlign w:val="bottom"/>
            <w:hideMark/>
          </w:tcPr>
          <w:p w14:paraId="4980A4D7"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14:paraId="6740A318"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281D8925" w14:textId="77777777" w:rsidTr="00077513">
        <w:trPr>
          <w:trHeight w:val="300"/>
        </w:trPr>
        <w:tc>
          <w:tcPr>
            <w:tcW w:w="1223" w:type="pct"/>
            <w:tcBorders>
              <w:top w:val="nil"/>
              <w:left w:val="single" w:sz="4" w:space="0" w:color="auto"/>
              <w:bottom w:val="single" w:sz="4" w:space="0" w:color="auto"/>
              <w:right w:val="single" w:sz="4" w:space="0" w:color="auto"/>
            </w:tcBorders>
            <w:shd w:val="clear" w:color="auto" w:fill="auto"/>
            <w:noWrap/>
            <w:vAlign w:val="bottom"/>
            <w:hideMark/>
          </w:tcPr>
          <w:p w14:paraId="4D34CA09"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120</w:t>
            </w:r>
          </w:p>
        </w:tc>
        <w:tc>
          <w:tcPr>
            <w:tcW w:w="560" w:type="pct"/>
            <w:tcBorders>
              <w:top w:val="nil"/>
              <w:left w:val="nil"/>
              <w:bottom w:val="single" w:sz="4" w:space="0" w:color="auto"/>
              <w:right w:val="single" w:sz="4" w:space="0" w:color="auto"/>
            </w:tcBorders>
            <w:shd w:val="clear" w:color="auto" w:fill="auto"/>
            <w:noWrap/>
            <w:vAlign w:val="bottom"/>
            <w:hideMark/>
          </w:tcPr>
          <w:p w14:paraId="7D37A19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17,52</w:t>
            </w:r>
          </w:p>
        </w:tc>
        <w:tc>
          <w:tcPr>
            <w:tcW w:w="405" w:type="pct"/>
            <w:tcBorders>
              <w:top w:val="nil"/>
              <w:left w:val="nil"/>
              <w:bottom w:val="single" w:sz="4" w:space="0" w:color="auto"/>
              <w:right w:val="single" w:sz="4" w:space="0" w:color="auto"/>
            </w:tcBorders>
            <w:shd w:val="clear" w:color="auto" w:fill="auto"/>
            <w:noWrap/>
            <w:vAlign w:val="bottom"/>
            <w:hideMark/>
          </w:tcPr>
          <w:p w14:paraId="5A402F3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32</w:t>
            </w:r>
          </w:p>
        </w:tc>
        <w:tc>
          <w:tcPr>
            <w:tcW w:w="1227" w:type="pct"/>
            <w:tcBorders>
              <w:top w:val="nil"/>
              <w:left w:val="nil"/>
              <w:bottom w:val="single" w:sz="4" w:space="0" w:color="auto"/>
              <w:right w:val="single" w:sz="4" w:space="0" w:color="auto"/>
            </w:tcBorders>
            <w:shd w:val="clear" w:color="auto" w:fill="auto"/>
            <w:noWrap/>
            <w:vAlign w:val="bottom"/>
            <w:hideMark/>
          </w:tcPr>
          <w:p w14:paraId="6B615FA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1,14</w:t>
            </w:r>
          </w:p>
        </w:tc>
        <w:tc>
          <w:tcPr>
            <w:tcW w:w="428" w:type="pct"/>
            <w:tcBorders>
              <w:top w:val="nil"/>
              <w:left w:val="nil"/>
              <w:bottom w:val="single" w:sz="4" w:space="0" w:color="auto"/>
              <w:right w:val="single" w:sz="4" w:space="0" w:color="auto"/>
            </w:tcBorders>
            <w:shd w:val="clear" w:color="auto" w:fill="auto"/>
            <w:noWrap/>
            <w:vAlign w:val="bottom"/>
            <w:hideMark/>
          </w:tcPr>
          <w:p w14:paraId="11A036E2"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715" w:type="pct"/>
            <w:tcBorders>
              <w:top w:val="nil"/>
              <w:left w:val="nil"/>
              <w:bottom w:val="single" w:sz="4" w:space="0" w:color="auto"/>
              <w:right w:val="single" w:sz="4" w:space="0" w:color="auto"/>
            </w:tcBorders>
            <w:shd w:val="clear" w:color="auto" w:fill="auto"/>
            <w:noWrap/>
            <w:vAlign w:val="bottom"/>
            <w:hideMark/>
          </w:tcPr>
          <w:p w14:paraId="4A66371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443" w:type="pct"/>
            <w:tcBorders>
              <w:top w:val="nil"/>
              <w:left w:val="nil"/>
              <w:bottom w:val="single" w:sz="4" w:space="0" w:color="auto"/>
              <w:right w:val="single" w:sz="4" w:space="0" w:color="auto"/>
            </w:tcBorders>
            <w:shd w:val="clear" w:color="auto" w:fill="auto"/>
            <w:noWrap/>
            <w:vAlign w:val="bottom"/>
            <w:hideMark/>
          </w:tcPr>
          <w:p w14:paraId="4E5B8581"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3EF15F6F" w14:textId="77777777" w:rsidTr="00077513">
        <w:trPr>
          <w:trHeight w:val="300"/>
        </w:trPr>
        <w:tc>
          <w:tcPr>
            <w:tcW w:w="1223" w:type="pct"/>
            <w:tcBorders>
              <w:top w:val="nil"/>
              <w:left w:val="single" w:sz="4" w:space="0" w:color="auto"/>
              <w:bottom w:val="single" w:sz="4" w:space="0" w:color="auto"/>
              <w:right w:val="single" w:sz="4" w:space="0" w:color="auto"/>
            </w:tcBorders>
            <w:shd w:val="clear" w:color="auto" w:fill="auto"/>
            <w:noWrap/>
            <w:vAlign w:val="bottom"/>
            <w:hideMark/>
          </w:tcPr>
          <w:p w14:paraId="10231DC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50</w:t>
            </w:r>
          </w:p>
        </w:tc>
        <w:tc>
          <w:tcPr>
            <w:tcW w:w="560" w:type="pct"/>
            <w:tcBorders>
              <w:top w:val="nil"/>
              <w:left w:val="nil"/>
              <w:bottom w:val="single" w:sz="4" w:space="0" w:color="auto"/>
              <w:right w:val="single" w:sz="4" w:space="0" w:color="auto"/>
            </w:tcBorders>
            <w:shd w:val="clear" w:color="auto" w:fill="auto"/>
            <w:noWrap/>
            <w:vAlign w:val="bottom"/>
            <w:hideMark/>
          </w:tcPr>
          <w:p w14:paraId="2E39D36D"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20,38</w:t>
            </w:r>
          </w:p>
        </w:tc>
        <w:tc>
          <w:tcPr>
            <w:tcW w:w="405" w:type="pct"/>
            <w:tcBorders>
              <w:top w:val="nil"/>
              <w:left w:val="nil"/>
              <w:bottom w:val="single" w:sz="4" w:space="0" w:color="auto"/>
              <w:right w:val="single" w:sz="4" w:space="0" w:color="auto"/>
            </w:tcBorders>
            <w:shd w:val="clear" w:color="auto" w:fill="auto"/>
            <w:noWrap/>
            <w:vAlign w:val="bottom"/>
            <w:hideMark/>
          </w:tcPr>
          <w:p w14:paraId="7B70D3A9"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227" w:type="pct"/>
            <w:tcBorders>
              <w:top w:val="nil"/>
              <w:left w:val="nil"/>
              <w:bottom w:val="single" w:sz="4" w:space="0" w:color="auto"/>
              <w:right w:val="single" w:sz="4" w:space="0" w:color="auto"/>
            </w:tcBorders>
            <w:shd w:val="clear" w:color="auto" w:fill="auto"/>
            <w:noWrap/>
            <w:vAlign w:val="bottom"/>
            <w:hideMark/>
          </w:tcPr>
          <w:p w14:paraId="3274FD2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2,51</w:t>
            </w:r>
          </w:p>
        </w:tc>
        <w:tc>
          <w:tcPr>
            <w:tcW w:w="428" w:type="pct"/>
            <w:tcBorders>
              <w:top w:val="nil"/>
              <w:left w:val="nil"/>
              <w:bottom w:val="single" w:sz="4" w:space="0" w:color="auto"/>
              <w:right w:val="single" w:sz="4" w:space="0" w:color="auto"/>
            </w:tcBorders>
            <w:shd w:val="clear" w:color="auto" w:fill="auto"/>
            <w:noWrap/>
            <w:vAlign w:val="bottom"/>
            <w:hideMark/>
          </w:tcPr>
          <w:p w14:paraId="4D204CEE"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715" w:type="pct"/>
            <w:tcBorders>
              <w:top w:val="nil"/>
              <w:left w:val="nil"/>
              <w:bottom w:val="single" w:sz="4" w:space="0" w:color="auto"/>
              <w:right w:val="single" w:sz="4" w:space="0" w:color="auto"/>
            </w:tcBorders>
            <w:shd w:val="clear" w:color="auto" w:fill="auto"/>
            <w:noWrap/>
            <w:vAlign w:val="bottom"/>
            <w:hideMark/>
          </w:tcPr>
          <w:p w14:paraId="6B34342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443" w:type="pct"/>
            <w:tcBorders>
              <w:top w:val="nil"/>
              <w:left w:val="nil"/>
              <w:bottom w:val="single" w:sz="4" w:space="0" w:color="auto"/>
              <w:right w:val="single" w:sz="4" w:space="0" w:color="auto"/>
            </w:tcBorders>
            <w:shd w:val="clear" w:color="auto" w:fill="auto"/>
            <w:noWrap/>
            <w:vAlign w:val="bottom"/>
            <w:hideMark/>
          </w:tcPr>
          <w:p w14:paraId="4CC1B95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r w:rsidR="007E253F" w:rsidRPr="007E253F" w14:paraId="34E9A9D8" w14:textId="77777777" w:rsidTr="00077513">
        <w:trPr>
          <w:trHeight w:val="300"/>
        </w:trPr>
        <w:tc>
          <w:tcPr>
            <w:tcW w:w="1223" w:type="pct"/>
            <w:tcBorders>
              <w:top w:val="nil"/>
              <w:left w:val="single" w:sz="4" w:space="0" w:color="auto"/>
              <w:bottom w:val="single" w:sz="4" w:space="0" w:color="auto"/>
              <w:right w:val="single" w:sz="4" w:space="0" w:color="auto"/>
            </w:tcBorders>
            <w:shd w:val="clear" w:color="auto" w:fill="auto"/>
            <w:noWrap/>
            <w:vAlign w:val="bottom"/>
            <w:hideMark/>
          </w:tcPr>
          <w:p w14:paraId="4CE6EAB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140</w:t>
            </w:r>
          </w:p>
        </w:tc>
        <w:tc>
          <w:tcPr>
            <w:tcW w:w="560" w:type="pct"/>
            <w:tcBorders>
              <w:top w:val="nil"/>
              <w:left w:val="nil"/>
              <w:bottom w:val="single" w:sz="4" w:space="0" w:color="auto"/>
              <w:right w:val="single" w:sz="4" w:space="0" w:color="auto"/>
            </w:tcBorders>
            <w:shd w:val="clear" w:color="auto" w:fill="auto"/>
            <w:noWrap/>
            <w:vAlign w:val="bottom"/>
            <w:hideMark/>
          </w:tcPr>
          <w:p w14:paraId="51C7033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21,56</w:t>
            </w:r>
          </w:p>
        </w:tc>
        <w:tc>
          <w:tcPr>
            <w:tcW w:w="405" w:type="pct"/>
            <w:tcBorders>
              <w:top w:val="nil"/>
              <w:left w:val="nil"/>
              <w:bottom w:val="single" w:sz="4" w:space="0" w:color="auto"/>
              <w:right w:val="single" w:sz="4" w:space="0" w:color="auto"/>
            </w:tcBorders>
            <w:shd w:val="clear" w:color="auto" w:fill="auto"/>
            <w:noWrap/>
            <w:vAlign w:val="bottom"/>
            <w:hideMark/>
          </w:tcPr>
          <w:p w14:paraId="5AD3FAB3"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35</w:t>
            </w:r>
          </w:p>
        </w:tc>
        <w:tc>
          <w:tcPr>
            <w:tcW w:w="1227" w:type="pct"/>
            <w:tcBorders>
              <w:top w:val="nil"/>
              <w:left w:val="nil"/>
              <w:bottom w:val="single" w:sz="4" w:space="0" w:color="auto"/>
              <w:right w:val="single" w:sz="4" w:space="0" w:color="auto"/>
            </w:tcBorders>
            <w:shd w:val="clear" w:color="auto" w:fill="auto"/>
            <w:noWrap/>
            <w:vAlign w:val="bottom"/>
            <w:hideMark/>
          </w:tcPr>
          <w:p w14:paraId="1145801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1,12</w:t>
            </w:r>
          </w:p>
        </w:tc>
        <w:tc>
          <w:tcPr>
            <w:tcW w:w="428" w:type="pct"/>
            <w:tcBorders>
              <w:top w:val="nil"/>
              <w:left w:val="nil"/>
              <w:bottom w:val="single" w:sz="4" w:space="0" w:color="auto"/>
              <w:right w:val="single" w:sz="4" w:space="0" w:color="auto"/>
            </w:tcBorders>
            <w:shd w:val="clear" w:color="auto" w:fill="auto"/>
            <w:noWrap/>
            <w:vAlign w:val="bottom"/>
            <w:hideMark/>
          </w:tcPr>
          <w:p w14:paraId="324EDA41"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715" w:type="pct"/>
            <w:tcBorders>
              <w:top w:val="nil"/>
              <w:left w:val="nil"/>
              <w:bottom w:val="single" w:sz="4" w:space="0" w:color="auto"/>
              <w:right w:val="single" w:sz="4" w:space="0" w:color="auto"/>
            </w:tcBorders>
            <w:shd w:val="clear" w:color="auto" w:fill="auto"/>
            <w:noWrap/>
            <w:vAlign w:val="bottom"/>
            <w:hideMark/>
          </w:tcPr>
          <w:p w14:paraId="1617AD6F"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443" w:type="pct"/>
            <w:tcBorders>
              <w:top w:val="nil"/>
              <w:left w:val="nil"/>
              <w:bottom w:val="single" w:sz="4" w:space="0" w:color="auto"/>
              <w:right w:val="single" w:sz="4" w:space="0" w:color="auto"/>
            </w:tcBorders>
            <w:shd w:val="clear" w:color="auto" w:fill="auto"/>
            <w:noWrap/>
            <w:vAlign w:val="bottom"/>
            <w:hideMark/>
          </w:tcPr>
          <w:p w14:paraId="2565292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4224A3EE" w14:textId="77777777" w:rsidR="00380191" w:rsidRDefault="007E253F" w:rsidP="00380191">
      <w:pPr>
        <w:autoSpaceDE w:val="0"/>
        <w:autoSpaceDN w:val="0"/>
        <w:adjustRightInd w:val="0"/>
        <w:spacing w:after="0" w:line="360" w:lineRule="auto"/>
        <w:rPr>
          <w:rFonts w:cs="Times New Roman"/>
          <w:szCs w:val="24"/>
        </w:rPr>
      </w:pPr>
      <w:r w:rsidRPr="007E253F">
        <w:rPr>
          <w:rFonts w:cs="Times New Roman"/>
          <w:szCs w:val="24"/>
        </w:rPr>
        <w:t>Medias con una letra común no son significa</w:t>
      </w:r>
      <w:r w:rsidR="00077513">
        <w:rPr>
          <w:rFonts w:cs="Times New Roman"/>
          <w:szCs w:val="24"/>
        </w:rPr>
        <w:t>tivamente diferentes (p &gt; 0,05)</w:t>
      </w:r>
      <w:bookmarkStart w:id="1497" w:name="_Toc79314046"/>
    </w:p>
    <w:p w14:paraId="32B6DBDE" w14:textId="6D72D8F0" w:rsidR="00077513" w:rsidRPr="00380191" w:rsidRDefault="00077513" w:rsidP="00380191">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54</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magnesio para diversas dosis de fósforo evaluadas en la provincia de Bolívar del 2006 al 2011.</w:t>
      </w:r>
      <w:bookmarkEnd w:id="1497"/>
    </w:p>
    <w:tbl>
      <w:tblPr>
        <w:tblW w:w="5000" w:type="pct"/>
        <w:tblLayout w:type="fixed"/>
        <w:tblCellMar>
          <w:left w:w="70" w:type="dxa"/>
          <w:right w:w="70" w:type="dxa"/>
        </w:tblCellMar>
        <w:tblLook w:val="04A0" w:firstRow="1" w:lastRow="0" w:firstColumn="1" w:lastColumn="0" w:noHBand="0" w:noVBand="1"/>
      </w:tblPr>
      <w:tblGrid>
        <w:gridCol w:w="1984"/>
        <w:gridCol w:w="969"/>
        <w:gridCol w:w="629"/>
        <w:gridCol w:w="2086"/>
        <w:gridCol w:w="564"/>
        <w:gridCol w:w="1007"/>
        <w:gridCol w:w="688"/>
      </w:tblGrid>
      <w:tr w:rsidR="007E253F" w:rsidRPr="007E253F" w14:paraId="4A17BF06" w14:textId="77777777" w:rsidTr="00380191">
        <w:trPr>
          <w:trHeight w:val="39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A56FB"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P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611" w:type="pct"/>
            <w:tcBorders>
              <w:top w:val="single" w:sz="4" w:space="0" w:color="auto"/>
              <w:left w:val="nil"/>
              <w:bottom w:val="single" w:sz="4" w:space="0" w:color="auto"/>
              <w:right w:val="single" w:sz="4" w:space="0" w:color="auto"/>
            </w:tcBorders>
            <w:shd w:val="clear" w:color="auto" w:fill="auto"/>
            <w:noWrap/>
            <w:vAlign w:val="bottom"/>
            <w:hideMark/>
          </w:tcPr>
          <w:p w14:paraId="21079A80"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14:paraId="3BBEE6A2"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316" w:type="pct"/>
            <w:tcBorders>
              <w:top w:val="single" w:sz="4" w:space="0" w:color="auto"/>
              <w:left w:val="nil"/>
              <w:bottom w:val="single" w:sz="4" w:space="0" w:color="auto"/>
              <w:right w:val="single" w:sz="4" w:space="0" w:color="auto"/>
            </w:tcBorders>
            <w:shd w:val="clear" w:color="auto" w:fill="auto"/>
            <w:noWrap/>
            <w:vAlign w:val="bottom"/>
            <w:hideMark/>
          </w:tcPr>
          <w:p w14:paraId="25A2AF4B"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356" w:type="pct"/>
            <w:tcBorders>
              <w:top w:val="single" w:sz="4" w:space="0" w:color="auto"/>
              <w:left w:val="single" w:sz="4" w:space="0" w:color="auto"/>
              <w:bottom w:val="single" w:sz="4" w:space="0" w:color="auto"/>
            </w:tcBorders>
            <w:shd w:val="clear" w:color="auto" w:fill="auto"/>
            <w:noWrap/>
            <w:vAlign w:val="bottom"/>
            <w:hideMark/>
          </w:tcPr>
          <w:p w14:paraId="6D2B8CF0"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5" w:type="pct"/>
            <w:tcBorders>
              <w:top w:val="single" w:sz="4" w:space="0" w:color="auto"/>
              <w:bottom w:val="single" w:sz="4" w:space="0" w:color="auto"/>
            </w:tcBorders>
            <w:shd w:val="clear" w:color="auto" w:fill="auto"/>
            <w:noWrap/>
            <w:vAlign w:val="bottom"/>
            <w:hideMark/>
          </w:tcPr>
          <w:p w14:paraId="3ACAB1F9"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Lsd 0,05</w:t>
            </w:r>
          </w:p>
        </w:tc>
        <w:tc>
          <w:tcPr>
            <w:tcW w:w="434" w:type="pct"/>
            <w:tcBorders>
              <w:top w:val="single" w:sz="4" w:space="0" w:color="auto"/>
              <w:bottom w:val="single" w:sz="4" w:space="0" w:color="auto"/>
              <w:right w:val="single" w:sz="4" w:space="0" w:color="auto"/>
            </w:tcBorders>
            <w:shd w:val="clear" w:color="auto" w:fill="auto"/>
            <w:noWrap/>
            <w:vAlign w:val="bottom"/>
            <w:hideMark/>
          </w:tcPr>
          <w:p w14:paraId="0D1A6EC2"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5842A6AA" w14:textId="77777777" w:rsidTr="00A05F3F">
        <w:trPr>
          <w:trHeight w:val="300"/>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0C082C03"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611" w:type="pct"/>
            <w:tcBorders>
              <w:top w:val="nil"/>
              <w:left w:val="nil"/>
              <w:bottom w:val="single" w:sz="4" w:space="0" w:color="auto"/>
              <w:right w:val="single" w:sz="4" w:space="0" w:color="auto"/>
            </w:tcBorders>
            <w:shd w:val="clear" w:color="auto" w:fill="auto"/>
            <w:noWrap/>
            <w:vAlign w:val="bottom"/>
            <w:hideMark/>
          </w:tcPr>
          <w:p w14:paraId="308D38F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14,48</w:t>
            </w:r>
          </w:p>
        </w:tc>
        <w:tc>
          <w:tcPr>
            <w:tcW w:w="397" w:type="pct"/>
            <w:tcBorders>
              <w:top w:val="nil"/>
              <w:left w:val="nil"/>
              <w:bottom w:val="single" w:sz="4" w:space="0" w:color="auto"/>
              <w:right w:val="single" w:sz="4" w:space="0" w:color="auto"/>
            </w:tcBorders>
            <w:shd w:val="clear" w:color="auto" w:fill="auto"/>
            <w:noWrap/>
            <w:vAlign w:val="bottom"/>
            <w:hideMark/>
          </w:tcPr>
          <w:p w14:paraId="34CF5FA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316" w:type="pct"/>
            <w:tcBorders>
              <w:top w:val="nil"/>
              <w:left w:val="nil"/>
              <w:bottom w:val="single" w:sz="4" w:space="0" w:color="auto"/>
              <w:right w:val="single" w:sz="4" w:space="0" w:color="auto"/>
            </w:tcBorders>
            <w:shd w:val="clear" w:color="auto" w:fill="auto"/>
            <w:noWrap/>
            <w:vAlign w:val="bottom"/>
            <w:hideMark/>
          </w:tcPr>
          <w:p w14:paraId="12966B0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14:paraId="2F94DD1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7CF16967"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54659645"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16CFF4D2" w14:textId="77777777" w:rsidTr="00A05F3F">
        <w:trPr>
          <w:trHeight w:val="300"/>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10009A2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611" w:type="pct"/>
            <w:tcBorders>
              <w:top w:val="nil"/>
              <w:left w:val="nil"/>
              <w:bottom w:val="single" w:sz="4" w:space="0" w:color="auto"/>
              <w:right w:val="single" w:sz="4" w:space="0" w:color="auto"/>
            </w:tcBorders>
            <w:shd w:val="clear" w:color="auto" w:fill="auto"/>
            <w:noWrap/>
            <w:vAlign w:val="bottom"/>
            <w:hideMark/>
          </w:tcPr>
          <w:p w14:paraId="0227A91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17,97</w:t>
            </w:r>
          </w:p>
        </w:tc>
        <w:tc>
          <w:tcPr>
            <w:tcW w:w="397" w:type="pct"/>
            <w:tcBorders>
              <w:top w:val="nil"/>
              <w:left w:val="nil"/>
              <w:bottom w:val="single" w:sz="4" w:space="0" w:color="auto"/>
              <w:right w:val="single" w:sz="4" w:space="0" w:color="auto"/>
            </w:tcBorders>
            <w:shd w:val="clear" w:color="auto" w:fill="auto"/>
            <w:noWrap/>
            <w:vAlign w:val="bottom"/>
            <w:hideMark/>
          </w:tcPr>
          <w:p w14:paraId="468D6FD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w:t>
            </w:r>
          </w:p>
        </w:tc>
        <w:tc>
          <w:tcPr>
            <w:tcW w:w="1316" w:type="pct"/>
            <w:tcBorders>
              <w:top w:val="nil"/>
              <w:left w:val="nil"/>
              <w:bottom w:val="single" w:sz="4" w:space="0" w:color="auto"/>
              <w:right w:val="single" w:sz="4" w:space="0" w:color="auto"/>
            </w:tcBorders>
            <w:shd w:val="clear" w:color="auto" w:fill="auto"/>
            <w:noWrap/>
            <w:vAlign w:val="bottom"/>
            <w:hideMark/>
          </w:tcPr>
          <w:p w14:paraId="3B07E78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1,65</w:t>
            </w:r>
          </w:p>
        </w:tc>
        <w:tc>
          <w:tcPr>
            <w:tcW w:w="356" w:type="pct"/>
            <w:tcBorders>
              <w:top w:val="nil"/>
              <w:left w:val="nil"/>
              <w:bottom w:val="single" w:sz="4" w:space="0" w:color="auto"/>
              <w:right w:val="single" w:sz="4" w:space="0" w:color="auto"/>
            </w:tcBorders>
            <w:shd w:val="clear" w:color="auto" w:fill="auto"/>
            <w:noWrap/>
            <w:vAlign w:val="bottom"/>
            <w:hideMark/>
          </w:tcPr>
          <w:p w14:paraId="39499915"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5" w:type="pct"/>
            <w:tcBorders>
              <w:top w:val="nil"/>
              <w:left w:val="nil"/>
              <w:bottom w:val="single" w:sz="4" w:space="0" w:color="auto"/>
              <w:right w:val="single" w:sz="4" w:space="0" w:color="auto"/>
            </w:tcBorders>
            <w:shd w:val="clear" w:color="auto" w:fill="auto"/>
            <w:noWrap/>
            <w:vAlign w:val="bottom"/>
            <w:hideMark/>
          </w:tcPr>
          <w:p w14:paraId="5782843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434" w:type="pct"/>
            <w:tcBorders>
              <w:top w:val="nil"/>
              <w:left w:val="nil"/>
              <w:bottom w:val="single" w:sz="4" w:space="0" w:color="auto"/>
              <w:right w:val="single" w:sz="4" w:space="0" w:color="auto"/>
            </w:tcBorders>
            <w:shd w:val="clear" w:color="auto" w:fill="auto"/>
            <w:noWrap/>
            <w:vAlign w:val="bottom"/>
            <w:hideMark/>
          </w:tcPr>
          <w:p w14:paraId="4516CD54"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68D9A5B8" w14:textId="77777777" w:rsidTr="00A05F3F">
        <w:trPr>
          <w:trHeight w:val="300"/>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42EFE5F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611" w:type="pct"/>
            <w:tcBorders>
              <w:top w:val="nil"/>
              <w:left w:val="nil"/>
              <w:bottom w:val="single" w:sz="4" w:space="0" w:color="auto"/>
              <w:right w:val="single" w:sz="4" w:space="0" w:color="auto"/>
            </w:tcBorders>
            <w:shd w:val="clear" w:color="auto" w:fill="auto"/>
            <w:noWrap/>
            <w:vAlign w:val="bottom"/>
            <w:hideMark/>
          </w:tcPr>
          <w:p w14:paraId="08553D99"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20,38</w:t>
            </w:r>
          </w:p>
        </w:tc>
        <w:tc>
          <w:tcPr>
            <w:tcW w:w="397" w:type="pct"/>
            <w:tcBorders>
              <w:top w:val="nil"/>
              <w:left w:val="nil"/>
              <w:bottom w:val="single" w:sz="4" w:space="0" w:color="auto"/>
              <w:right w:val="single" w:sz="4" w:space="0" w:color="auto"/>
            </w:tcBorders>
            <w:shd w:val="clear" w:color="auto" w:fill="auto"/>
            <w:noWrap/>
            <w:vAlign w:val="bottom"/>
            <w:hideMark/>
          </w:tcPr>
          <w:p w14:paraId="4928D16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w:t>
            </w:r>
          </w:p>
        </w:tc>
        <w:tc>
          <w:tcPr>
            <w:tcW w:w="1316" w:type="pct"/>
            <w:tcBorders>
              <w:top w:val="nil"/>
              <w:left w:val="nil"/>
              <w:bottom w:val="single" w:sz="4" w:space="0" w:color="auto"/>
              <w:right w:val="single" w:sz="4" w:space="0" w:color="auto"/>
            </w:tcBorders>
            <w:shd w:val="clear" w:color="auto" w:fill="auto"/>
            <w:noWrap/>
            <w:vAlign w:val="bottom"/>
            <w:hideMark/>
          </w:tcPr>
          <w:p w14:paraId="3DF62673"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2,51</w:t>
            </w:r>
          </w:p>
        </w:tc>
        <w:tc>
          <w:tcPr>
            <w:tcW w:w="356" w:type="pct"/>
            <w:tcBorders>
              <w:top w:val="nil"/>
              <w:left w:val="nil"/>
              <w:bottom w:val="single" w:sz="4" w:space="0" w:color="auto"/>
              <w:right w:val="single" w:sz="4" w:space="0" w:color="auto"/>
            </w:tcBorders>
            <w:shd w:val="clear" w:color="auto" w:fill="auto"/>
            <w:noWrap/>
            <w:vAlign w:val="bottom"/>
            <w:hideMark/>
          </w:tcPr>
          <w:p w14:paraId="272DCEF0"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5" w:type="pct"/>
            <w:tcBorders>
              <w:top w:val="nil"/>
              <w:left w:val="nil"/>
              <w:bottom w:val="single" w:sz="4" w:space="0" w:color="auto"/>
              <w:right w:val="single" w:sz="4" w:space="0" w:color="auto"/>
            </w:tcBorders>
            <w:shd w:val="clear" w:color="auto" w:fill="auto"/>
            <w:noWrap/>
            <w:vAlign w:val="bottom"/>
            <w:hideMark/>
          </w:tcPr>
          <w:p w14:paraId="236899C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434" w:type="pct"/>
            <w:tcBorders>
              <w:top w:val="nil"/>
              <w:left w:val="nil"/>
              <w:bottom w:val="single" w:sz="4" w:space="0" w:color="auto"/>
              <w:right w:val="single" w:sz="4" w:space="0" w:color="auto"/>
            </w:tcBorders>
            <w:shd w:val="clear" w:color="auto" w:fill="auto"/>
            <w:noWrap/>
            <w:vAlign w:val="bottom"/>
            <w:hideMark/>
          </w:tcPr>
          <w:p w14:paraId="7EDFC01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r w:rsidR="007E253F" w:rsidRPr="007E253F" w14:paraId="038DE2AA" w14:textId="77777777" w:rsidTr="00A05F3F">
        <w:trPr>
          <w:trHeight w:val="300"/>
        </w:trPr>
        <w:tc>
          <w:tcPr>
            <w:tcW w:w="1251" w:type="pct"/>
            <w:tcBorders>
              <w:top w:val="nil"/>
              <w:left w:val="single" w:sz="4" w:space="0" w:color="auto"/>
              <w:bottom w:val="single" w:sz="4" w:space="0" w:color="auto"/>
              <w:right w:val="single" w:sz="4" w:space="0" w:color="auto"/>
            </w:tcBorders>
            <w:shd w:val="clear" w:color="auto" w:fill="auto"/>
            <w:noWrap/>
            <w:vAlign w:val="bottom"/>
            <w:hideMark/>
          </w:tcPr>
          <w:p w14:paraId="00B782D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70</w:t>
            </w:r>
          </w:p>
        </w:tc>
        <w:tc>
          <w:tcPr>
            <w:tcW w:w="611" w:type="pct"/>
            <w:tcBorders>
              <w:top w:val="nil"/>
              <w:left w:val="nil"/>
              <w:bottom w:val="single" w:sz="4" w:space="0" w:color="auto"/>
              <w:right w:val="single" w:sz="4" w:space="0" w:color="auto"/>
            </w:tcBorders>
            <w:shd w:val="clear" w:color="auto" w:fill="auto"/>
            <w:noWrap/>
            <w:vAlign w:val="bottom"/>
            <w:hideMark/>
          </w:tcPr>
          <w:p w14:paraId="1B23941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21,63</w:t>
            </w:r>
          </w:p>
        </w:tc>
        <w:tc>
          <w:tcPr>
            <w:tcW w:w="397" w:type="pct"/>
            <w:tcBorders>
              <w:top w:val="nil"/>
              <w:left w:val="nil"/>
              <w:bottom w:val="single" w:sz="4" w:space="0" w:color="auto"/>
              <w:right w:val="single" w:sz="4" w:space="0" w:color="auto"/>
            </w:tcBorders>
            <w:shd w:val="clear" w:color="auto" w:fill="auto"/>
            <w:noWrap/>
            <w:vAlign w:val="bottom"/>
            <w:hideMark/>
          </w:tcPr>
          <w:p w14:paraId="3EF5780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38</w:t>
            </w:r>
          </w:p>
        </w:tc>
        <w:tc>
          <w:tcPr>
            <w:tcW w:w="1316" w:type="pct"/>
            <w:tcBorders>
              <w:top w:val="nil"/>
              <w:left w:val="nil"/>
              <w:bottom w:val="single" w:sz="4" w:space="0" w:color="auto"/>
              <w:right w:val="single" w:sz="4" w:space="0" w:color="auto"/>
            </w:tcBorders>
            <w:shd w:val="clear" w:color="auto" w:fill="auto"/>
            <w:noWrap/>
            <w:vAlign w:val="bottom"/>
            <w:hideMark/>
          </w:tcPr>
          <w:p w14:paraId="6A0B381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1,23</w:t>
            </w:r>
          </w:p>
        </w:tc>
        <w:tc>
          <w:tcPr>
            <w:tcW w:w="356" w:type="pct"/>
            <w:tcBorders>
              <w:top w:val="nil"/>
              <w:left w:val="nil"/>
              <w:bottom w:val="single" w:sz="4" w:space="0" w:color="auto"/>
              <w:right w:val="single" w:sz="4" w:space="0" w:color="auto"/>
            </w:tcBorders>
            <w:shd w:val="clear" w:color="auto" w:fill="auto"/>
            <w:noWrap/>
            <w:vAlign w:val="bottom"/>
            <w:hideMark/>
          </w:tcPr>
          <w:p w14:paraId="4B73B6B4"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5" w:type="pct"/>
            <w:tcBorders>
              <w:top w:val="nil"/>
              <w:left w:val="nil"/>
              <w:bottom w:val="single" w:sz="4" w:space="0" w:color="auto"/>
              <w:right w:val="single" w:sz="4" w:space="0" w:color="auto"/>
            </w:tcBorders>
            <w:shd w:val="clear" w:color="auto" w:fill="auto"/>
            <w:noWrap/>
            <w:vAlign w:val="bottom"/>
            <w:hideMark/>
          </w:tcPr>
          <w:p w14:paraId="3134E3E5"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434" w:type="pct"/>
            <w:tcBorders>
              <w:top w:val="nil"/>
              <w:left w:val="nil"/>
              <w:bottom w:val="single" w:sz="4" w:space="0" w:color="auto"/>
              <w:right w:val="single" w:sz="4" w:space="0" w:color="auto"/>
            </w:tcBorders>
            <w:shd w:val="clear" w:color="auto" w:fill="auto"/>
            <w:noWrap/>
            <w:vAlign w:val="bottom"/>
            <w:hideMark/>
          </w:tcPr>
          <w:p w14:paraId="55178D2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2C38CFD6" w14:textId="77777777" w:rsidR="00380191" w:rsidRDefault="007E253F" w:rsidP="00380191">
      <w:pPr>
        <w:autoSpaceDE w:val="0"/>
        <w:autoSpaceDN w:val="0"/>
        <w:adjustRightInd w:val="0"/>
        <w:spacing w:after="0" w:line="360" w:lineRule="auto"/>
        <w:rPr>
          <w:rFonts w:cs="Times New Roman"/>
          <w:szCs w:val="24"/>
        </w:rPr>
      </w:pPr>
      <w:r w:rsidRPr="007E253F">
        <w:rPr>
          <w:rFonts w:cs="Times New Roman"/>
          <w:szCs w:val="24"/>
        </w:rPr>
        <w:t>Medias con una letra común no son significativamente diferentes (p &gt; 0,05)</w:t>
      </w:r>
      <w:bookmarkStart w:id="1498" w:name="_Toc79314047"/>
    </w:p>
    <w:p w14:paraId="35E6CDA1" w14:textId="32488DD1" w:rsidR="00077513" w:rsidRPr="00380191" w:rsidRDefault="00077513" w:rsidP="00380191">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55</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magnesio para diversas dosis de potasio evaluadas en la provincia de Bolívar del 2006 al 2011.</w:t>
      </w:r>
      <w:bookmarkEnd w:id="1498"/>
    </w:p>
    <w:tbl>
      <w:tblPr>
        <w:tblW w:w="5000" w:type="pct"/>
        <w:tblCellMar>
          <w:left w:w="70" w:type="dxa"/>
          <w:right w:w="70" w:type="dxa"/>
        </w:tblCellMar>
        <w:tblLook w:val="04A0" w:firstRow="1" w:lastRow="0" w:firstColumn="1" w:lastColumn="0" w:noHBand="0" w:noVBand="1"/>
      </w:tblPr>
      <w:tblGrid>
        <w:gridCol w:w="1881"/>
        <w:gridCol w:w="887"/>
        <w:gridCol w:w="495"/>
        <w:gridCol w:w="2137"/>
        <w:gridCol w:w="718"/>
        <w:gridCol w:w="1007"/>
        <w:gridCol w:w="802"/>
      </w:tblGrid>
      <w:tr w:rsidR="007E253F" w:rsidRPr="007E253F" w14:paraId="66605E68" w14:textId="77777777" w:rsidTr="00077513">
        <w:trPr>
          <w:trHeight w:val="300"/>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1178F"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K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01F1A3EB"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2E2A0F1E"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348" w:type="pct"/>
            <w:tcBorders>
              <w:top w:val="single" w:sz="4" w:space="0" w:color="auto"/>
              <w:left w:val="nil"/>
              <w:bottom w:val="single" w:sz="4" w:space="0" w:color="auto"/>
              <w:right w:val="single" w:sz="4" w:space="0" w:color="auto"/>
            </w:tcBorders>
            <w:shd w:val="clear" w:color="auto" w:fill="auto"/>
            <w:noWrap/>
            <w:vAlign w:val="bottom"/>
            <w:hideMark/>
          </w:tcPr>
          <w:p w14:paraId="1E92B3D7"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453" w:type="pct"/>
            <w:tcBorders>
              <w:top w:val="single" w:sz="4" w:space="0" w:color="auto"/>
              <w:left w:val="single" w:sz="4" w:space="0" w:color="auto"/>
              <w:bottom w:val="single" w:sz="4" w:space="0" w:color="auto"/>
            </w:tcBorders>
            <w:shd w:val="clear" w:color="auto" w:fill="auto"/>
            <w:noWrap/>
            <w:vAlign w:val="bottom"/>
            <w:hideMark/>
          </w:tcPr>
          <w:p w14:paraId="7D0A0396" w14:textId="77777777" w:rsidR="007E253F" w:rsidRPr="007E253F" w:rsidRDefault="007E253F" w:rsidP="00380191">
            <w:pPr>
              <w:spacing w:after="0" w:line="240" w:lineRule="auto"/>
              <w:jc w:val="center"/>
              <w:rPr>
                <w:rFonts w:eastAsia="Times New Roman" w:cs="Times New Roman"/>
                <w:b/>
                <w:bCs/>
                <w:color w:val="000000"/>
                <w:szCs w:val="24"/>
                <w:lang w:eastAsia="es-EC"/>
              </w:rPr>
            </w:pPr>
          </w:p>
        </w:tc>
        <w:tc>
          <w:tcPr>
            <w:tcW w:w="635" w:type="pct"/>
            <w:tcBorders>
              <w:top w:val="single" w:sz="4" w:space="0" w:color="auto"/>
              <w:bottom w:val="single" w:sz="4" w:space="0" w:color="auto"/>
            </w:tcBorders>
            <w:shd w:val="clear" w:color="auto" w:fill="auto"/>
            <w:noWrap/>
            <w:vAlign w:val="bottom"/>
            <w:hideMark/>
          </w:tcPr>
          <w:p w14:paraId="04389273"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Lsd 0,05</w:t>
            </w:r>
          </w:p>
        </w:tc>
        <w:tc>
          <w:tcPr>
            <w:tcW w:w="506" w:type="pct"/>
            <w:tcBorders>
              <w:top w:val="single" w:sz="4" w:space="0" w:color="auto"/>
              <w:bottom w:val="single" w:sz="4" w:space="0" w:color="auto"/>
              <w:right w:val="single" w:sz="4" w:space="0" w:color="auto"/>
            </w:tcBorders>
            <w:shd w:val="clear" w:color="auto" w:fill="auto"/>
            <w:noWrap/>
            <w:vAlign w:val="bottom"/>
            <w:hideMark/>
          </w:tcPr>
          <w:p w14:paraId="0956EA1F" w14:textId="77777777" w:rsidR="007E253F" w:rsidRPr="007E253F" w:rsidRDefault="007E253F" w:rsidP="00380191">
            <w:pPr>
              <w:spacing w:after="0" w:line="240" w:lineRule="auto"/>
              <w:jc w:val="center"/>
              <w:rPr>
                <w:rFonts w:eastAsia="Times New Roman" w:cs="Times New Roman"/>
                <w:b/>
                <w:bCs/>
                <w:color w:val="000000"/>
                <w:szCs w:val="24"/>
                <w:lang w:eastAsia="es-EC"/>
              </w:rPr>
            </w:pPr>
          </w:p>
        </w:tc>
      </w:tr>
      <w:tr w:rsidR="007E253F" w:rsidRPr="007E253F" w14:paraId="35B60920" w14:textId="77777777" w:rsidTr="00077513">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1A12AFF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60</w:t>
            </w:r>
          </w:p>
        </w:tc>
        <w:tc>
          <w:tcPr>
            <w:tcW w:w="559" w:type="pct"/>
            <w:tcBorders>
              <w:top w:val="nil"/>
              <w:left w:val="nil"/>
              <w:bottom w:val="single" w:sz="4" w:space="0" w:color="auto"/>
              <w:right w:val="single" w:sz="4" w:space="0" w:color="auto"/>
            </w:tcBorders>
            <w:shd w:val="clear" w:color="auto" w:fill="auto"/>
            <w:noWrap/>
            <w:vAlign w:val="bottom"/>
            <w:hideMark/>
          </w:tcPr>
          <w:p w14:paraId="59F698E9"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14,23</w:t>
            </w:r>
          </w:p>
        </w:tc>
        <w:tc>
          <w:tcPr>
            <w:tcW w:w="312" w:type="pct"/>
            <w:tcBorders>
              <w:top w:val="nil"/>
              <w:left w:val="nil"/>
              <w:bottom w:val="single" w:sz="4" w:space="0" w:color="auto"/>
              <w:right w:val="single" w:sz="4" w:space="0" w:color="auto"/>
            </w:tcBorders>
            <w:shd w:val="clear" w:color="auto" w:fill="auto"/>
            <w:noWrap/>
            <w:vAlign w:val="bottom"/>
            <w:hideMark/>
          </w:tcPr>
          <w:p w14:paraId="6455033A"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348" w:type="pct"/>
            <w:tcBorders>
              <w:top w:val="nil"/>
              <w:left w:val="nil"/>
              <w:bottom w:val="single" w:sz="4" w:space="0" w:color="auto"/>
              <w:right w:val="single" w:sz="4" w:space="0" w:color="auto"/>
            </w:tcBorders>
            <w:shd w:val="clear" w:color="auto" w:fill="auto"/>
            <w:noWrap/>
            <w:vAlign w:val="bottom"/>
            <w:hideMark/>
          </w:tcPr>
          <w:p w14:paraId="2C69A71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6C3B906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441F3C45"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14:paraId="7D580B4A"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0DA04385" w14:textId="77777777" w:rsidTr="00077513">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2388D23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559" w:type="pct"/>
            <w:tcBorders>
              <w:top w:val="nil"/>
              <w:left w:val="nil"/>
              <w:bottom w:val="single" w:sz="4" w:space="0" w:color="auto"/>
              <w:right w:val="single" w:sz="4" w:space="0" w:color="auto"/>
            </w:tcBorders>
            <w:shd w:val="clear" w:color="auto" w:fill="auto"/>
            <w:noWrap/>
            <w:vAlign w:val="bottom"/>
            <w:hideMark/>
          </w:tcPr>
          <w:p w14:paraId="52F452C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14,99</w:t>
            </w:r>
          </w:p>
        </w:tc>
        <w:tc>
          <w:tcPr>
            <w:tcW w:w="312" w:type="pct"/>
            <w:tcBorders>
              <w:top w:val="nil"/>
              <w:left w:val="nil"/>
              <w:bottom w:val="single" w:sz="4" w:space="0" w:color="auto"/>
              <w:right w:val="single" w:sz="4" w:space="0" w:color="auto"/>
            </w:tcBorders>
            <w:shd w:val="clear" w:color="auto" w:fill="auto"/>
            <w:noWrap/>
            <w:vAlign w:val="bottom"/>
            <w:hideMark/>
          </w:tcPr>
          <w:p w14:paraId="02197ABD"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348" w:type="pct"/>
            <w:tcBorders>
              <w:top w:val="nil"/>
              <w:left w:val="nil"/>
              <w:bottom w:val="single" w:sz="4" w:space="0" w:color="auto"/>
              <w:right w:val="single" w:sz="4" w:space="0" w:color="auto"/>
            </w:tcBorders>
            <w:shd w:val="clear" w:color="auto" w:fill="auto"/>
            <w:noWrap/>
            <w:vAlign w:val="bottom"/>
            <w:hideMark/>
          </w:tcPr>
          <w:p w14:paraId="2686463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2,74</w:t>
            </w:r>
          </w:p>
        </w:tc>
        <w:tc>
          <w:tcPr>
            <w:tcW w:w="453" w:type="pct"/>
            <w:tcBorders>
              <w:top w:val="nil"/>
              <w:left w:val="nil"/>
              <w:bottom w:val="single" w:sz="4" w:space="0" w:color="auto"/>
              <w:right w:val="single" w:sz="4" w:space="0" w:color="auto"/>
            </w:tcBorders>
            <w:shd w:val="clear" w:color="auto" w:fill="auto"/>
            <w:noWrap/>
            <w:vAlign w:val="bottom"/>
            <w:hideMark/>
          </w:tcPr>
          <w:p w14:paraId="0841074D"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635" w:type="pct"/>
            <w:tcBorders>
              <w:top w:val="nil"/>
              <w:left w:val="nil"/>
              <w:bottom w:val="single" w:sz="4" w:space="0" w:color="auto"/>
              <w:right w:val="single" w:sz="4" w:space="0" w:color="auto"/>
            </w:tcBorders>
            <w:shd w:val="clear" w:color="auto" w:fill="auto"/>
            <w:noWrap/>
            <w:vAlign w:val="bottom"/>
            <w:hideMark/>
          </w:tcPr>
          <w:p w14:paraId="41C1D27D"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506" w:type="pct"/>
            <w:tcBorders>
              <w:top w:val="nil"/>
              <w:left w:val="nil"/>
              <w:bottom w:val="single" w:sz="4" w:space="0" w:color="auto"/>
              <w:right w:val="single" w:sz="4" w:space="0" w:color="auto"/>
            </w:tcBorders>
            <w:shd w:val="clear" w:color="auto" w:fill="auto"/>
            <w:noWrap/>
            <w:vAlign w:val="bottom"/>
            <w:hideMark/>
          </w:tcPr>
          <w:p w14:paraId="43B4E41F"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048F21B4" w14:textId="77777777" w:rsidTr="00077513">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584AF904"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559" w:type="pct"/>
            <w:tcBorders>
              <w:top w:val="nil"/>
              <w:left w:val="nil"/>
              <w:bottom w:val="single" w:sz="4" w:space="0" w:color="auto"/>
              <w:right w:val="single" w:sz="4" w:space="0" w:color="auto"/>
            </w:tcBorders>
            <w:shd w:val="clear" w:color="auto" w:fill="auto"/>
            <w:noWrap/>
            <w:vAlign w:val="bottom"/>
            <w:hideMark/>
          </w:tcPr>
          <w:p w14:paraId="4F3FF50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15,03</w:t>
            </w:r>
          </w:p>
        </w:tc>
        <w:tc>
          <w:tcPr>
            <w:tcW w:w="312" w:type="pct"/>
            <w:tcBorders>
              <w:top w:val="nil"/>
              <w:left w:val="nil"/>
              <w:bottom w:val="single" w:sz="4" w:space="0" w:color="auto"/>
              <w:right w:val="single" w:sz="4" w:space="0" w:color="auto"/>
            </w:tcBorders>
            <w:shd w:val="clear" w:color="auto" w:fill="auto"/>
            <w:noWrap/>
            <w:vAlign w:val="bottom"/>
            <w:hideMark/>
          </w:tcPr>
          <w:p w14:paraId="63A800E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w:t>
            </w:r>
          </w:p>
        </w:tc>
        <w:tc>
          <w:tcPr>
            <w:tcW w:w="1348" w:type="pct"/>
            <w:tcBorders>
              <w:top w:val="nil"/>
              <w:left w:val="nil"/>
              <w:bottom w:val="single" w:sz="4" w:space="0" w:color="auto"/>
              <w:right w:val="single" w:sz="4" w:space="0" w:color="auto"/>
            </w:tcBorders>
            <w:shd w:val="clear" w:color="auto" w:fill="auto"/>
            <w:noWrap/>
            <w:vAlign w:val="bottom"/>
            <w:hideMark/>
          </w:tcPr>
          <w:p w14:paraId="3F38A02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2,74</w:t>
            </w:r>
          </w:p>
        </w:tc>
        <w:tc>
          <w:tcPr>
            <w:tcW w:w="453" w:type="pct"/>
            <w:tcBorders>
              <w:top w:val="nil"/>
              <w:left w:val="nil"/>
              <w:bottom w:val="single" w:sz="4" w:space="0" w:color="auto"/>
              <w:right w:val="single" w:sz="4" w:space="0" w:color="auto"/>
            </w:tcBorders>
            <w:shd w:val="clear" w:color="auto" w:fill="auto"/>
            <w:noWrap/>
            <w:vAlign w:val="bottom"/>
            <w:hideMark/>
          </w:tcPr>
          <w:p w14:paraId="7A659F8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A</w:t>
            </w:r>
          </w:p>
        </w:tc>
        <w:tc>
          <w:tcPr>
            <w:tcW w:w="635" w:type="pct"/>
            <w:tcBorders>
              <w:top w:val="nil"/>
              <w:left w:val="nil"/>
              <w:bottom w:val="single" w:sz="4" w:space="0" w:color="auto"/>
              <w:right w:val="single" w:sz="4" w:space="0" w:color="auto"/>
            </w:tcBorders>
            <w:shd w:val="clear" w:color="auto" w:fill="auto"/>
            <w:noWrap/>
            <w:vAlign w:val="bottom"/>
            <w:hideMark/>
          </w:tcPr>
          <w:p w14:paraId="27A625A9"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506" w:type="pct"/>
            <w:tcBorders>
              <w:top w:val="nil"/>
              <w:left w:val="nil"/>
              <w:bottom w:val="single" w:sz="4" w:space="0" w:color="auto"/>
              <w:right w:val="single" w:sz="4" w:space="0" w:color="auto"/>
            </w:tcBorders>
            <w:shd w:val="clear" w:color="auto" w:fill="auto"/>
            <w:noWrap/>
            <w:vAlign w:val="bottom"/>
            <w:hideMark/>
          </w:tcPr>
          <w:p w14:paraId="2BFF849C"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50B553AA" w14:textId="77777777" w:rsidTr="00077513">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020C9F6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559" w:type="pct"/>
            <w:tcBorders>
              <w:top w:val="nil"/>
              <w:left w:val="nil"/>
              <w:bottom w:val="single" w:sz="4" w:space="0" w:color="auto"/>
              <w:right w:val="single" w:sz="4" w:space="0" w:color="auto"/>
            </w:tcBorders>
            <w:shd w:val="clear" w:color="auto" w:fill="auto"/>
            <w:noWrap/>
            <w:vAlign w:val="bottom"/>
            <w:hideMark/>
          </w:tcPr>
          <w:p w14:paraId="394B0D6D"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21,77</w:t>
            </w:r>
          </w:p>
        </w:tc>
        <w:tc>
          <w:tcPr>
            <w:tcW w:w="312" w:type="pct"/>
            <w:tcBorders>
              <w:top w:val="nil"/>
              <w:left w:val="nil"/>
              <w:bottom w:val="single" w:sz="4" w:space="0" w:color="auto"/>
              <w:right w:val="single" w:sz="4" w:space="0" w:color="auto"/>
            </w:tcBorders>
            <w:shd w:val="clear" w:color="auto" w:fill="auto"/>
            <w:noWrap/>
            <w:vAlign w:val="bottom"/>
            <w:hideMark/>
          </w:tcPr>
          <w:p w14:paraId="0F4EE97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348" w:type="pct"/>
            <w:tcBorders>
              <w:top w:val="nil"/>
              <w:left w:val="nil"/>
              <w:bottom w:val="single" w:sz="4" w:space="0" w:color="auto"/>
              <w:right w:val="single" w:sz="4" w:space="0" w:color="auto"/>
            </w:tcBorders>
            <w:shd w:val="clear" w:color="auto" w:fill="auto"/>
            <w:noWrap/>
            <w:vAlign w:val="bottom"/>
            <w:hideMark/>
          </w:tcPr>
          <w:p w14:paraId="6160378D"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1,03</w:t>
            </w:r>
          </w:p>
        </w:tc>
        <w:tc>
          <w:tcPr>
            <w:tcW w:w="453" w:type="pct"/>
            <w:tcBorders>
              <w:top w:val="nil"/>
              <w:left w:val="nil"/>
              <w:bottom w:val="single" w:sz="4" w:space="0" w:color="auto"/>
              <w:right w:val="single" w:sz="4" w:space="0" w:color="auto"/>
            </w:tcBorders>
            <w:shd w:val="clear" w:color="auto" w:fill="auto"/>
            <w:noWrap/>
            <w:vAlign w:val="bottom"/>
            <w:hideMark/>
          </w:tcPr>
          <w:p w14:paraId="433FFF94"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5" w:type="pct"/>
            <w:tcBorders>
              <w:top w:val="nil"/>
              <w:left w:val="nil"/>
              <w:bottom w:val="single" w:sz="4" w:space="0" w:color="auto"/>
              <w:right w:val="single" w:sz="4" w:space="0" w:color="auto"/>
            </w:tcBorders>
            <w:shd w:val="clear" w:color="auto" w:fill="auto"/>
            <w:noWrap/>
            <w:vAlign w:val="bottom"/>
            <w:hideMark/>
          </w:tcPr>
          <w:p w14:paraId="093CA51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B</w:t>
            </w:r>
          </w:p>
        </w:tc>
        <w:tc>
          <w:tcPr>
            <w:tcW w:w="506" w:type="pct"/>
            <w:tcBorders>
              <w:top w:val="nil"/>
              <w:left w:val="nil"/>
              <w:bottom w:val="single" w:sz="4" w:space="0" w:color="auto"/>
              <w:right w:val="single" w:sz="4" w:space="0" w:color="auto"/>
            </w:tcBorders>
            <w:shd w:val="clear" w:color="auto" w:fill="auto"/>
            <w:noWrap/>
            <w:vAlign w:val="bottom"/>
            <w:hideMark/>
          </w:tcPr>
          <w:p w14:paraId="7695178C" w14:textId="77777777" w:rsidR="007E253F" w:rsidRPr="007E253F" w:rsidRDefault="007E253F" w:rsidP="00380191">
            <w:pPr>
              <w:spacing w:after="0" w:line="240" w:lineRule="auto"/>
              <w:jc w:val="center"/>
              <w:rPr>
                <w:rFonts w:eastAsia="Times New Roman" w:cs="Times New Roman"/>
                <w:color w:val="000000"/>
                <w:szCs w:val="24"/>
                <w:lang w:eastAsia="es-EC"/>
              </w:rPr>
            </w:pPr>
          </w:p>
        </w:tc>
      </w:tr>
      <w:tr w:rsidR="007E253F" w:rsidRPr="007E253F" w14:paraId="39FCC1C5" w14:textId="77777777" w:rsidTr="00077513">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575779B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559" w:type="pct"/>
            <w:tcBorders>
              <w:top w:val="nil"/>
              <w:left w:val="nil"/>
              <w:bottom w:val="single" w:sz="4" w:space="0" w:color="auto"/>
              <w:right w:val="single" w:sz="4" w:space="0" w:color="auto"/>
            </w:tcBorders>
            <w:shd w:val="clear" w:color="auto" w:fill="auto"/>
            <w:noWrap/>
            <w:vAlign w:val="bottom"/>
            <w:hideMark/>
          </w:tcPr>
          <w:p w14:paraId="51E492C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41,96</w:t>
            </w:r>
          </w:p>
        </w:tc>
        <w:tc>
          <w:tcPr>
            <w:tcW w:w="312" w:type="pct"/>
            <w:tcBorders>
              <w:top w:val="nil"/>
              <w:left w:val="nil"/>
              <w:bottom w:val="single" w:sz="4" w:space="0" w:color="auto"/>
              <w:right w:val="single" w:sz="4" w:space="0" w:color="auto"/>
            </w:tcBorders>
            <w:shd w:val="clear" w:color="auto" w:fill="auto"/>
            <w:noWrap/>
            <w:vAlign w:val="bottom"/>
            <w:hideMark/>
          </w:tcPr>
          <w:p w14:paraId="48E0CD5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w:t>
            </w:r>
          </w:p>
        </w:tc>
        <w:tc>
          <w:tcPr>
            <w:tcW w:w="1348" w:type="pct"/>
            <w:tcBorders>
              <w:top w:val="nil"/>
              <w:left w:val="nil"/>
              <w:bottom w:val="single" w:sz="4" w:space="0" w:color="auto"/>
              <w:right w:val="single" w:sz="4" w:space="0" w:color="auto"/>
            </w:tcBorders>
            <w:shd w:val="clear" w:color="auto" w:fill="auto"/>
            <w:noWrap/>
            <w:vAlign w:val="bottom"/>
            <w:hideMark/>
          </w:tcPr>
          <w:p w14:paraId="7331662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6,11</w:t>
            </w:r>
          </w:p>
        </w:tc>
        <w:tc>
          <w:tcPr>
            <w:tcW w:w="453" w:type="pct"/>
            <w:tcBorders>
              <w:top w:val="nil"/>
              <w:left w:val="nil"/>
              <w:bottom w:val="single" w:sz="4" w:space="0" w:color="auto"/>
              <w:right w:val="single" w:sz="4" w:space="0" w:color="auto"/>
            </w:tcBorders>
            <w:shd w:val="clear" w:color="auto" w:fill="auto"/>
            <w:noWrap/>
            <w:vAlign w:val="bottom"/>
            <w:hideMark/>
          </w:tcPr>
          <w:p w14:paraId="4928DC2E"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635" w:type="pct"/>
            <w:tcBorders>
              <w:top w:val="nil"/>
              <w:left w:val="nil"/>
              <w:bottom w:val="single" w:sz="4" w:space="0" w:color="auto"/>
              <w:right w:val="single" w:sz="4" w:space="0" w:color="auto"/>
            </w:tcBorders>
            <w:shd w:val="clear" w:color="auto" w:fill="auto"/>
            <w:noWrap/>
            <w:vAlign w:val="bottom"/>
            <w:hideMark/>
          </w:tcPr>
          <w:p w14:paraId="3F93ADD9" w14:textId="77777777" w:rsidR="007E253F" w:rsidRPr="007E253F" w:rsidRDefault="007E253F" w:rsidP="00380191">
            <w:pPr>
              <w:spacing w:after="0" w:line="240" w:lineRule="auto"/>
              <w:jc w:val="center"/>
              <w:rPr>
                <w:rFonts w:eastAsia="Times New Roman" w:cs="Times New Roman"/>
                <w:color w:val="000000"/>
                <w:szCs w:val="24"/>
                <w:lang w:eastAsia="es-EC"/>
              </w:rPr>
            </w:pPr>
          </w:p>
        </w:tc>
        <w:tc>
          <w:tcPr>
            <w:tcW w:w="506" w:type="pct"/>
            <w:tcBorders>
              <w:top w:val="nil"/>
              <w:left w:val="nil"/>
              <w:bottom w:val="single" w:sz="4" w:space="0" w:color="auto"/>
              <w:right w:val="single" w:sz="4" w:space="0" w:color="auto"/>
            </w:tcBorders>
            <w:shd w:val="clear" w:color="auto" w:fill="auto"/>
            <w:noWrap/>
            <w:vAlign w:val="bottom"/>
            <w:hideMark/>
          </w:tcPr>
          <w:p w14:paraId="1F812F3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C</w:t>
            </w:r>
          </w:p>
        </w:tc>
      </w:tr>
    </w:tbl>
    <w:p w14:paraId="55907808" w14:textId="77777777" w:rsidR="00380191" w:rsidRDefault="007E253F" w:rsidP="00380191">
      <w:pPr>
        <w:autoSpaceDE w:val="0"/>
        <w:autoSpaceDN w:val="0"/>
        <w:adjustRightInd w:val="0"/>
        <w:spacing w:after="0" w:line="360" w:lineRule="auto"/>
        <w:rPr>
          <w:rFonts w:cs="Times New Roman"/>
          <w:szCs w:val="24"/>
        </w:rPr>
      </w:pPr>
      <w:r w:rsidRPr="007E253F">
        <w:rPr>
          <w:rFonts w:cs="Times New Roman"/>
          <w:szCs w:val="24"/>
        </w:rPr>
        <w:t>Medias con una letra común no son significa</w:t>
      </w:r>
      <w:r w:rsidR="00077513">
        <w:rPr>
          <w:rFonts w:cs="Times New Roman"/>
          <w:szCs w:val="24"/>
        </w:rPr>
        <w:t>tivamente diferentes (p &gt; 0,05)</w:t>
      </w:r>
      <w:bookmarkStart w:id="1499" w:name="_Toc79314048"/>
    </w:p>
    <w:p w14:paraId="57E5176E" w14:textId="4133CF01" w:rsidR="00077513" w:rsidRPr="00380191" w:rsidRDefault="00077513" w:rsidP="00380191">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56</w:t>
      </w:r>
      <w:r w:rsidRPr="00077513">
        <w:rPr>
          <w:rFonts w:cs="Times New Roman"/>
          <w:b/>
          <w:i/>
          <w:iCs/>
          <w:szCs w:val="24"/>
        </w:rPr>
        <w:fldChar w:fldCharType="end"/>
      </w:r>
      <w:r w:rsidRPr="00077513">
        <w:rPr>
          <w:rFonts w:cs="Times New Roman"/>
          <w:b/>
          <w:szCs w:val="24"/>
        </w:rPr>
        <w:t xml:space="preserve">. </w:t>
      </w:r>
      <w:r w:rsidRPr="00077513">
        <w:rPr>
          <w:rFonts w:cs="Times New Roman"/>
          <w:szCs w:val="24"/>
        </w:rPr>
        <w:t>Absorción total de magnesio para diversas dosis de azufre evaluadas en la provincia de Bolívar del 2006 al 2011.</w:t>
      </w:r>
      <w:bookmarkEnd w:id="1499"/>
    </w:p>
    <w:tbl>
      <w:tblPr>
        <w:tblW w:w="5514" w:type="dxa"/>
        <w:jc w:val="center"/>
        <w:tblCellMar>
          <w:left w:w="70" w:type="dxa"/>
          <w:right w:w="70" w:type="dxa"/>
        </w:tblCellMar>
        <w:tblLook w:val="04A0" w:firstRow="1" w:lastRow="0" w:firstColumn="1" w:lastColumn="0" w:noHBand="0" w:noVBand="1"/>
      </w:tblPr>
      <w:tblGrid>
        <w:gridCol w:w="2227"/>
        <w:gridCol w:w="887"/>
        <w:gridCol w:w="567"/>
        <w:gridCol w:w="1833"/>
      </w:tblGrid>
      <w:tr w:rsidR="007E253F" w:rsidRPr="007E253F" w14:paraId="24F11AB1" w14:textId="77777777" w:rsidTr="009226C1">
        <w:trPr>
          <w:trHeight w:val="300"/>
          <w:jc w:val="center"/>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06696"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S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0FCC7E35"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127871"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66A361F0"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321740AD" w14:textId="77777777" w:rsidTr="009226C1">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5099BE5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shd w:val="clear" w:color="auto" w:fill="auto"/>
            <w:noWrap/>
            <w:vAlign w:val="bottom"/>
            <w:hideMark/>
          </w:tcPr>
          <w:p w14:paraId="3528A2E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14,25</w:t>
            </w:r>
          </w:p>
        </w:tc>
        <w:tc>
          <w:tcPr>
            <w:tcW w:w="567" w:type="dxa"/>
            <w:tcBorders>
              <w:top w:val="nil"/>
              <w:left w:val="nil"/>
              <w:bottom w:val="single" w:sz="4" w:space="0" w:color="auto"/>
              <w:right w:val="single" w:sz="4" w:space="0" w:color="auto"/>
            </w:tcBorders>
            <w:shd w:val="clear" w:color="auto" w:fill="auto"/>
            <w:noWrap/>
            <w:vAlign w:val="bottom"/>
            <w:hideMark/>
          </w:tcPr>
          <w:p w14:paraId="72FDEC0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33" w:type="dxa"/>
            <w:tcBorders>
              <w:top w:val="nil"/>
              <w:left w:val="nil"/>
              <w:bottom w:val="single" w:sz="4" w:space="0" w:color="auto"/>
              <w:right w:val="single" w:sz="4" w:space="0" w:color="auto"/>
            </w:tcBorders>
            <w:shd w:val="clear" w:color="auto" w:fill="auto"/>
            <w:noWrap/>
            <w:vAlign w:val="bottom"/>
            <w:hideMark/>
          </w:tcPr>
          <w:p w14:paraId="1253C0C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w:t>
            </w:r>
          </w:p>
        </w:tc>
      </w:tr>
      <w:tr w:rsidR="007E253F" w:rsidRPr="007E253F" w14:paraId="09E072C0" w14:textId="77777777" w:rsidTr="009226C1">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4118F108"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74E3A4F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17,98</w:t>
            </w:r>
          </w:p>
        </w:tc>
        <w:tc>
          <w:tcPr>
            <w:tcW w:w="567" w:type="dxa"/>
            <w:tcBorders>
              <w:top w:val="nil"/>
              <w:left w:val="nil"/>
              <w:bottom w:val="single" w:sz="4" w:space="0" w:color="auto"/>
              <w:right w:val="single" w:sz="4" w:space="0" w:color="auto"/>
            </w:tcBorders>
            <w:shd w:val="clear" w:color="auto" w:fill="auto"/>
            <w:noWrap/>
            <w:vAlign w:val="bottom"/>
            <w:hideMark/>
          </w:tcPr>
          <w:p w14:paraId="5C3D32A9"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833" w:type="dxa"/>
            <w:tcBorders>
              <w:top w:val="nil"/>
              <w:left w:val="nil"/>
              <w:bottom w:val="single" w:sz="4" w:space="0" w:color="auto"/>
              <w:right w:val="single" w:sz="4" w:space="0" w:color="auto"/>
            </w:tcBorders>
            <w:shd w:val="clear" w:color="auto" w:fill="auto"/>
            <w:noWrap/>
            <w:vAlign w:val="bottom"/>
            <w:hideMark/>
          </w:tcPr>
          <w:p w14:paraId="32CD527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1,86</w:t>
            </w:r>
          </w:p>
        </w:tc>
      </w:tr>
      <w:tr w:rsidR="007E253F" w:rsidRPr="007E253F" w14:paraId="592FBB84" w14:textId="77777777" w:rsidTr="009226C1">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029EDDF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23B6C2C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21,77</w:t>
            </w:r>
          </w:p>
        </w:tc>
        <w:tc>
          <w:tcPr>
            <w:tcW w:w="567" w:type="dxa"/>
            <w:tcBorders>
              <w:top w:val="nil"/>
              <w:left w:val="nil"/>
              <w:bottom w:val="single" w:sz="4" w:space="0" w:color="auto"/>
              <w:right w:val="single" w:sz="4" w:space="0" w:color="auto"/>
            </w:tcBorders>
            <w:shd w:val="clear" w:color="auto" w:fill="auto"/>
            <w:noWrap/>
            <w:vAlign w:val="bottom"/>
            <w:hideMark/>
          </w:tcPr>
          <w:p w14:paraId="355BD31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833" w:type="dxa"/>
            <w:tcBorders>
              <w:top w:val="nil"/>
              <w:left w:val="nil"/>
              <w:bottom w:val="single" w:sz="4" w:space="0" w:color="auto"/>
              <w:right w:val="single" w:sz="4" w:space="0" w:color="auto"/>
            </w:tcBorders>
            <w:shd w:val="clear" w:color="auto" w:fill="auto"/>
            <w:noWrap/>
            <w:vAlign w:val="bottom"/>
            <w:hideMark/>
          </w:tcPr>
          <w:p w14:paraId="1EBD248B"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1,03</w:t>
            </w:r>
          </w:p>
        </w:tc>
      </w:tr>
    </w:tbl>
    <w:p w14:paraId="17EFFC5A" w14:textId="5CAFBAFE" w:rsidR="007E253F" w:rsidRPr="005C5EF9" w:rsidRDefault="007E253F" w:rsidP="005C5EF9">
      <w:pPr>
        <w:spacing w:after="0" w:line="360" w:lineRule="auto"/>
        <w:rPr>
          <w:rFonts w:cs="Times New Roman"/>
          <w:szCs w:val="24"/>
        </w:rPr>
      </w:pPr>
    </w:p>
    <w:p w14:paraId="34136306" w14:textId="614FCFEE" w:rsidR="00077513" w:rsidRPr="00077513" w:rsidRDefault="00077513" w:rsidP="00077513">
      <w:pPr>
        <w:pStyle w:val="Descripcin"/>
        <w:keepNext/>
        <w:rPr>
          <w:rFonts w:cs="Times New Roman"/>
          <w:i w:val="0"/>
          <w:iCs w:val="0"/>
          <w:color w:val="auto"/>
          <w:sz w:val="24"/>
          <w:szCs w:val="24"/>
          <w:lang w:eastAsia="en-US"/>
        </w:rPr>
      </w:pPr>
      <w:bookmarkStart w:id="1500" w:name="_Toc79314049"/>
      <w:r w:rsidRPr="00077513">
        <w:rPr>
          <w:rFonts w:cs="Times New Roman"/>
          <w:b/>
          <w:i w:val="0"/>
          <w:iCs w:val="0"/>
          <w:color w:val="auto"/>
          <w:sz w:val="24"/>
          <w:szCs w:val="24"/>
          <w:lang w:eastAsia="en-US"/>
        </w:rPr>
        <w:lastRenderedPageBreak/>
        <w:t xml:space="preserve">Cuadro </w:t>
      </w:r>
      <w:r w:rsidRPr="00077513">
        <w:rPr>
          <w:rFonts w:cs="Times New Roman"/>
          <w:b/>
          <w:i w:val="0"/>
          <w:iCs w:val="0"/>
          <w:color w:val="auto"/>
          <w:sz w:val="24"/>
          <w:szCs w:val="24"/>
          <w:lang w:eastAsia="en-US"/>
        </w:rPr>
        <w:fldChar w:fldCharType="begin"/>
      </w:r>
      <w:r w:rsidRPr="00077513">
        <w:rPr>
          <w:rFonts w:cs="Times New Roman"/>
          <w:b/>
          <w:i w:val="0"/>
          <w:iCs w:val="0"/>
          <w:color w:val="auto"/>
          <w:sz w:val="24"/>
          <w:szCs w:val="24"/>
          <w:lang w:eastAsia="en-US"/>
        </w:rPr>
        <w:instrText xml:space="preserve"> SEQ Cuadro \* ARABIC </w:instrText>
      </w:r>
      <w:r w:rsidRPr="00077513">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57</w:t>
      </w:r>
      <w:r w:rsidRPr="00077513">
        <w:rPr>
          <w:rFonts w:cs="Times New Roman"/>
          <w:b/>
          <w:i w:val="0"/>
          <w:iCs w:val="0"/>
          <w:color w:val="auto"/>
          <w:sz w:val="24"/>
          <w:szCs w:val="24"/>
          <w:lang w:eastAsia="en-US"/>
        </w:rPr>
        <w:fldChar w:fldCharType="end"/>
      </w:r>
      <w:r w:rsidRPr="00077513">
        <w:rPr>
          <w:rFonts w:cs="Times New Roman"/>
          <w:b/>
          <w:i w:val="0"/>
          <w:iCs w:val="0"/>
          <w:color w:val="auto"/>
          <w:sz w:val="24"/>
          <w:szCs w:val="24"/>
          <w:lang w:eastAsia="en-US"/>
        </w:rPr>
        <w:t xml:space="preserve">. </w:t>
      </w:r>
      <w:r w:rsidRPr="00077513">
        <w:rPr>
          <w:rFonts w:cs="Times New Roman"/>
          <w:i w:val="0"/>
          <w:iCs w:val="0"/>
          <w:color w:val="auto"/>
          <w:sz w:val="24"/>
          <w:szCs w:val="24"/>
          <w:lang w:eastAsia="en-US"/>
        </w:rPr>
        <w:t>Absorción total de magnesio para diversas dosis de magnesio evaluadas en la provincia de Bolívar del 2006 al 2011.</w:t>
      </w:r>
      <w:bookmarkEnd w:id="1500"/>
    </w:p>
    <w:tbl>
      <w:tblPr>
        <w:tblW w:w="5514" w:type="dxa"/>
        <w:jc w:val="center"/>
        <w:tblCellMar>
          <w:left w:w="70" w:type="dxa"/>
          <w:right w:w="70" w:type="dxa"/>
        </w:tblCellMar>
        <w:tblLook w:val="04A0" w:firstRow="1" w:lastRow="0" w:firstColumn="1" w:lastColumn="0" w:noHBand="0" w:noVBand="1"/>
      </w:tblPr>
      <w:tblGrid>
        <w:gridCol w:w="2227"/>
        <w:gridCol w:w="887"/>
        <w:gridCol w:w="567"/>
        <w:gridCol w:w="1833"/>
      </w:tblGrid>
      <w:tr w:rsidR="007E253F" w:rsidRPr="007E253F" w14:paraId="2A413076" w14:textId="77777777" w:rsidTr="009226C1">
        <w:trPr>
          <w:trHeight w:val="300"/>
          <w:jc w:val="center"/>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0B4D3"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Dosis Mg (kg ha-</w:t>
            </w:r>
            <w:r w:rsidRPr="007E253F">
              <w:rPr>
                <w:rFonts w:eastAsia="Times New Roman" w:cs="Times New Roman"/>
                <w:b/>
                <w:bCs/>
                <w:color w:val="000000"/>
                <w:szCs w:val="24"/>
                <w:vertAlign w:val="superscript"/>
                <w:lang w:eastAsia="es-EC"/>
              </w:rPr>
              <w:t>1</w:t>
            </w:r>
            <w:r w:rsidRPr="007E253F">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2160254"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1643E23" w14:textId="6D6926FA" w:rsidR="007E253F" w:rsidRPr="007E253F" w:rsidRDefault="00562112"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N</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6DB09496" w14:textId="77777777" w:rsidR="007E253F" w:rsidRPr="007E253F" w:rsidRDefault="007E253F" w:rsidP="00380191">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r>
      <w:tr w:rsidR="007E253F" w:rsidRPr="007E253F" w14:paraId="7F84E6EF" w14:textId="77777777" w:rsidTr="009226C1">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21ECDCF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shd w:val="clear" w:color="auto" w:fill="auto"/>
            <w:noWrap/>
            <w:vAlign w:val="bottom"/>
            <w:hideMark/>
          </w:tcPr>
          <w:p w14:paraId="16E67947"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14,14</w:t>
            </w:r>
          </w:p>
        </w:tc>
        <w:tc>
          <w:tcPr>
            <w:tcW w:w="567" w:type="dxa"/>
            <w:tcBorders>
              <w:top w:val="nil"/>
              <w:left w:val="nil"/>
              <w:bottom w:val="single" w:sz="4" w:space="0" w:color="auto"/>
              <w:right w:val="single" w:sz="4" w:space="0" w:color="auto"/>
            </w:tcBorders>
            <w:shd w:val="clear" w:color="auto" w:fill="auto"/>
            <w:noWrap/>
            <w:vAlign w:val="bottom"/>
            <w:hideMark/>
          </w:tcPr>
          <w:p w14:paraId="22C76872"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30</w:t>
            </w:r>
          </w:p>
        </w:tc>
        <w:tc>
          <w:tcPr>
            <w:tcW w:w="1833" w:type="dxa"/>
            <w:tcBorders>
              <w:top w:val="nil"/>
              <w:left w:val="nil"/>
              <w:bottom w:val="single" w:sz="4" w:space="0" w:color="auto"/>
              <w:right w:val="single" w:sz="4" w:space="0" w:color="auto"/>
            </w:tcBorders>
            <w:shd w:val="clear" w:color="auto" w:fill="auto"/>
            <w:noWrap/>
            <w:vAlign w:val="bottom"/>
            <w:hideMark/>
          </w:tcPr>
          <w:p w14:paraId="56FE941C"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1,18</w:t>
            </w:r>
          </w:p>
        </w:tc>
      </w:tr>
      <w:tr w:rsidR="007E253F" w:rsidRPr="007E253F" w14:paraId="2358B528" w14:textId="77777777" w:rsidTr="009226C1">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289C6D3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shd w:val="clear" w:color="auto" w:fill="auto"/>
            <w:noWrap/>
            <w:vAlign w:val="bottom"/>
            <w:hideMark/>
          </w:tcPr>
          <w:p w14:paraId="1415A8C6"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18,21</w:t>
            </w:r>
          </w:p>
        </w:tc>
        <w:tc>
          <w:tcPr>
            <w:tcW w:w="567" w:type="dxa"/>
            <w:tcBorders>
              <w:top w:val="nil"/>
              <w:left w:val="nil"/>
              <w:bottom w:val="single" w:sz="4" w:space="0" w:color="auto"/>
              <w:right w:val="single" w:sz="4" w:space="0" w:color="auto"/>
            </w:tcBorders>
            <w:shd w:val="clear" w:color="auto" w:fill="auto"/>
            <w:noWrap/>
            <w:vAlign w:val="bottom"/>
            <w:hideMark/>
          </w:tcPr>
          <w:p w14:paraId="1DF881B5"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w:t>
            </w:r>
          </w:p>
        </w:tc>
        <w:tc>
          <w:tcPr>
            <w:tcW w:w="1833" w:type="dxa"/>
            <w:tcBorders>
              <w:top w:val="nil"/>
              <w:left w:val="nil"/>
              <w:bottom w:val="single" w:sz="4" w:space="0" w:color="auto"/>
              <w:right w:val="single" w:sz="4" w:space="0" w:color="auto"/>
            </w:tcBorders>
            <w:shd w:val="clear" w:color="auto" w:fill="auto"/>
            <w:noWrap/>
            <w:vAlign w:val="bottom"/>
            <w:hideMark/>
          </w:tcPr>
          <w:p w14:paraId="6194C50F"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1,86</w:t>
            </w:r>
          </w:p>
        </w:tc>
      </w:tr>
      <w:tr w:rsidR="007E253F" w:rsidRPr="007E253F" w14:paraId="3DB7E47C" w14:textId="77777777" w:rsidTr="009226C1">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1D2A77C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shd w:val="clear" w:color="auto" w:fill="auto"/>
            <w:noWrap/>
            <w:vAlign w:val="bottom"/>
            <w:hideMark/>
          </w:tcPr>
          <w:p w14:paraId="0142DD20"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21,77</w:t>
            </w:r>
          </w:p>
        </w:tc>
        <w:tc>
          <w:tcPr>
            <w:tcW w:w="567" w:type="dxa"/>
            <w:tcBorders>
              <w:top w:val="nil"/>
              <w:left w:val="nil"/>
              <w:bottom w:val="single" w:sz="4" w:space="0" w:color="auto"/>
              <w:right w:val="single" w:sz="4" w:space="0" w:color="auto"/>
            </w:tcBorders>
            <w:shd w:val="clear" w:color="auto" w:fill="auto"/>
            <w:noWrap/>
            <w:vAlign w:val="bottom"/>
            <w:hideMark/>
          </w:tcPr>
          <w:p w14:paraId="7D29CC71"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49</w:t>
            </w:r>
          </w:p>
        </w:tc>
        <w:tc>
          <w:tcPr>
            <w:tcW w:w="1833" w:type="dxa"/>
            <w:tcBorders>
              <w:top w:val="nil"/>
              <w:left w:val="nil"/>
              <w:bottom w:val="single" w:sz="4" w:space="0" w:color="auto"/>
              <w:right w:val="single" w:sz="4" w:space="0" w:color="auto"/>
            </w:tcBorders>
            <w:shd w:val="clear" w:color="auto" w:fill="auto"/>
            <w:noWrap/>
            <w:vAlign w:val="bottom"/>
            <w:hideMark/>
          </w:tcPr>
          <w:p w14:paraId="4795179E" w14:textId="77777777" w:rsidR="007E253F" w:rsidRPr="007E253F" w:rsidRDefault="007E253F" w:rsidP="00380191">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1,03</w:t>
            </w:r>
          </w:p>
        </w:tc>
      </w:tr>
    </w:tbl>
    <w:p w14:paraId="6ABCB4DF" w14:textId="229FEA79" w:rsidR="007E253F" w:rsidRPr="00DE3875" w:rsidRDefault="00DE3875" w:rsidP="00380191">
      <w:pPr>
        <w:autoSpaceDE w:val="0"/>
        <w:autoSpaceDN w:val="0"/>
        <w:adjustRightInd w:val="0"/>
        <w:spacing w:before="360" w:after="0" w:line="360" w:lineRule="auto"/>
        <w:rPr>
          <w:rFonts w:cs="Times New Roman"/>
          <w:bCs/>
          <w:szCs w:val="24"/>
        </w:rPr>
      </w:pPr>
      <w:r>
        <w:rPr>
          <w:rFonts w:cs="Times New Roman"/>
          <w:bCs/>
          <w:szCs w:val="24"/>
        </w:rPr>
        <w:t xml:space="preserve">El efecto de los nutrientes que fueron significativos (p&lt;0,001) </w:t>
      </w:r>
      <w:r w:rsidR="007E253F" w:rsidRPr="007E253F">
        <w:rPr>
          <w:rFonts w:cs="Times New Roman"/>
          <w:bCs/>
          <w:szCs w:val="24"/>
        </w:rPr>
        <w:t>sobre la a</w:t>
      </w:r>
      <w:r w:rsidR="005F2CA6">
        <w:rPr>
          <w:rFonts w:cs="Times New Roman"/>
          <w:bCs/>
          <w:szCs w:val="24"/>
        </w:rPr>
        <w:t>b</w:t>
      </w:r>
      <w:r w:rsidR="007E253F" w:rsidRPr="007E253F">
        <w:rPr>
          <w:rFonts w:cs="Times New Roman"/>
          <w:bCs/>
          <w:szCs w:val="24"/>
        </w:rPr>
        <w:t xml:space="preserve">sorción total de magnesio de maíz en la provincia de Bolívar se observa en </w:t>
      </w:r>
      <w:r w:rsidR="00185D16">
        <w:rPr>
          <w:rFonts w:cs="Times New Roman"/>
          <w:bCs/>
          <w:szCs w:val="24"/>
        </w:rPr>
        <w:t xml:space="preserve">la </w:t>
      </w:r>
      <w:r w:rsidR="007E253F" w:rsidRPr="007E253F">
        <w:rPr>
          <w:rFonts w:cs="Times New Roman"/>
          <w:bCs/>
          <w:szCs w:val="24"/>
        </w:rPr>
        <w:t xml:space="preserve">siguiente </w:t>
      </w:r>
      <w:r w:rsidR="00185D16">
        <w:rPr>
          <w:rFonts w:cs="Times New Roman"/>
          <w:bCs/>
          <w:szCs w:val="24"/>
        </w:rPr>
        <w:t>figura</w:t>
      </w:r>
      <w:r w:rsidR="007E253F" w:rsidRPr="007E253F">
        <w:rPr>
          <w:rFonts w:cs="Times New Roman"/>
          <w:bCs/>
          <w:szCs w:val="24"/>
        </w:rPr>
        <w:t xml:space="preserve"> </w:t>
      </w:r>
    </w:p>
    <w:p w14:paraId="2D801984" w14:textId="265FA962" w:rsidR="005C5EF9" w:rsidRDefault="005C5EF9" w:rsidP="007E253F">
      <w:pPr>
        <w:autoSpaceDE w:val="0"/>
        <w:autoSpaceDN w:val="0"/>
        <w:adjustRightInd w:val="0"/>
        <w:spacing w:after="0" w:line="360" w:lineRule="auto"/>
        <w:rPr>
          <w:rFonts w:cs="Times New Roman"/>
          <w:szCs w:val="24"/>
        </w:rPr>
      </w:pPr>
    </w:p>
    <w:p w14:paraId="55AC9AE4" w14:textId="2AA16505" w:rsidR="005C5EF9" w:rsidRPr="005C5EF9" w:rsidRDefault="005C5EF9" w:rsidP="00135DE8">
      <w:pPr>
        <w:pStyle w:val="Ttulo1"/>
        <w:numPr>
          <w:ilvl w:val="0"/>
          <w:numId w:val="26"/>
        </w:numPr>
        <w:spacing w:after="0"/>
        <w:rPr>
          <w:rFonts w:eastAsiaTheme="minorHAnsi"/>
          <w:b w:val="0"/>
          <w:bCs w:val="0"/>
        </w:rPr>
      </w:pPr>
      <w:bookmarkStart w:id="1501" w:name="_Toc72704042"/>
      <w:bookmarkStart w:id="1502" w:name="_Toc72704566"/>
      <w:bookmarkStart w:id="1503" w:name="_Toc72705630"/>
      <w:bookmarkStart w:id="1504" w:name="_Toc72706269"/>
      <w:bookmarkStart w:id="1505" w:name="_Toc72741219"/>
      <w:bookmarkStart w:id="1506" w:name="_Toc72742815"/>
      <w:bookmarkStart w:id="1507" w:name="_Toc72881183"/>
      <w:bookmarkStart w:id="1508" w:name="_Toc72881554"/>
      <w:bookmarkStart w:id="1509" w:name="_Toc75606426"/>
      <w:bookmarkStart w:id="1510" w:name="_Toc75608979"/>
      <w:bookmarkStart w:id="1511" w:name="_Toc75611905"/>
      <w:bookmarkStart w:id="1512" w:name="_Toc75612751"/>
      <w:bookmarkStart w:id="1513" w:name="_Toc75679907"/>
      <w:bookmarkStart w:id="1514" w:name="_Toc75702515"/>
      <w:bookmarkStart w:id="1515" w:name="_Toc79313222"/>
      <w:bookmarkStart w:id="1516" w:name="_Toc80008425"/>
      <w:bookmarkStart w:id="1517" w:name="_Toc80312318"/>
      <w:r w:rsidRPr="00056824">
        <w:rPr>
          <w:rFonts w:eastAsiaTheme="minorHAnsi"/>
          <w:b w:val="0"/>
          <w:bCs w:val="0"/>
          <w:lang w:val="es-EC"/>
        </w:rPr>
        <w:t>Nitrógeno</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0946089F" w14:textId="0D17BF7A" w:rsidR="007E253F" w:rsidRPr="004B66F2" w:rsidRDefault="007E253F" w:rsidP="004B66F2">
      <w:pPr>
        <w:autoSpaceDE w:val="0"/>
        <w:autoSpaceDN w:val="0"/>
        <w:adjustRightInd w:val="0"/>
        <w:spacing w:after="0" w:line="360" w:lineRule="auto"/>
        <w:jc w:val="center"/>
        <w:rPr>
          <w:rFonts w:cs="Times New Roman"/>
          <w:szCs w:val="24"/>
        </w:rPr>
      </w:pPr>
      <w:r w:rsidRPr="007E253F">
        <w:rPr>
          <w:rFonts w:cs="Times New Roman"/>
          <w:noProof/>
          <w:szCs w:val="24"/>
          <w:lang w:eastAsia="es-EC"/>
        </w:rPr>
        <w:drawing>
          <wp:inline distT="0" distB="0" distL="0" distR="0" wp14:anchorId="7EC2C914" wp14:editId="45770AE2">
            <wp:extent cx="3626864" cy="1782445"/>
            <wp:effectExtent l="0" t="0" r="12065" b="8255"/>
            <wp:docPr id="35" name="Gráfico 35">
              <a:extLst xmlns:a="http://schemas.openxmlformats.org/drawingml/2006/main">
                <a:ext uri="{FF2B5EF4-FFF2-40B4-BE49-F238E27FC236}">
                  <a16:creationId xmlns:a16="http://schemas.microsoft.com/office/drawing/2014/main" id="{E785BFD2-F8D3-4A97-B6CB-166FD7575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C9F82E" w14:textId="69905BB4" w:rsidR="005C5EF9" w:rsidRPr="005C5EF9" w:rsidRDefault="005C5EF9" w:rsidP="00135DE8">
      <w:pPr>
        <w:pStyle w:val="Ttulo1"/>
        <w:numPr>
          <w:ilvl w:val="0"/>
          <w:numId w:val="26"/>
        </w:numPr>
        <w:spacing w:after="0"/>
        <w:rPr>
          <w:b w:val="0"/>
          <w:bCs w:val="0"/>
          <w:szCs w:val="24"/>
        </w:rPr>
      </w:pPr>
      <w:bookmarkStart w:id="1518" w:name="_Toc72704044"/>
      <w:bookmarkStart w:id="1519" w:name="_Toc72704568"/>
      <w:bookmarkStart w:id="1520" w:name="_Toc72705632"/>
      <w:bookmarkStart w:id="1521" w:name="_Toc72706271"/>
      <w:bookmarkStart w:id="1522" w:name="_Toc72741221"/>
      <w:bookmarkStart w:id="1523" w:name="_Toc72742817"/>
      <w:bookmarkStart w:id="1524" w:name="_Toc72881184"/>
      <w:bookmarkStart w:id="1525" w:name="_Toc72881555"/>
      <w:bookmarkStart w:id="1526" w:name="_Toc75606427"/>
      <w:bookmarkStart w:id="1527" w:name="_Toc75608980"/>
      <w:bookmarkStart w:id="1528" w:name="_Toc75611906"/>
      <w:bookmarkStart w:id="1529" w:name="_Toc75612752"/>
      <w:bookmarkStart w:id="1530" w:name="_Toc75679908"/>
      <w:bookmarkStart w:id="1531" w:name="_Toc75702516"/>
      <w:bookmarkStart w:id="1532" w:name="_Toc79313223"/>
      <w:bookmarkStart w:id="1533" w:name="_Toc80008426"/>
      <w:bookmarkStart w:id="1534" w:name="_Toc80312319"/>
      <w:r w:rsidRPr="00056824">
        <w:rPr>
          <w:rFonts w:eastAsiaTheme="minorHAnsi"/>
          <w:b w:val="0"/>
          <w:bCs w:val="0"/>
          <w:lang w:val="es-EC"/>
        </w:rPr>
        <w:t>Potasio</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5EC57382" w14:textId="77777777" w:rsidR="007E253F" w:rsidRPr="007E253F" w:rsidRDefault="007E253F" w:rsidP="007E253F">
      <w:pPr>
        <w:autoSpaceDE w:val="0"/>
        <w:autoSpaceDN w:val="0"/>
        <w:adjustRightInd w:val="0"/>
        <w:spacing w:after="0" w:line="360" w:lineRule="auto"/>
        <w:jc w:val="center"/>
        <w:rPr>
          <w:rFonts w:cs="Times New Roman"/>
          <w:szCs w:val="24"/>
        </w:rPr>
      </w:pPr>
      <w:r w:rsidRPr="007E253F">
        <w:rPr>
          <w:rFonts w:cs="Times New Roman"/>
          <w:noProof/>
          <w:szCs w:val="24"/>
          <w:lang w:eastAsia="es-EC"/>
        </w:rPr>
        <w:drawing>
          <wp:inline distT="0" distB="0" distL="0" distR="0" wp14:anchorId="1DA971D7" wp14:editId="3C83BFF2">
            <wp:extent cx="3703704" cy="2037630"/>
            <wp:effectExtent l="0" t="0" r="11430" b="1270"/>
            <wp:docPr id="37" name="Gráfico 37">
              <a:extLst xmlns:a="http://schemas.openxmlformats.org/drawingml/2006/main">
                <a:ext uri="{FF2B5EF4-FFF2-40B4-BE49-F238E27FC236}">
                  <a16:creationId xmlns:a16="http://schemas.microsoft.com/office/drawing/2014/main" id="{76849902-2DD0-4C1B-951E-DC0C1E344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ED2176" w14:textId="7527DBF8" w:rsidR="007E253F" w:rsidRPr="007E253F" w:rsidRDefault="007E253F" w:rsidP="007E253F">
      <w:pPr>
        <w:spacing w:line="360" w:lineRule="auto"/>
        <w:rPr>
          <w:rFonts w:cs="Times New Roman"/>
          <w:szCs w:val="24"/>
        </w:rPr>
      </w:pPr>
      <w:r w:rsidRPr="007E253F">
        <w:rPr>
          <w:rFonts w:cs="Times New Roman"/>
          <w:szCs w:val="24"/>
        </w:rPr>
        <w:t>Efecto de los macronutrientes</w:t>
      </w:r>
      <w:r w:rsidR="00DE3875">
        <w:rPr>
          <w:rFonts w:cs="Times New Roman"/>
          <w:szCs w:val="24"/>
        </w:rPr>
        <w:t xml:space="preserve"> a) nitrógeno b) potasio</w:t>
      </w:r>
      <w:r w:rsidRPr="007E253F">
        <w:rPr>
          <w:rFonts w:cs="Times New Roman"/>
          <w:szCs w:val="24"/>
        </w:rPr>
        <w:t xml:space="preserve"> sobre la absorción total de magnesio en maíz suave en la provincia de Bolívar (2006-2011).</w:t>
      </w:r>
    </w:p>
    <w:p w14:paraId="27359E88" w14:textId="2AB66B02" w:rsidR="007E253F" w:rsidRPr="00515E28" w:rsidRDefault="004A639F" w:rsidP="00380191">
      <w:pPr>
        <w:pStyle w:val="Ttulo2"/>
        <w:numPr>
          <w:ilvl w:val="1"/>
          <w:numId w:val="40"/>
        </w:numPr>
        <w:spacing w:before="360" w:after="360"/>
        <w:ind w:left="709"/>
      </w:pPr>
      <w:bookmarkStart w:id="1535" w:name="_Toc72741222"/>
      <w:bookmarkStart w:id="1536" w:name="_Toc72742020"/>
      <w:bookmarkStart w:id="1537" w:name="_Toc72742818"/>
      <w:bookmarkStart w:id="1538" w:name="_Toc72881556"/>
      <w:bookmarkStart w:id="1539" w:name="_Toc72882638"/>
      <w:bookmarkStart w:id="1540" w:name="_Toc75608981"/>
      <w:bookmarkStart w:id="1541" w:name="_Toc75611907"/>
      <w:bookmarkStart w:id="1542" w:name="_Toc75612753"/>
      <w:bookmarkStart w:id="1543" w:name="_Toc75679909"/>
      <w:bookmarkStart w:id="1544" w:name="_Toc75702517"/>
      <w:bookmarkStart w:id="1545" w:name="_Toc80312320"/>
      <w:r>
        <w:lastRenderedPageBreak/>
        <w:t>R</w:t>
      </w:r>
      <w:r w:rsidRPr="007E253F">
        <w:t xml:space="preserve">espuesta del </w:t>
      </w:r>
      <w:r w:rsidR="00664C92" w:rsidRPr="007E253F">
        <w:t>m</w:t>
      </w:r>
      <w:r w:rsidR="00664C92">
        <w:t>a</w:t>
      </w:r>
      <w:r w:rsidR="00664C92" w:rsidRPr="007E253F">
        <w:t>íz</w:t>
      </w:r>
      <w:r w:rsidR="00664C92">
        <w:t xml:space="preserve"> suave</w:t>
      </w:r>
      <w:r w:rsidR="00D83D75">
        <w:t xml:space="preserve"> </w:t>
      </w:r>
      <w:r w:rsidR="00664C92" w:rsidRPr="007E253F">
        <w:t>a</w:t>
      </w:r>
      <w:r w:rsidRPr="007E253F">
        <w:t xml:space="preserve"> la fertilización</w:t>
      </w:r>
      <w:r w:rsidR="00D83D75">
        <w:t xml:space="preserve"> con macronutrientes</w:t>
      </w:r>
      <w:r w:rsidRPr="007E253F">
        <w:t xml:space="preserve"> en la provincia de </w:t>
      </w:r>
      <w:r>
        <w:t>C</w:t>
      </w:r>
      <w:r w:rsidRPr="007E253F">
        <w:t>himborazo</w:t>
      </w:r>
      <w:bookmarkEnd w:id="1535"/>
      <w:bookmarkEnd w:id="1536"/>
      <w:bookmarkEnd w:id="1537"/>
      <w:bookmarkEnd w:id="1538"/>
      <w:bookmarkEnd w:id="1539"/>
      <w:bookmarkEnd w:id="1540"/>
      <w:bookmarkEnd w:id="1541"/>
      <w:bookmarkEnd w:id="1542"/>
      <w:bookmarkEnd w:id="1543"/>
      <w:bookmarkEnd w:id="1544"/>
      <w:bookmarkEnd w:id="1545"/>
    </w:p>
    <w:p w14:paraId="4F0FA225" w14:textId="2FBC643E" w:rsidR="007E253F" w:rsidRPr="007E253F" w:rsidRDefault="007E253F" w:rsidP="00380191">
      <w:pPr>
        <w:pStyle w:val="Ttulo3"/>
        <w:spacing w:before="360" w:after="360"/>
      </w:pPr>
      <w:bookmarkStart w:id="1546" w:name="_Toc80312321"/>
      <w:r w:rsidRPr="007E253F">
        <w:t>Rendimiento (t ha</w:t>
      </w:r>
      <w:r w:rsidRPr="007E253F">
        <w:rPr>
          <w:vertAlign w:val="superscript"/>
        </w:rPr>
        <w:t>-1</w:t>
      </w:r>
      <w:r w:rsidRPr="007E253F">
        <w:t>)</w:t>
      </w:r>
      <w:bookmarkEnd w:id="1546"/>
    </w:p>
    <w:p w14:paraId="74E1648E" w14:textId="509166B4" w:rsidR="007E253F" w:rsidRDefault="007E253F" w:rsidP="00077513">
      <w:pPr>
        <w:autoSpaceDE w:val="0"/>
        <w:autoSpaceDN w:val="0"/>
        <w:adjustRightInd w:val="0"/>
        <w:spacing w:after="0" w:line="360" w:lineRule="auto"/>
        <w:rPr>
          <w:rFonts w:cs="Times New Roman"/>
          <w:szCs w:val="24"/>
        </w:rPr>
      </w:pPr>
      <w:r w:rsidRPr="007E253F">
        <w:rPr>
          <w:rFonts w:cs="Times New Roman"/>
          <w:szCs w:val="24"/>
        </w:rPr>
        <w:t>Al utilizar el modelo estadístico para rendimiento, se detectaron diferencias estadísticas significativas (p &lt;0,05) para las fuentes de variación de nitrógeno; mientras que no fueron significativos para dosis de fósforo, azufre, magnesio, (Cuadro 58). El efecto de las localidades de evaluación (parroquia) también fue significativo. Por lo tanto, las dosis de</w:t>
      </w:r>
      <w:r w:rsidR="00CE436F">
        <w:rPr>
          <w:rFonts w:cs="Times New Roman"/>
          <w:szCs w:val="24"/>
        </w:rPr>
        <w:t>l fertilizante nitrogenado</w:t>
      </w:r>
      <w:r w:rsidRPr="007E253F">
        <w:rPr>
          <w:rFonts w:cs="Times New Roman"/>
          <w:szCs w:val="24"/>
        </w:rPr>
        <w:t xml:space="preserve"> y la localidad (ambiente) influyeron sobre el rendimiento del cultivo de maíz en los ensayos ubicados en la provincia de Chimborazo. El promedio general de rendimiento fue 4,59 t ha</w:t>
      </w:r>
      <w:r w:rsidR="00CE436F" w:rsidRPr="00056824">
        <w:rPr>
          <w:rFonts w:cs="Times New Roman"/>
          <w:szCs w:val="24"/>
          <w:vertAlign w:val="superscript"/>
        </w:rPr>
        <w:t>-1</w:t>
      </w:r>
      <w:r w:rsidRPr="007E253F">
        <w:rPr>
          <w:rFonts w:cs="Times New Roman"/>
          <w:szCs w:val="24"/>
        </w:rPr>
        <w:t>; con un R</w:t>
      </w:r>
      <w:r w:rsidRPr="007E253F">
        <w:rPr>
          <w:rFonts w:cs="Times New Roman"/>
          <w:szCs w:val="24"/>
          <w:vertAlign w:val="superscript"/>
        </w:rPr>
        <w:t>2</w:t>
      </w:r>
      <w:r w:rsidRPr="007E253F">
        <w:rPr>
          <w:rFonts w:cs="Times New Roman"/>
          <w:szCs w:val="24"/>
        </w:rPr>
        <w:t xml:space="preserve"> de 0,63 y un coeficiente de variación fue de 18,73%.</w:t>
      </w:r>
    </w:p>
    <w:p w14:paraId="6267B200" w14:textId="7BADD4F0" w:rsidR="00077513" w:rsidRPr="00077513" w:rsidRDefault="00077513" w:rsidP="00380191">
      <w:pPr>
        <w:pStyle w:val="Descripcin"/>
        <w:keepNext/>
        <w:spacing w:before="360"/>
        <w:rPr>
          <w:rFonts w:cs="Times New Roman"/>
          <w:i w:val="0"/>
          <w:iCs w:val="0"/>
          <w:color w:val="auto"/>
          <w:sz w:val="24"/>
          <w:szCs w:val="24"/>
          <w:lang w:eastAsia="en-US"/>
        </w:rPr>
      </w:pPr>
      <w:bookmarkStart w:id="1547" w:name="_Toc79314050"/>
      <w:r w:rsidRPr="00077513">
        <w:rPr>
          <w:rFonts w:cs="Times New Roman"/>
          <w:b/>
          <w:i w:val="0"/>
          <w:iCs w:val="0"/>
          <w:color w:val="auto"/>
          <w:sz w:val="24"/>
          <w:szCs w:val="24"/>
          <w:lang w:eastAsia="en-US"/>
        </w:rPr>
        <w:t xml:space="preserve">Cuadro </w:t>
      </w:r>
      <w:r w:rsidRPr="00077513">
        <w:rPr>
          <w:rFonts w:cs="Times New Roman"/>
          <w:b/>
          <w:i w:val="0"/>
          <w:iCs w:val="0"/>
          <w:color w:val="auto"/>
          <w:sz w:val="24"/>
          <w:szCs w:val="24"/>
          <w:lang w:eastAsia="en-US"/>
        </w:rPr>
        <w:fldChar w:fldCharType="begin"/>
      </w:r>
      <w:r w:rsidRPr="00077513">
        <w:rPr>
          <w:rFonts w:cs="Times New Roman"/>
          <w:b/>
          <w:i w:val="0"/>
          <w:iCs w:val="0"/>
          <w:color w:val="auto"/>
          <w:sz w:val="24"/>
          <w:szCs w:val="24"/>
          <w:lang w:eastAsia="en-US"/>
        </w:rPr>
        <w:instrText xml:space="preserve"> SEQ Cuadro \* ARABIC </w:instrText>
      </w:r>
      <w:r w:rsidRPr="00077513">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58</w:t>
      </w:r>
      <w:r w:rsidRPr="00077513">
        <w:rPr>
          <w:rFonts w:cs="Times New Roman"/>
          <w:b/>
          <w:i w:val="0"/>
          <w:iCs w:val="0"/>
          <w:color w:val="auto"/>
          <w:sz w:val="24"/>
          <w:szCs w:val="24"/>
          <w:lang w:eastAsia="en-US"/>
        </w:rPr>
        <w:fldChar w:fldCharType="end"/>
      </w:r>
      <w:r w:rsidRPr="00077513">
        <w:rPr>
          <w:rFonts w:cs="Times New Roman"/>
          <w:i w:val="0"/>
          <w:iCs w:val="0"/>
          <w:color w:val="auto"/>
          <w:sz w:val="24"/>
          <w:szCs w:val="24"/>
          <w:lang w:eastAsia="en-US"/>
        </w:rPr>
        <w:t>.Análisis de la Varianza (SC tipo I) y porcentaje de varianza para rendimiento de maíz suave en grano seco, evaluado en la provincia de Chimborazo 2012-2014</w:t>
      </w:r>
      <w:bookmarkEnd w:id="1547"/>
    </w:p>
    <w:tbl>
      <w:tblPr>
        <w:tblW w:w="5000" w:type="pct"/>
        <w:tblCellMar>
          <w:left w:w="70" w:type="dxa"/>
          <w:right w:w="70" w:type="dxa"/>
        </w:tblCellMar>
        <w:tblLook w:val="04A0" w:firstRow="1" w:lastRow="0" w:firstColumn="1" w:lastColumn="0" w:noHBand="0" w:noVBand="1"/>
      </w:tblPr>
      <w:tblGrid>
        <w:gridCol w:w="1396"/>
        <w:gridCol w:w="1210"/>
        <w:gridCol w:w="968"/>
        <w:gridCol w:w="968"/>
        <w:gridCol w:w="969"/>
        <w:gridCol w:w="969"/>
        <w:gridCol w:w="1447"/>
      </w:tblGrid>
      <w:tr w:rsidR="007E253F" w:rsidRPr="007E253F" w14:paraId="5640AAAC" w14:textId="77777777" w:rsidTr="00077513">
        <w:trPr>
          <w:trHeight w:val="300"/>
        </w:trPr>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BA336"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  F.V.   </w:t>
            </w:r>
          </w:p>
        </w:tc>
        <w:tc>
          <w:tcPr>
            <w:tcW w:w="774" w:type="pct"/>
            <w:tcBorders>
              <w:top w:val="single" w:sz="4" w:space="0" w:color="auto"/>
              <w:left w:val="nil"/>
              <w:bottom w:val="single" w:sz="4" w:space="0" w:color="auto"/>
              <w:right w:val="single" w:sz="4" w:space="0" w:color="auto"/>
            </w:tcBorders>
            <w:shd w:val="clear" w:color="auto" w:fill="auto"/>
            <w:noWrap/>
            <w:vAlign w:val="bottom"/>
            <w:hideMark/>
          </w:tcPr>
          <w:p w14:paraId="5610F966"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 SC   </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643CB364"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Gl</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07BAEE68"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 CM </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2958AE8D"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 F  </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4A2D157D"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p-valor</w:t>
            </w:r>
          </w:p>
        </w:tc>
        <w:tc>
          <w:tcPr>
            <w:tcW w:w="852" w:type="pct"/>
            <w:tcBorders>
              <w:top w:val="single" w:sz="4" w:space="0" w:color="auto"/>
              <w:left w:val="nil"/>
              <w:bottom w:val="single" w:sz="4" w:space="0" w:color="auto"/>
              <w:right w:val="single" w:sz="4" w:space="0" w:color="auto"/>
            </w:tcBorders>
            <w:shd w:val="clear" w:color="auto" w:fill="auto"/>
            <w:noWrap/>
            <w:vAlign w:val="bottom"/>
            <w:hideMark/>
          </w:tcPr>
          <w:p w14:paraId="3E9E3414"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 Varianza %</w:t>
            </w:r>
          </w:p>
        </w:tc>
      </w:tr>
      <w:tr w:rsidR="007E253F" w:rsidRPr="007E253F" w14:paraId="57D3F435"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09E0664C"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Modelo   </w:t>
            </w:r>
          </w:p>
        </w:tc>
        <w:tc>
          <w:tcPr>
            <w:tcW w:w="774" w:type="pct"/>
            <w:tcBorders>
              <w:top w:val="nil"/>
              <w:left w:val="nil"/>
              <w:bottom w:val="single" w:sz="4" w:space="0" w:color="auto"/>
              <w:right w:val="single" w:sz="4" w:space="0" w:color="auto"/>
            </w:tcBorders>
            <w:shd w:val="clear" w:color="auto" w:fill="auto"/>
            <w:noWrap/>
            <w:vAlign w:val="bottom"/>
            <w:hideMark/>
          </w:tcPr>
          <w:p w14:paraId="00C134F9"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72,92</w:t>
            </w:r>
          </w:p>
        </w:tc>
        <w:tc>
          <w:tcPr>
            <w:tcW w:w="621" w:type="pct"/>
            <w:tcBorders>
              <w:top w:val="nil"/>
              <w:left w:val="nil"/>
              <w:bottom w:val="single" w:sz="4" w:space="0" w:color="auto"/>
              <w:right w:val="single" w:sz="4" w:space="0" w:color="auto"/>
            </w:tcBorders>
            <w:shd w:val="clear" w:color="auto" w:fill="auto"/>
            <w:noWrap/>
            <w:vAlign w:val="bottom"/>
            <w:hideMark/>
          </w:tcPr>
          <w:p w14:paraId="0F19F340"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22</w:t>
            </w:r>
          </w:p>
        </w:tc>
        <w:tc>
          <w:tcPr>
            <w:tcW w:w="621" w:type="pct"/>
            <w:tcBorders>
              <w:top w:val="nil"/>
              <w:left w:val="nil"/>
              <w:bottom w:val="single" w:sz="4" w:space="0" w:color="auto"/>
              <w:right w:val="single" w:sz="4" w:space="0" w:color="auto"/>
            </w:tcBorders>
            <w:shd w:val="clear" w:color="auto" w:fill="auto"/>
            <w:noWrap/>
            <w:vAlign w:val="bottom"/>
            <w:hideMark/>
          </w:tcPr>
          <w:p w14:paraId="719599F7"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3,31</w:t>
            </w:r>
          </w:p>
        </w:tc>
        <w:tc>
          <w:tcPr>
            <w:tcW w:w="621" w:type="pct"/>
            <w:tcBorders>
              <w:top w:val="nil"/>
              <w:left w:val="nil"/>
              <w:bottom w:val="single" w:sz="4" w:space="0" w:color="auto"/>
              <w:right w:val="single" w:sz="4" w:space="0" w:color="auto"/>
            </w:tcBorders>
            <w:shd w:val="clear" w:color="auto" w:fill="auto"/>
            <w:noWrap/>
            <w:vAlign w:val="bottom"/>
            <w:hideMark/>
          </w:tcPr>
          <w:p w14:paraId="13409B8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4,48</w:t>
            </w:r>
          </w:p>
        </w:tc>
        <w:tc>
          <w:tcPr>
            <w:tcW w:w="621" w:type="pct"/>
            <w:tcBorders>
              <w:top w:val="nil"/>
              <w:left w:val="nil"/>
              <w:bottom w:val="single" w:sz="4" w:space="0" w:color="auto"/>
              <w:right w:val="single" w:sz="4" w:space="0" w:color="auto"/>
            </w:tcBorders>
            <w:shd w:val="clear" w:color="auto" w:fill="auto"/>
            <w:noWrap/>
            <w:vAlign w:val="bottom"/>
            <w:hideMark/>
          </w:tcPr>
          <w:p w14:paraId="309B0613"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852" w:type="pct"/>
            <w:tcBorders>
              <w:top w:val="nil"/>
              <w:left w:val="nil"/>
              <w:bottom w:val="single" w:sz="4" w:space="0" w:color="auto"/>
              <w:right w:val="single" w:sz="4" w:space="0" w:color="auto"/>
            </w:tcBorders>
            <w:shd w:val="clear" w:color="auto" w:fill="auto"/>
            <w:noWrap/>
            <w:vAlign w:val="bottom"/>
            <w:hideMark/>
          </w:tcPr>
          <w:p w14:paraId="4644C8B0"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62,54</w:t>
            </w:r>
          </w:p>
        </w:tc>
      </w:tr>
      <w:tr w:rsidR="007E253F" w:rsidRPr="007E253F" w14:paraId="39A5BFC0"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794C8126"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Parroquia</w:t>
            </w:r>
          </w:p>
        </w:tc>
        <w:tc>
          <w:tcPr>
            <w:tcW w:w="774" w:type="pct"/>
            <w:tcBorders>
              <w:top w:val="nil"/>
              <w:left w:val="nil"/>
              <w:bottom w:val="single" w:sz="4" w:space="0" w:color="auto"/>
              <w:right w:val="single" w:sz="4" w:space="0" w:color="auto"/>
            </w:tcBorders>
            <w:shd w:val="clear" w:color="auto" w:fill="auto"/>
            <w:noWrap/>
            <w:vAlign w:val="bottom"/>
            <w:hideMark/>
          </w:tcPr>
          <w:p w14:paraId="07037E3A"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11,99</w:t>
            </w:r>
          </w:p>
        </w:tc>
        <w:tc>
          <w:tcPr>
            <w:tcW w:w="621" w:type="pct"/>
            <w:tcBorders>
              <w:top w:val="nil"/>
              <w:left w:val="nil"/>
              <w:bottom w:val="single" w:sz="4" w:space="0" w:color="auto"/>
              <w:right w:val="single" w:sz="4" w:space="0" w:color="auto"/>
            </w:tcBorders>
            <w:shd w:val="clear" w:color="auto" w:fill="auto"/>
            <w:noWrap/>
            <w:vAlign w:val="bottom"/>
            <w:hideMark/>
          </w:tcPr>
          <w:p w14:paraId="2C0E2E72"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w:t>
            </w:r>
          </w:p>
        </w:tc>
        <w:tc>
          <w:tcPr>
            <w:tcW w:w="621" w:type="pct"/>
            <w:tcBorders>
              <w:top w:val="nil"/>
              <w:left w:val="nil"/>
              <w:bottom w:val="single" w:sz="4" w:space="0" w:color="auto"/>
              <w:right w:val="single" w:sz="4" w:space="0" w:color="auto"/>
            </w:tcBorders>
            <w:shd w:val="clear" w:color="auto" w:fill="auto"/>
            <w:noWrap/>
            <w:vAlign w:val="bottom"/>
            <w:hideMark/>
          </w:tcPr>
          <w:p w14:paraId="371887CF"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5,99</w:t>
            </w:r>
          </w:p>
        </w:tc>
        <w:tc>
          <w:tcPr>
            <w:tcW w:w="621" w:type="pct"/>
            <w:tcBorders>
              <w:top w:val="nil"/>
              <w:left w:val="nil"/>
              <w:bottom w:val="single" w:sz="4" w:space="0" w:color="auto"/>
              <w:right w:val="single" w:sz="4" w:space="0" w:color="auto"/>
            </w:tcBorders>
            <w:shd w:val="clear" w:color="auto" w:fill="auto"/>
            <w:noWrap/>
            <w:vAlign w:val="bottom"/>
            <w:hideMark/>
          </w:tcPr>
          <w:p w14:paraId="431ED31C"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8,09</w:t>
            </w:r>
          </w:p>
        </w:tc>
        <w:tc>
          <w:tcPr>
            <w:tcW w:w="621" w:type="pct"/>
            <w:tcBorders>
              <w:top w:val="nil"/>
              <w:left w:val="nil"/>
              <w:bottom w:val="single" w:sz="4" w:space="0" w:color="auto"/>
              <w:right w:val="single" w:sz="4" w:space="0" w:color="auto"/>
            </w:tcBorders>
            <w:shd w:val="clear" w:color="auto" w:fill="auto"/>
            <w:noWrap/>
            <w:vAlign w:val="bottom"/>
            <w:hideMark/>
          </w:tcPr>
          <w:p w14:paraId="1095BAE2"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0,0008</w:t>
            </w:r>
          </w:p>
        </w:tc>
        <w:tc>
          <w:tcPr>
            <w:tcW w:w="852" w:type="pct"/>
            <w:tcBorders>
              <w:top w:val="nil"/>
              <w:left w:val="nil"/>
              <w:bottom w:val="single" w:sz="4" w:space="0" w:color="auto"/>
              <w:right w:val="single" w:sz="4" w:space="0" w:color="auto"/>
            </w:tcBorders>
            <w:shd w:val="clear" w:color="auto" w:fill="auto"/>
            <w:noWrap/>
            <w:vAlign w:val="bottom"/>
            <w:hideMark/>
          </w:tcPr>
          <w:p w14:paraId="5B2F1E2E"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10,28</w:t>
            </w:r>
          </w:p>
        </w:tc>
      </w:tr>
      <w:tr w:rsidR="007E253F" w:rsidRPr="007E253F" w14:paraId="45CD11B6"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6B9F7F3"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Dosis N  </w:t>
            </w:r>
          </w:p>
        </w:tc>
        <w:tc>
          <w:tcPr>
            <w:tcW w:w="774" w:type="pct"/>
            <w:tcBorders>
              <w:top w:val="nil"/>
              <w:left w:val="nil"/>
              <w:bottom w:val="single" w:sz="4" w:space="0" w:color="auto"/>
              <w:right w:val="single" w:sz="4" w:space="0" w:color="auto"/>
            </w:tcBorders>
            <w:shd w:val="clear" w:color="auto" w:fill="auto"/>
            <w:noWrap/>
            <w:vAlign w:val="bottom"/>
            <w:hideMark/>
          </w:tcPr>
          <w:p w14:paraId="4769FEE4"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45,89</w:t>
            </w:r>
          </w:p>
        </w:tc>
        <w:tc>
          <w:tcPr>
            <w:tcW w:w="621" w:type="pct"/>
            <w:tcBorders>
              <w:top w:val="nil"/>
              <w:left w:val="nil"/>
              <w:bottom w:val="single" w:sz="4" w:space="0" w:color="auto"/>
              <w:right w:val="single" w:sz="4" w:space="0" w:color="auto"/>
            </w:tcBorders>
            <w:shd w:val="clear" w:color="auto" w:fill="auto"/>
            <w:noWrap/>
            <w:vAlign w:val="bottom"/>
            <w:hideMark/>
          </w:tcPr>
          <w:p w14:paraId="486453F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w:t>
            </w:r>
          </w:p>
        </w:tc>
        <w:tc>
          <w:tcPr>
            <w:tcW w:w="621" w:type="pct"/>
            <w:tcBorders>
              <w:top w:val="nil"/>
              <w:left w:val="nil"/>
              <w:bottom w:val="single" w:sz="4" w:space="0" w:color="auto"/>
              <w:right w:val="single" w:sz="4" w:space="0" w:color="auto"/>
            </w:tcBorders>
            <w:shd w:val="clear" w:color="auto" w:fill="auto"/>
            <w:noWrap/>
            <w:vAlign w:val="bottom"/>
            <w:hideMark/>
          </w:tcPr>
          <w:p w14:paraId="4BF5C3C2"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6,56</w:t>
            </w:r>
          </w:p>
        </w:tc>
        <w:tc>
          <w:tcPr>
            <w:tcW w:w="621" w:type="pct"/>
            <w:tcBorders>
              <w:top w:val="nil"/>
              <w:left w:val="nil"/>
              <w:bottom w:val="single" w:sz="4" w:space="0" w:color="auto"/>
              <w:right w:val="single" w:sz="4" w:space="0" w:color="auto"/>
            </w:tcBorders>
            <w:shd w:val="clear" w:color="auto" w:fill="auto"/>
            <w:noWrap/>
            <w:vAlign w:val="bottom"/>
            <w:hideMark/>
          </w:tcPr>
          <w:p w14:paraId="2E63B694"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8,85</w:t>
            </w:r>
          </w:p>
        </w:tc>
        <w:tc>
          <w:tcPr>
            <w:tcW w:w="621" w:type="pct"/>
            <w:tcBorders>
              <w:top w:val="nil"/>
              <w:left w:val="nil"/>
              <w:bottom w:val="single" w:sz="4" w:space="0" w:color="auto"/>
              <w:right w:val="single" w:sz="4" w:space="0" w:color="auto"/>
            </w:tcBorders>
            <w:shd w:val="clear" w:color="auto" w:fill="auto"/>
            <w:noWrap/>
            <w:vAlign w:val="bottom"/>
            <w:hideMark/>
          </w:tcPr>
          <w:p w14:paraId="4260221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&lt;0,0001</w:t>
            </w:r>
          </w:p>
        </w:tc>
        <w:tc>
          <w:tcPr>
            <w:tcW w:w="852" w:type="pct"/>
            <w:tcBorders>
              <w:top w:val="nil"/>
              <w:left w:val="nil"/>
              <w:bottom w:val="single" w:sz="4" w:space="0" w:color="auto"/>
              <w:right w:val="single" w:sz="4" w:space="0" w:color="auto"/>
            </w:tcBorders>
            <w:shd w:val="clear" w:color="auto" w:fill="auto"/>
            <w:noWrap/>
            <w:vAlign w:val="bottom"/>
            <w:hideMark/>
          </w:tcPr>
          <w:p w14:paraId="7D08630E"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39,36</w:t>
            </w:r>
          </w:p>
        </w:tc>
      </w:tr>
      <w:tr w:rsidR="007E253F" w:rsidRPr="007E253F" w14:paraId="5E7EDAF7"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672D563F"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Dosis P  </w:t>
            </w:r>
          </w:p>
        </w:tc>
        <w:tc>
          <w:tcPr>
            <w:tcW w:w="774" w:type="pct"/>
            <w:tcBorders>
              <w:top w:val="nil"/>
              <w:left w:val="nil"/>
              <w:bottom w:val="single" w:sz="4" w:space="0" w:color="auto"/>
              <w:right w:val="single" w:sz="4" w:space="0" w:color="auto"/>
            </w:tcBorders>
            <w:shd w:val="clear" w:color="auto" w:fill="auto"/>
            <w:noWrap/>
            <w:vAlign w:val="bottom"/>
            <w:hideMark/>
          </w:tcPr>
          <w:p w14:paraId="515294A3"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4,26</w:t>
            </w:r>
          </w:p>
        </w:tc>
        <w:tc>
          <w:tcPr>
            <w:tcW w:w="621" w:type="pct"/>
            <w:tcBorders>
              <w:top w:val="nil"/>
              <w:left w:val="nil"/>
              <w:bottom w:val="single" w:sz="4" w:space="0" w:color="auto"/>
              <w:right w:val="single" w:sz="4" w:space="0" w:color="auto"/>
            </w:tcBorders>
            <w:shd w:val="clear" w:color="auto" w:fill="auto"/>
            <w:noWrap/>
            <w:vAlign w:val="bottom"/>
            <w:hideMark/>
          </w:tcPr>
          <w:p w14:paraId="681D24AD"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w:t>
            </w:r>
          </w:p>
        </w:tc>
        <w:tc>
          <w:tcPr>
            <w:tcW w:w="621" w:type="pct"/>
            <w:tcBorders>
              <w:top w:val="nil"/>
              <w:left w:val="nil"/>
              <w:bottom w:val="single" w:sz="4" w:space="0" w:color="auto"/>
              <w:right w:val="single" w:sz="4" w:space="0" w:color="auto"/>
            </w:tcBorders>
            <w:shd w:val="clear" w:color="auto" w:fill="auto"/>
            <w:noWrap/>
            <w:vAlign w:val="bottom"/>
            <w:hideMark/>
          </w:tcPr>
          <w:p w14:paraId="4114FD87"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1,07</w:t>
            </w:r>
          </w:p>
        </w:tc>
        <w:tc>
          <w:tcPr>
            <w:tcW w:w="621" w:type="pct"/>
            <w:tcBorders>
              <w:top w:val="nil"/>
              <w:left w:val="nil"/>
              <w:bottom w:val="single" w:sz="4" w:space="0" w:color="auto"/>
              <w:right w:val="single" w:sz="4" w:space="0" w:color="auto"/>
            </w:tcBorders>
            <w:shd w:val="clear" w:color="auto" w:fill="auto"/>
            <w:noWrap/>
            <w:vAlign w:val="bottom"/>
            <w:hideMark/>
          </w:tcPr>
          <w:p w14:paraId="5D4F0779"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1,44</w:t>
            </w:r>
          </w:p>
        </w:tc>
        <w:tc>
          <w:tcPr>
            <w:tcW w:w="621" w:type="pct"/>
            <w:tcBorders>
              <w:top w:val="nil"/>
              <w:left w:val="nil"/>
              <w:bottom w:val="single" w:sz="4" w:space="0" w:color="auto"/>
              <w:right w:val="single" w:sz="4" w:space="0" w:color="auto"/>
            </w:tcBorders>
            <w:shd w:val="clear" w:color="auto" w:fill="auto"/>
            <w:noWrap/>
            <w:vAlign w:val="bottom"/>
            <w:hideMark/>
          </w:tcPr>
          <w:p w14:paraId="3BDE8838"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0,2325</w:t>
            </w:r>
          </w:p>
        </w:tc>
        <w:tc>
          <w:tcPr>
            <w:tcW w:w="852" w:type="pct"/>
            <w:tcBorders>
              <w:top w:val="nil"/>
              <w:left w:val="nil"/>
              <w:bottom w:val="single" w:sz="4" w:space="0" w:color="auto"/>
              <w:right w:val="single" w:sz="4" w:space="0" w:color="auto"/>
            </w:tcBorders>
            <w:shd w:val="clear" w:color="auto" w:fill="auto"/>
            <w:noWrap/>
            <w:vAlign w:val="bottom"/>
            <w:hideMark/>
          </w:tcPr>
          <w:p w14:paraId="631CAF52"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3,65</w:t>
            </w:r>
          </w:p>
        </w:tc>
      </w:tr>
      <w:tr w:rsidR="007E253F" w:rsidRPr="007E253F" w14:paraId="6ACBD39F"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43A33170"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Dosis K  </w:t>
            </w:r>
          </w:p>
        </w:tc>
        <w:tc>
          <w:tcPr>
            <w:tcW w:w="774" w:type="pct"/>
            <w:tcBorders>
              <w:top w:val="nil"/>
              <w:left w:val="nil"/>
              <w:bottom w:val="single" w:sz="4" w:space="0" w:color="auto"/>
              <w:right w:val="single" w:sz="4" w:space="0" w:color="auto"/>
            </w:tcBorders>
            <w:shd w:val="clear" w:color="auto" w:fill="auto"/>
            <w:noWrap/>
            <w:vAlign w:val="bottom"/>
            <w:hideMark/>
          </w:tcPr>
          <w:p w14:paraId="66AC6B41"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7,22</w:t>
            </w:r>
          </w:p>
        </w:tc>
        <w:tc>
          <w:tcPr>
            <w:tcW w:w="621" w:type="pct"/>
            <w:tcBorders>
              <w:top w:val="nil"/>
              <w:left w:val="nil"/>
              <w:bottom w:val="single" w:sz="4" w:space="0" w:color="auto"/>
              <w:right w:val="single" w:sz="4" w:space="0" w:color="auto"/>
            </w:tcBorders>
            <w:shd w:val="clear" w:color="auto" w:fill="auto"/>
            <w:noWrap/>
            <w:vAlign w:val="bottom"/>
            <w:hideMark/>
          </w:tcPr>
          <w:p w14:paraId="7F9B871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w:t>
            </w:r>
          </w:p>
        </w:tc>
        <w:tc>
          <w:tcPr>
            <w:tcW w:w="621" w:type="pct"/>
            <w:tcBorders>
              <w:top w:val="nil"/>
              <w:left w:val="nil"/>
              <w:bottom w:val="single" w:sz="4" w:space="0" w:color="auto"/>
              <w:right w:val="single" w:sz="4" w:space="0" w:color="auto"/>
            </w:tcBorders>
            <w:shd w:val="clear" w:color="auto" w:fill="auto"/>
            <w:noWrap/>
            <w:vAlign w:val="bottom"/>
            <w:hideMark/>
          </w:tcPr>
          <w:p w14:paraId="0C9A351B"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1,81</w:t>
            </w:r>
          </w:p>
        </w:tc>
        <w:tc>
          <w:tcPr>
            <w:tcW w:w="621" w:type="pct"/>
            <w:tcBorders>
              <w:top w:val="nil"/>
              <w:left w:val="nil"/>
              <w:bottom w:val="single" w:sz="4" w:space="0" w:color="auto"/>
              <w:right w:val="single" w:sz="4" w:space="0" w:color="auto"/>
            </w:tcBorders>
            <w:shd w:val="clear" w:color="auto" w:fill="auto"/>
            <w:noWrap/>
            <w:vAlign w:val="bottom"/>
            <w:hideMark/>
          </w:tcPr>
          <w:p w14:paraId="12F405AF"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2,44</w:t>
            </w:r>
          </w:p>
        </w:tc>
        <w:tc>
          <w:tcPr>
            <w:tcW w:w="621" w:type="pct"/>
            <w:tcBorders>
              <w:top w:val="nil"/>
              <w:left w:val="nil"/>
              <w:bottom w:val="single" w:sz="4" w:space="0" w:color="auto"/>
              <w:right w:val="single" w:sz="4" w:space="0" w:color="auto"/>
            </w:tcBorders>
            <w:shd w:val="clear" w:color="auto" w:fill="auto"/>
            <w:noWrap/>
            <w:vAlign w:val="bottom"/>
            <w:hideMark/>
          </w:tcPr>
          <w:p w14:paraId="368AB8E1"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0,0569</w:t>
            </w:r>
          </w:p>
        </w:tc>
        <w:tc>
          <w:tcPr>
            <w:tcW w:w="852" w:type="pct"/>
            <w:tcBorders>
              <w:top w:val="nil"/>
              <w:left w:val="nil"/>
              <w:bottom w:val="single" w:sz="4" w:space="0" w:color="auto"/>
              <w:right w:val="single" w:sz="4" w:space="0" w:color="auto"/>
            </w:tcBorders>
            <w:shd w:val="clear" w:color="auto" w:fill="auto"/>
            <w:noWrap/>
            <w:vAlign w:val="bottom"/>
            <w:hideMark/>
          </w:tcPr>
          <w:p w14:paraId="02E37352"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6,19</w:t>
            </w:r>
          </w:p>
        </w:tc>
      </w:tr>
      <w:tr w:rsidR="007E253F" w:rsidRPr="007E253F" w14:paraId="19B7E709"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28827BDE"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Dosis S  </w:t>
            </w:r>
          </w:p>
        </w:tc>
        <w:tc>
          <w:tcPr>
            <w:tcW w:w="774" w:type="pct"/>
            <w:tcBorders>
              <w:top w:val="nil"/>
              <w:left w:val="nil"/>
              <w:bottom w:val="single" w:sz="4" w:space="0" w:color="auto"/>
              <w:right w:val="single" w:sz="4" w:space="0" w:color="auto"/>
            </w:tcBorders>
            <w:shd w:val="clear" w:color="auto" w:fill="auto"/>
            <w:noWrap/>
            <w:vAlign w:val="bottom"/>
            <w:hideMark/>
          </w:tcPr>
          <w:p w14:paraId="30D6BCDB"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2,34</w:t>
            </w:r>
          </w:p>
        </w:tc>
        <w:tc>
          <w:tcPr>
            <w:tcW w:w="621" w:type="pct"/>
            <w:tcBorders>
              <w:top w:val="nil"/>
              <w:left w:val="nil"/>
              <w:bottom w:val="single" w:sz="4" w:space="0" w:color="auto"/>
              <w:right w:val="single" w:sz="4" w:space="0" w:color="auto"/>
            </w:tcBorders>
            <w:shd w:val="clear" w:color="auto" w:fill="auto"/>
            <w:noWrap/>
            <w:vAlign w:val="bottom"/>
            <w:hideMark/>
          </w:tcPr>
          <w:p w14:paraId="3917E2CB"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w:t>
            </w:r>
          </w:p>
        </w:tc>
        <w:tc>
          <w:tcPr>
            <w:tcW w:w="621" w:type="pct"/>
            <w:tcBorders>
              <w:top w:val="nil"/>
              <w:left w:val="nil"/>
              <w:bottom w:val="single" w:sz="4" w:space="0" w:color="auto"/>
              <w:right w:val="single" w:sz="4" w:space="0" w:color="auto"/>
            </w:tcBorders>
            <w:shd w:val="clear" w:color="auto" w:fill="auto"/>
            <w:noWrap/>
            <w:vAlign w:val="bottom"/>
            <w:hideMark/>
          </w:tcPr>
          <w:p w14:paraId="6464594A"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0,78</w:t>
            </w:r>
          </w:p>
        </w:tc>
        <w:tc>
          <w:tcPr>
            <w:tcW w:w="621" w:type="pct"/>
            <w:tcBorders>
              <w:top w:val="nil"/>
              <w:left w:val="nil"/>
              <w:bottom w:val="single" w:sz="4" w:space="0" w:color="auto"/>
              <w:right w:val="single" w:sz="4" w:space="0" w:color="auto"/>
            </w:tcBorders>
            <w:shd w:val="clear" w:color="auto" w:fill="auto"/>
            <w:noWrap/>
            <w:vAlign w:val="bottom"/>
            <w:hideMark/>
          </w:tcPr>
          <w:p w14:paraId="78C25A06"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1,05</w:t>
            </w:r>
          </w:p>
        </w:tc>
        <w:tc>
          <w:tcPr>
            <w:tcW w:w="621" w:type="pct"/>
            <w:tcBorders>
              <w:top w:val="nil"/>
              <w:left w:val="nil"/>
              <w:bottom w:val="single" w:sz="4" w:space="0" w:color="auto"/>
              <w:right w:val="single" w:sz="4" w:space="0" w:color="auto"/>
            </w:tcBorders>
            <w:shd w:val="clear" w:color="auto" w:fill="auto"/>
            <w:noWrap/>
            <w:vAlign w:val="bottom"/>
            <w:hideMark/>
          </w:tcPr>
          <w:p w14:paraId="530498D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0,3756</w:t>
            </w:r>
          </w:p>
        </w:tc>
        <w:tc>
          <w:tcPr>
            <w:tcW w:w="852" w:type="pct"/>
            <w:tcBorders>
              <w:top w:val="nil"/>
              <w:left w:val="nil"/>
              <w:bottom w:val="single" w:sz="4" w:space="0" w:color="auto"/>
              <w:right w:val="single" w:sz="4" w:space="0" w:color="auto"/>
            </w:tcBorders>
            <w:shd w:val="clear" w:color="auto" w:fill="auto"/>
            <w:noWrap/>
            <w:vAlign w:val="bottom"/>
            <w:hideMark/>
          </w:tcPr>
          <w:p w14:paraId="7267F892"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2,01</w:t>
            </w:r>
          </w:p>
        </w:tc>
      </w:tr>
      <w:tr w:rsidR="007E253F" w:rsidRPr="007E253F" w14:paraId="4BB11D6F"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3F27109F"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Dosis Mg </w:t>
            </w:r>
          </w:p>
        </w:tc>
        <w:tc>
          <w:tcPr>
            <w:tcW w:w="774" w:type="pct"/>
            <w:tcBorders>
              <w:top w:val="nil"/>
              <w:left w:val="nil"/>
              <w:bottom w:val="single" w:sz="4" w:space="0" w:color="auto"/>
              <w:right w:val="single" w:sz="4" w:space="0" w:color="auto"/>
            </w:tcBorders>
            <w:shd w:val="clear" w:color="auto" w:fill="auto"/>
            <w:noWrap/>
            <w:vAlign w:val="bottom"/>
            <w:hideMark/>
          </w:tcPr>
          <w:p w14:paraId="58B5811F"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1,22</w:t>
            </w:r>
          </w:p>
        </w:tc>
        <w:tc>
          <w:tcPr>
            <w:tcW w:w="621" w:type="pct"/>
            <w:tcBorders>
              <w:top w:val="nil"/>
              <w:left w:val="nil"/>
              <w:bottom w:val="single" w:sz="4" w:space="0" w:color="auto"/>
              <w:right w:val="single" w:sz="4" w:space="0" w:color="auto"/>
            </w:tcBorders>
            <w:shd w:val="clear" w:color="auto" w:fill="auto"/>
            <w:noWrap/>
            <w:vAlign w:val="bottom"/>
            <w:hideMark/>
          </w:tcPr>
          <w:p w14:paraId="4627688A"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w:t>
            </w:r>
          </w:p>
        </w:tc>
        <w:tc>
          <w:tcPr>
            <w:tcW w:w="621" w:type="pct"/>
            <w:tcBorders>
              <w:top w:val="nil"/>
              <w:left w:val="nil"/>
              <w:bottom w:val="single" w:sz="4" w:space="0" w:color="auto"/>
              <w:right w:val="single" w:sz="4" w:space="0" w:color="auto"/>
            </w:tcBorders>
            <w:shd w:val="clear" w:color="auto" w:fill="auto"/>
            <w:noWrap/>
            <w:vAlign w:val="bottom"/>
            <w:hideMark/>
          </w:tcPr>
          <w:p w14:paraId="70E24DA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0,61</w:t>
            </w:r>
          </w:p>
        </w:tc>
        <w:tc>
          <w:tcPr>
            <w:tcW w:w="621" w:type="pct"/>
            <w:tcBorders>
              <w:top w:val="nil"/>
              <w:left w:val="nil"/>
              <w:bottom w:val="single" w:sz="4" w:space="0" w:color="auto"/>
              <w:right w:val="single" w:sz="4" w:space="0" w:color="auto"/>
            </w:tcBorders>
            <w:shd w:val="clear" w:color="auto" w:fill="auto"/>
            <w:noWrap/>
            <w:vAlign w:val="bottom"/>
            <w:hideMark/>
          </w:tcPr>
          <w:p w14:paraId="34C9B924"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0,83</w:t>
            </w:r>
          </w:p>
        </w:tc>
        <w:tc>
          <w:tcPr>
            <w:tcW w:w="621" w:type="pct"/>
            <w:tcBorders>
              <w:top w:val="nil"/>
              <w:left w:val="nil"/>
              <w:bottom w:val="single" w:sz="4" w:space="0" w:color="auto"/>
              <w:right w:val="single" w:sz="4" w:space="0" w:color="auto"/>
            </w:tcBorders>
            <w:shd w:val="clear" w:color="auto" w:fill="auto"/>
            <w:noWrap/>
            <w:vAlign w:val="bottom"/>
            <w:hideMark/>
          </w:tcPr>
          <w:p w14:paraId="39D059D8"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0,4426</w:t>
            </w:r>
          </w:p>
        </w:tc>
        <w:tc>
          <w:tcPr>
            <w:tcW w:w="852" w:type="pct"/>
            <w:tcBorders>
              <w:top w:val="nil"/>
              <w:left w:val="nil"/>
              <w:bottom w:val="single" w:sz="4" w:space="0" w:color="auto"/>
              <w:right w:val="single" w:sz="4" w:space="0" w:color="auto"/>
            </w:tcBorders>
            <w:shd w:val="clear" w:color="auto" w:fill="auto"/>
            <w:noWrap/>
            <w:vAlign w:val="bottom"/>
            <w:hideMark/>
          </w:tcPr>
          <w:p w14:paraId="09137D0D"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1,05</w:t>
            </w:r>
          </w:p>
        </w:tc>
      </w:tr>
      <w:tr w:rsidR="007E253F" w:rsidRPr="007E253F" w14:paraId="365CA543"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64C310A0"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Error    </w:t>
            </w:r>
          </w:p>
        </w:tc>
        <w:tc>
          <w:tcPr>
            <w:tcW w:w="774" w:type="pct"/>
            <w:tcBorders>
              <w:top w:val="nil"/>
              <w:left w:val="nil"/>
              <w:bottom w:val="single" w:sz="4" w:space="0" w:color="auto"/>
              <w:right w:val="single" w:sz="4" w:space="0" w:color="auto"/>
            </w:tcBorders>
            <w:shd w:val="clear" w:color="auto" w:fill="auto"/>
            <w:noWrap/>
            <w:vAlign w:val="bottom"/>
            <w:hideMark/>
          </w:tcPr>
          <w:p w14:paraId="2A61BA2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43,68</w:t>
            </w:r>
          </w:p>
        </w:tc>
        <w:tc>
          <w:tcPr>
            <w:tcW w:w="621" w:type="pct"/>
            <w:tcBorders>
              <w:top w:val="nil"/>
              <w:left w:val="nil"/>
              <w:bottom w:val="single" w:sz="4" w:space="0" w:color="auto"/>
              <w:right w:val="single" w:sz="4" w:space="0" w:color="auto"/>
            </w:tcBorders>
            <w:shd w:val="clear" w:color="auto" w:fill="auto"/>
            <w:noWrap/>
            <w:vAlign w:val="bottom"/>
            <w:hideMark/>
          </w:tcPr>
          <w:p w14:paraId="022EE620"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59</w:t>
            </w:r>
          </w:p>
        </w:tc>
        <w:tc>
          <w:tcPr>
            <w:tcW w:w="621" w:type="pct"/>
            <w:tcBorders>
              <w:top w:val="nil"/>
              <w:left w:val="nil"/>
              <w:bottom w:val="single" w:sz="4" w:space="0" w:color="auto"/>
              <w:right w:val="single" w:sz="4" w:space="0" w:color="auto"/>
            </w:tcBorders>
            <w:shd w:val="clear" w:color="auto" w:fill="auto"/>
            <w:noWrap/>
            <w:vAlign w:val="bottom"/>
            <w:hideMark/>
          </w:tcPr>
          <w:p w14:paraId="5C3F1471"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0,74</w:t>
            </w:r>
          </w:p>
        </w:tc>
        <w:tc>
          <w:tcPr>
            <w:tcW w:w="621" w:type="pct"/>
            <w:tcBorders>
              <w:top w:val="nil"/>
              <w:left w:val="nil"/>
              <w:bottom w:val="single" w:sz="4" w:space="0" w:color="auto"/>
              <w:right w:val="single" w:sz="4" w:space="0" w:color="auto"/>
            </w:tcBorders>
            <w:shd w:val="clear" w:color="auto" w:fill="auto"/>
            <w:noWrap/>
            <w:vAlign w:val="bottom"/>
            <w:hideMark/>
          </w:tcPr>
          <w:p w14:paraId="7B002371"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621" w:type="pct"/>
            <w:tcBorders>
              <w:top w:val="nil"/>
              <w:left w:val="nil"/>
              <w:bottom w:val="single" w:sz="4" w:space="0" w:color="auto"/>
              <w:right w:val="single" w:sz="4" w:space="0" w:color="auto"/>
            </w:tcBorders>
            <w:shd w:val="clear" w:color="auto" w:fill="auto"/>
            <w:noWrap/>
            <w:vAlign w:val="bottom"/>
            <w:hideMark/>
          </w:tcPr>
          <w:p w14:paraId="4F5CA893"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852" w:type="pct"/>
            <w:tcBorders>
              <w:top w:val="nil"/>
              <w:left w:val="nil"/>
              <w:bottom w:val="single" w:sz="4" w:space="0" w:color="auto"/>
              <w:right w:val="single" w:sz="4" w:space="0" w:color="auto"/>
            </w:tcBorders>
            <w:shd w:val="clear" w:color="auto" w:fill="auto"/>
            <w:noWrap/>
            <w:vAlign w:val="bottom"/>
            <w:hideMark/>
          </w:tcPr>
          <w:p w14:paraId="30BBF96D"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37,46</w:t>
            </w:r>
          </w:p>
        </w:tc>
      </w:tr>
      <w:tr w:rsidR="007E253F" w:rsidRPr="007E253F" w14:paraId="0FFA8EA4" w14:textId="77777777" w:rsidTr="00077513">
        <w:trPr>
          <w:trHeight w:val="300"/>
        </w:trPr>
        <w:tc>
          <w:tcPr>
            <w:tcW w:w="891" w:type="pct"/>
            <w:tcBorders>
              <w:top w:val="nil"/>
              <w:left w:val="single" w:sz="4" w:space="0" w:color="auto"/>
              <w:bottom w:val="single" w:sz="4" w:space="0" w:color="auto"/>
              <w:right w:val="single" w:sz="4" w:space="0" w:color="auto"/>
            </w:tcBorders>
            <w:shd w:val="clear" w:color="auto" w:fill="auto"/>
            <w:noWrap/>
            <w:vAlign w:val="bottom"/>
            <w:hideMark/>
          </w:tcPr>
          <w:p w14:paraId="1B3CCCF0"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Total    </w:t>
            </w:r>
          </w:p>
        </w:tc>
        <w:tc>
          <w:tcPr>
            <w:tcW w:w="774" w:type="pct"/>
            <w:tcBorders>
              <w:top w:val="nil"/>
              <w:left w:val="nil"/>
              <w:bottom w:val="single" w:sz="4" w:space="0" w:color="auto"/>
              <w:right w:val="single" w:sz="4" w:space="0" w:color="auto"/>
            </w:tcBorders>
            <w:shd w:val="clear" w:color="auto" w:fill="auto"/>
            <w:noWrap/>
            <w:vAlign w:val="bottom"/>
            <w:hideMark/>
          </w:tcPr>
          <w:p w14:paraId="068EE59D"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116,6</w:t>
            </w:r>
          </w:p>
        </w:tc>
        <w:tc>
          <w:tcPr>
            <w:tcW w:w="621" w:type="pct"/>
            <w:tcBorders>
              <w:top w:val="nil"/>
              <w:left w:val="nil"/>
              <w:bottom w:val="single" w:sz="4" w:space="0" w:color="auto"/>
              <w:right w:val="single" w:sz="4" w:space="0" w:color="auto"/>
            </w:tcBorders>
            <w:shd w:val="clear" w:color="auto" w:fill="auto"/>
            <w:noWrap/>
            <w:vAlign w:val="bottom"/>
            <w:hideMark/>
          </w:tcPr>
          <w:p w14:paraId="330B640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81</w:t>
            </w:r>
          </w:p>
        </w:tc>
        <w:tc>
          <w:tcPr>
            <w:tcW w:w="621" w:type="pct"/>
            <w:tcBorders>
              <w:top w:val="nil"/>
              <w:left w:val="nil"/>
              <w:bottom w:val="single" w:sz="4" w:space="0" w:color="auto"/>
              <w:right w:val="single" w:sz="4" w:space="0" w:color="auto"/>
            </w:tcBorders>
            <w:shd w:val="clear" w:color="auto" w:fill="auto"/>
            <w:noWrap/>
            <w:vAlign w:val="bottom"/>
            <w:hideMark/>
          </w:tcPr>
          <w:p w14:paraId="5708DF31"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621" w:type="pct"/>
            <w:tcBorders>
              <w:top w:val="nil"/>
              <w:left w:val="nil"/>
              <w:bottom w:val="single" w:sz="4" w:space="0" w:color="auto"/>
              <w:right w:val="single" w:sz="4" w:space="0" w:color="auto"/>
            </w:tcBorders>
            <w:shd w:val="clear" w:color="auto" w:fill="auto"/>
            <w:noWrap/>
            <w:vAlign w:val="bottom"/>
            <w:hideMark/>
          </w:tcPr>
          <w:p w14:paraId="0A6750AB"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621" w:type="pct"/>
            <w:tcBorders>
              <w:top w:val="nil"/>
              <w:left w:val="nil"/>
              <w:bottom w:val="single" w:sz="4" w:space="0" w:color="auto"/>
              <w:right w:val="single" w:sz="4" w:space="0" w:color="auto"/>
            </w:tcBorders>
            <w:shd w:val="clear" w:color="auto" w:fill="auto"/>
            <w:noWrap/>
            <w:vAlign w:val="bottom"/>
            <w:hideMark/>
          </w:tcPr>
          <w:p w14:paraId="388E58E2"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852" w:type="pct"/>
            <w:tcBorders>
              <w:top w:val="nil"/>
              <w:left w:val="nil"/>
              <w:bottom w:val="single" w:sz="4" w:space="0" w:color="auto"/>
              <w:right w:val="single" w:sz="4" w:space="0" w:color="auto"/>
            </w:tcBorders>
            <w:shd w:val="clear" w:color="auto" w:fill="auto"/>
            <w:noWrap/>
            <w:vAlign w:val="bottom"/>
            <w:hideMark/>
          </w:tcPr>
          <w:p w14:paraId="47F4A8BF"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bl>
    <w:p w14:paraId="7A6DDFD7" w14:textId="19AFEB9C" w:rsidR="007E253F" w:rsidRPr="007E253F" w:rsidRDefault="007E253F" w:rsidP="00487E00">
      <w:pPr>
        <w:autoSpaceDE w:val="0"/>
        <w:autoSpaceDN w:val="0"/>
        <w:adjustRightInd w:val="0"/>
        <w:spacing w:before="360" w:after="0" w:line="360" w:lineRule="auto"/>
        <w:rPr>
          <w:rFonts w:cs="Times New Roman"/>
          <w:bCs/>
          <w:szCs w:val="24"/>
        </w:rPr>
      </w:pPr>
      <w:r w:rsidRPr="007E253F">
        <w:rPr>
          <w:rFonts w:cs="Times New Roman"/>
          <w:bCs/>
          <w:szCs w:val="24"/>
        </w:rPr>
        <w:t>El modelo estadístico establecido explica el 62,54% de la variación observada en los datos; siendo nitrógeno el nutriente más importante que explica el 39, 36% de la variación observada. Un 37,47% de la variación se les atribuyó a efectos aleatorios que el modelo no pudo explicar (error). El fósforo y el potasio explicaron el 3,65% y 6,19% del rendimiento, respectivamente. El resto de nutrientes y la interacción explicaron menos del 5% del rendimiento (</w:t>
      </w:r>
      <w:r w:rsidR="009226C1">
        <w:rPr>
          <w:rFonts w:cs="Times New Roman"/>
          <w:bCs/>
          <w:szCs w:val="24"/>
        </w:rPr>
        <w:t xml:space="preserve">Cuadro </w:t>
      </w:r>
      <w:r w:rsidRPr="007E253F">
        <w:rPr>
          <w:rFonts w:cs="Times New Roman"/>
          <w:bCs/>
          <w:szCs w:val="24"/>
        </w:rPr>
        <w:t xml:space="preserve">58).  </w:t>
      </w:r>
    </w:p>
    <w:p w14:paraId="04FE45D9" w14:textId="77777777" w:rsidR="00487E00" w:rsidRDefault="007E253F" w:rsidP="00487E00">
      <w:pPr>
        <w:autoSpaceDE w:val="0"/>
        <w:autoSpaceDN w:val="0"/>
        <w:adjustRightInd w:val="0"/>
        <w:spacing w:after="0" w:line="360" w:lineRule="auto"/>
        <w:rPr>
          <w:rFonts w:cs="Times New Roman"/>
          <w:bCs/>
          <w:szCs w:val="24"/>
        </w:rPr>
      </w:pPr>
      <w:r w:rsidRPr="007E253F">
        <w:rPr>
          <w:rFonts w:cs="Times New Roman"/>
          <w:bCs/>
          <w:szCs w:val="24"/>
        </w:rPr>
        <w:lastRenderedPageBreak/>
        <w:t xml:space="preserve">En los cuadros 59, 60, 61, 62 y 63 se presentan los promedios y el error estándar de rendimiento por efecto de las localidades (parroquia) y los niveles de nitrógeno, fósforo, potasio, azufre, magnesio con su respectiva prueba de Lsd Fisher (alfa=0,05).  </w:t>
      </w:r>
      <w:bookmarkStart w:id="1548" w:name="_Toc79314051"/>
    </w:p>
    <w:p w14:paraId="1087E1B5" w14:textId="70318359" w:rsidR="00077513" w:rsidRPr="00487E00" w:rsidRDefault="00077513" w:rsidP="00487E00">
      <w:pPr>
        <w:autoSpaceDE w:val="0"/>
        <w:autoSpaceDN w:val="0"/>
        <w:adjustRightInd w:val="0"/>
        <w:spacing w:before="360" w:after="0" w:line="360" w:lineRule="auto"/>
        <w:rPr>
          <w:rFonts w:cs="Times New Roman"/>
          <w:bCs/>
          <w:szCs w:val="24"/>
        </w:rPr>
      </w:pPr>
      <w:r w:rsidRPr="00077513">
        <w:rPr>
          <w:rFonts w:cs="Times New Roman"/>
          <w:b/>
          <w:bCs/>
          <w:szCs w:val="24"/>
        </w:rPr>
        <w:t xml:space="preserve">Cuadro </w:t>
      </w:r>
      <w:r w:rsidRPr="00077513">
        <w:rPr>
          <w:rFonts w:cs="Times New Roman"/>
          <w:b/>
          <w:bCs/>
          <w:i/>
          <w:iCs/>
          <w:szCs w:val="24"/>
        </w:rPr>
        <w:fldChar w:fldCharType="begin"/>
      </w:r>
      <w:r w:rsidRPr="00077513">
        <w:rPr>
          <w:rFonts w:cs="Times New Roman"/>
          <w:b/>
          <w:bCs/>
          <w:szCs w:val="24"/>
        </w:rPr>
        <w:instrText xml:space="preserve"> SEQ Cuadro \* ARABIC </w:instrText>
      </w:r>
      <w:r w:rsidRPr="00077513">
        <w:rPr>
          <w:rFonts w:cs="Times New Roman"/>
          <w:b/>
          <w:bCs/>
          <w:i/>
          <w:iCs/>
          <w:szCs w:val="24"/>
        </w:rPr>
        <w:fldChar w:fldCharType="separate"/>
      </w:r>
      <w:r w:rsidR="000D1F55">
        <w:rPr>
          <w:rFonts w:cs="Times New Roman"/>
          <w:b/>
          <w:bCs/>
          <w:noProof/>
          <w:szCs w:val="24"/>
        </w:rPr>
        <w:t>59</w:t>
      </w:r>
      <w:r w:rsidRPr="00077513">
        <w:rPr>
          <w:rFonts w:cs="Times New Roman"/>
          <w:b/>
          <w:bCs/>
          <w:i/>
          <w:iCs/>
          <w:szCs w:val="24"/>
        </w:rPr>
        <w:fldChar w:fldCharType="end"/>
      </w:r>
      <w:r w:rsidRPr="00077513">
        <w:rPr>
          <w:rFonts w:cs="Times New Roman"/>
          <w:b/>
          <w:bCs/>
          <w:szCs w:val="24"/>
        </w:rPr>
        <w:t>.</w:t>
      </w:r>
      <w:r w:rsidRPr="00077513">
        <w:rPr>
          <w:rFonts w:cs="Times New Roman"/>
          <w:bCs/>
          <w:szCs w:val="24"/>
        </w:rPr>
        <w:t xml:space="preserve"> Rendimiento de maíz suave en grano seco, evaluado por localidades (parroquia) en la provincia de Chimborazo 2012-2014.</w:t>
      </w:r>
      <w:bookmarkEnd w:id="1548"/>
    </w:p>
    <w:tbl>
      <w:tblPr>
        <w:tblW w:w="7508" w:type="dxa"/>
        <w:tblCellMar>
          <w:left w:w="70" w:type="dxa"/>
          <w:right w:w="70" w:type="dxa"/>
        </w:tblCellMar>
        <w:tblLook w:val="04A0" w:firstRow="1" w:lastRow="0" w:firstColumn="1" w:lastColumn="0" w:noHBand="0" w:noVBand="1"/>
      </w:tblPr>
      <w:tblGrid>
        <w:gridCol w:w="1980"/>
        <w:gridCol w:w="1200"/>
        <w:gridCol w:w="643"/>
        <w:gridCol w:w="1757"/>
        <w:gridCol w:w="936"/>
        <w:gridCol w:w="992"/>
      </w:tblGrid>
      <w:tr w:rsidR="007E253F" w:rsidRPr="007E253F" w14:paraId="6EB5EC07" w14:textId="77777777" w:rsidTr="00487E00">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E1A00"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Parroquia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77855E1"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Medias</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14:paraId="6E837785"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n </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14:paraId="448D20E7" w14:textId="77777777" w:rsidR="007E253F" w:rsidRPr="007E253F" w:rsidRDefault="007E253F" w:rsidP="00487E00">
            <w:pPr>
              <w:spacing w:after="0" w:line="240" w:lineRule="auto"/>
              <w:jc w:val="center"/>
              <w:rPr>
                <w:rFonts w:eastAsia="Times New Roman" w:cs="Times New Roman"/>
                <w:b/>
                <w:bCs/>
                <w:color w:val="000000"/>
                <w:szCs w:val="24"/>
                <w:lang w:eastAsia="es-EC"/>
              </w:rPr>
            </w:pPr>
            <w:r w:rsidRPr="007E253F">
              <w:rPr>
                <w:rFonts w:eastAsia="Times New Roman" w:cs="Times New Roman"/>
                <w:b/>
                <w:bCs/>
                <w:color w:val="000000"/>
                <w:szCs w:val="24"/>
                <w:lang w:eastAsia="es-EC"/>
              </w:rPr>
              <w:t>Error estándar</w:t>
            </w:r>
          </w:p>
        </w:tc>
        <w:tc>
          <w:tcPr>
            <w:tcW w:w="936" w:type="dxa"/>
            <w:tcBorders>
              <w:top w:val="single" w:sz="4" w:space="0" w:color="auto"/>
              <w:left w:val="single" w:sz="4" w:space="0" w:color="auto"/>
              <w:bottom w:val="single" w:sz="4" w:space="0" w:color="auto"/>
            </w:tcBorders>
            <w:shd w:val="clear" w:color="auto" w:fill="auto"/>
            <w:noWrap/>
            <w:vAlign w:val="bottom"/>
            <w:hideMark/>
          </w:tcPr>
          <w:p w14:paraId="753413DC" w14:textId="77777777" w:rsidR="007E253F" w:rsidRPr="007E253F" w:rsidRDefault="007E253F" w:rsidP="00487E00">
            <w:pPr>
              <w:spacing w:after="0" w:line="240" w:lineRule="auto"/>
              <w:jc w:val="right"/>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  Lsd</w:t>
            </w:r>
          </w:p>
        </w:tc>
        <w:tc>
          <w:tcPr>
            <w:tcW w:w="992" w:type="dxa"/>
            <w:tcBorders>
              <w:top w:val="single" w:sz="4" w:space="0" w:color="auto"/>
              <w:bottom w:val="single" w:sz="4" w:space="0" w:color="auto"/>
              <w:right w:val="single" w:sz="4" w:space="0" w:color="auto"/>
            </w:tcBorders>
            <w:shd w:val="clear" w:color="auto" w:fill="auto"/>
            <w:noWrap/>
            <w:vAlign w:val="bottom"/>
            <w:hideMark/>
          </w:tcPr>
          <w:p w14:paraId="69EAC5DF" w14:textId="77777777" w:rsidR="007E253F" w:rsidRPr="007E253F" w:rsidRDefault="007E253F" w:rsidP="00487E00">
            <w:pPr>
              <w:spacing w:after="0" w:line="240" w:lineRule="auto"/>
              <w:rPr>
                <w:rFonts w:eastAsia="Times New Roman" w:cs="Times New Roman"/>
                <w:b/>
                <w:bCs/>
                <w:color w:val="000000"/>
                <w:szCs w:val="24"/>
                <w:lang w:eastAsia="es-EC"/>
              </w:rPr>
            </w:pPr>
            <w:r w:rsidRPr="007E253F">
              <w:rPr>
                <w:rFonts w:eastAsia="Times New Roman" w:cs="Times New Roman"/>
                <w:b/>
                <w:bCs/>
                <w:color w:val="000000"/>
                <w:szCs w:val="24"/>
                <w:lang w:eastAsia="es-EC"/>
              </w:rPr>
              <w:t xml:space="preserve">0,05  </w:t>
            </w:r>
          </w:p>
        </w:tc>
      </w:tr>
      <w:tr w:rsidR="007E253F" w:rsidRPr="007E253F" w14:paraId="3DC57557" w14:textId="77777777" w:rsidTr="00487E0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42CB796"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Chazo    </w:t>
            </w:r>
          </w:p>
        </w:tc>
        <w:tc>
          <w:tcPr>
            <w:tcW w:w="1200" w:type="dxa"/>
            <w:tcBorders>
              <w:top w:val="nil"/>
              <w:left w:val="nil"/>
              <w:bottom w:val="single" w:sz="4" w:space="0" w:color="auto"/>
              <w:right w:val="single" w:sz="4" w:space="0" w:color="auto"/>
            </w:tcBorders>
            <w:shd w:val="clear" w:color="auto" w:fill="auto"/>
            <w:noWrap/>
            <w:vAlign w:val="bottom"/>
            <w:hideMark/>
          </w:tcPr>
          <w:p w14:paraId="528BD6D3"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3,69</w:t>
            </w:r>
          </w:p>
        </w:tc>
        <w:tc>
          <w:tcPr>
            <w:tcW w:w="643" w:type="dxa"/>
            <w:tcBorders>
              <w:top w:val="nil"/>
              <w:left w:val="nil"/>
              <w:bottom w:val="single" w:sz="4" w:space="0" w:color="auto"/>
              <w:right w:val="single" w:sz="4" w:space="0" w:color="auto"/>
            </w:tcBorders>
            <w:shd w:val="clear" w:color="auto" w:fill="auto"/>
            <w:noWrap/>
            <w:vAlign w:val="bottom"/>
            <w:hideMark/>
          </w:tcPr>
          <w:p w14:paraId="59BD349E"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12</w:t>
            </w:r>
          </w:p>
        </w:tc>
        <w:tc>
          <w:tcPr>
            <w:tcW w:w="1757" w:type="dxa"/>
            <w:tcBorders>
              <w:top w:val="nil"/>
              <w:left w:val="nil"/>
              <w:bottom w:val="single" w:sz="4" w:space="0" w:color="auto"/>
              <w:right w:val="single" w:sz="4" w:space="0" w:color="auto"/>
            </w:tcBorders>
            <w:shd w:val="clear" w:color="auto" w:fill="auto"/>
            <w:noWrap/>
            <w:vAlign w:val="bottom"/>
            <w:hideMark/>
          </w:tcPr>
          <w:p w14:paraId="4A9874AE"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0,26</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55C10489"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A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8D7E6FD"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r>
      <w:tr w:rsidR="007E253F" w:rsidRPr="007E253F" w14:paraId="356FFCA2" w14:textId="77777777" w:rsidTr="00487E0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B3366FE"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Licto    </w:t>
            </w:r>
          </w:p>
        </w:tc>
        <w:tc>
          <w:tcPr>
            <w:tcW w:w="1200" w:type="dxa"/>
            <w:tcBorders>
              <w:top w:val="nil"/>
              <w:left w:val="nil"/>
              <w:bottom w:val="single" w:sz="4" w:space="0" w:color="auto"/>
              <w:right w:val="single" w:sz="4" w:space="0" w:color="auto"/>
            </w:tcBorders>
            <w:shd w:val="clear" w:color="auto" w:fill="auto"/>
            <w:noWrap/>
            <w:vAlign w:val="bottom"/>
            <w:hideMark/>
          </w:tcPr>
          <w:p w14:paraId="5E02F6B0"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4,44</w:t>
            </w:r>
          </w:p>
        </w:tc>
        <w:tc>
          <w:tcPr>
            <w:tcW w:w="643" w:type="dxa"/>
            <w:tcBorders>
              <w:top w:val="nil"/>
              <w:left w:val="nil"/>
              <w:bottom w:val="single" w:sz="4" w:space="0" w:color="auto"/>
              <w:right w:val="single" w:sz="4" w:space="0" w:color="auto"/>
            </w:tcBorders>
            <w:shd w:val="clear" w:color="auto" w:fill="auto"/>
            <w:noWrap/>
            <w:vAlign w:val="bottom"/>
            <w:hideMark/>
          </w:tcPr>
          <w:p w14:paraId="32BEA4AA"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23</w:t>
            </w:r>
          </w:p>
        </w:tc>
        <w:tc>
          <w:tcPr>
            <w:tcW w:w="1757" w:type="dxa"/>
            <w:tcBorders>
              <w:top w:val="nil"/>
              <w:left w:val="nil"/>
              <w:bottom w:val="single" w:sz="4" w:space="0" w:color="auto"/>
              <w:right w:val="single" w:sz="4" w:space="0" w:color="auto"/>
            </w:tcBorders>
            <w:shd w:val="clear" w:color="auto" w:fill="auto"/>
            <w:noWrap/>
            <w:vAlign w:val="bottom"/>
            <w:hideMark/>
          </w:tcPr>
          <w:p w14:paraId="56BFE8B8"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0,19</w:t>
            </w:r>
          </w:p>
        </w:tc>
        <w:tc>
          <w:tcPr>
            <w:tcW w:w="936" w:type="dxa"/>
            <w:tcBorders>
              <w:top w:val="nil"/>
              <w:left w:val="nil"/>
              <w:bottom w:val="single" w:sz="4" w:space="0" w:color="auto"/>
              <w:right w:val="single" w:sz="4" w:space="0" w:color="auto"/>
            </w:tcBorders>
            <w:shd w:val="clear" w:color="auto" w:fill="auto"/>
            <w:noWrap/>
            <w:vAlign w:val="bottom"/>
            <w:hideMark/>
          </w:tcPr>
          <w:p w14:paraId="1B4FC851"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5EC48D5C"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r>
      <w:tr w:rsidR="007E253F" w:rsidRPr="007E253F" w14:paraId="4809BAAF" w14:textId="77777777" w:rsidTr="00487E0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3B9025"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Quimiag  </w:t>
            </w:r>
          </w:p>
        </w:tc>
        <w:tc>
          <w:tcPr>
            <w:tcW w:w="1200" w:type="dxa"/>
            <w:tcBorders>
              <w:top w:val="nil"/>
              <w:left w:val="nil"/>
              <w:bottom w:val="single" w:sz="4" w:space="0" w:color="auto"/>
              <w:right w:val="single" w:sz="4" w:space="0" w:color="auto"/>
            </w:tcBorders>
            <w:shd w:val="clear" w:color="auto" w:fill="auto"/>
            <w:noWrap/>
            <w:vAlign w:val="bottom"/>
            <w:hideMark/>
          </w:tcPr>
          <w:p w14:paraId="1C15A540"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4,81</w:t>
            </w:r>
          </w:p>
        </w:tc>
        <w:tc>
          <w:tcPr>
            <w:tcW w:w="643" w:type="dxa"/>
            <w:tcBorders>
              <w:top w:val="nil"/>
              <w:left w:val="nil"/>
              <w:bottom w:val="single" w:sz="4" w:space="0" w:color="auto"/>
              <w:right w:val="single" w:sz="4" w:space="0" w:color="auto"/>
            </w:tcBorders>
            <w:shd w:val="clear" w:color="auto" w:fill="auto"/>
            <w:noWrap/>
            <w:vAlign w:val="bottom"/>
            <w:hideMark/>
          </w:tcPr>
          <w:p w14:paraId="05713882"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47</w:t>
            </w:r>
          </w:p>
        </w:tc>
        <w:tc>
          <w:tcPr>
            <w:tcW w:w="1757" w:type="dxa"/>
            <w:tcBorders>
              <w:top w:val="nil"/>
              <w:left w:val="nil"/>
              <w:bottom w:val="single" w:sz="4" w:space="0" w:color="auto"/>
              <w:right w:val="single" w:sz="4" w:space="0" w:color="auto"/>
            </w:tcBorders>
            <w:shd w:val="clear" w:color="auto" w:fill="auto"/>
            <w:noWrap/>
            <w:vAlign w:val="bottom"/>
            <w:hideMark/>
          </w:tcPr>
          <w:p w14:paraId="639185CD"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0,13</w:t>
            </w:r>
          </w:p>
        </w:tc>
        <w:tc>
          <w:tcPr>
            <w:tcW w:w="936" w:type="dxa"/>
            <w:tcBorders>
              <w:top w:val="nil"/>
              <w:left w:val="nil"/>
              <w:bottom w:val="single" w:sz="4" w:space="0" w:color="auto"/>
              <w:right w:val="single" w:sz="4" w:space="0" w:color="auto"/>
            </w:tcBorders>
            <w:shd w:val="clear" w:color="auto" w:fill="auto"/>
            <w:noWrap/>
            <w:vAlign w:val="bottom"/>
            <w:hideMark/>
          </w:tcPr>
          <w:p w14:paraId="60C6FA9D"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4C893D83" w14:textId="77777777" w:rsidR="007E253F" w:rsidRPr="007E253F" w:rsidRDefault="007E253F" w:rsidP="00487E00">
            <w:pPr>
              <w:spacing w:after="0" w:line="240" w:lineRule="auto"/>
              <w:jc w:val="center"/>
              <w:rPr>
                <w:rFonts w:eastAsia="Times New Roman" w:cs="Times New Roman"/>
                <w:color w:val="000000"/>
                <w:szCs w:val="24"/>
                <w:lang w:eastAsia="es-EC"/>
              </w:rPr>
            </w:pPr>
            <w:r w:rsidRPr="007E253F">
              <w:rPr>
                <w:rFonts w:eastAsia="Times New Roman" w:cs="Times New Roman"/>
                <w:color w:val="000000"/>
                <w:szCs w:val="24"/>
                <w:lang w:eastAsia="es-EC"/>
              </w:rPr>
              <w:t xml:space="preserve">B </w:t>
            </w:r>
          </w:p>
        </w:tc>
      </w:tr>
    </w:tbl>
    <w:p w14:paraId="2539E883" w14:textId="77777777" w:rsidR="00487E00" w:rsidRDefault="007E253F" w:rsidP="00487E00">
      <w:pPr>
        <w:autoSpaceDE w:val="0"/>
        <w:autoSpaceDN w:val="0"/>
        <w:adjustRightInd w:val="0"/>
        <w:spacing w:after="0" w:line="360" w:lineRule="auto"/>
        <w:rPr>
          <w:rFonts w:cs="Times New Roman"/>
          <w:szCs w:val="24"/>
        </w:rPr>
      </w:pPr>
      <w:r w:rsidRPr="007E253F">
        <w:rPr>
          <w:rFonts w:cs="Times New Roman"/>
          <w:szCs w:val="24"/>
        </w:rPr>
        <w:t>Medias con una letra común no son significativamente diferentes (p &gt; 0,05)</w:t>
      </w:r>
      <w:bookmarkStart w:id="1549" w:name="_Toc79314052"/>
    </w:p>
    <w:p w14:paraId="3AEC7AFD" w14:textId="3CBEA724" w:rsidR="00077513" w:rsidRPr="00487E00" w:rsidRDefault="00077513" w:rsidP="00487E00">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60</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Rendimiento de maíz suave en grano seco para diversas dosis de nitrógeno evaluado en la provincia de Chimborazo 2012-2014.</w:t>
      </w:r>
      <w:bookmarkEnd w:id="1549"/>
    </w:p>
    <w:tbl>
      <w:tblPr>
        <w:tblW w:w="8376" w:type="dxa"/>
        <w:tblCellMar>
          <w:left w:w="70" w:type="dxa"/>
          <w:right w:w="70" w:type="dxa"/>
        </w:tblCellMar>
        <w:tblLook w:val="04A0" w:firstRow="1" w:lastRow="0" w:firstColumn="1" w:lastColumn="0" w:noHBand="0" w:noVBand="1"/>
      </w:tblPr>
      <w:tblGrid>
        <w:gridCol w:w="2689"/>
        <w:gridCol w:w="887"/>
        <w:gridCol w:w="672"/>
        <w:gridCol w:w="1728"/>
        <w:gridCol w:w="1200"/>
        <w:gridCol w:w="1200"/>
      </w:tblGrid>
      <w:tr w:rsidR="004B7B8A" w14:paraId="270734D6" w14:textId="77777777" w:rsidTr="00487E00">
        <w:trPr>
          <w:trHeight w:val="300"/>
        </w:trPr>
        <w:tc>
          <w:tcPr>
            <w:tcW w:w="2689" w:type="dxa"/>
            <w:tcBorders>
              <w:top w:val="single" w:sz="4" w:space="0" w:color="auto"/>
              <w:left w:val="single" w:sz="4" w:space="0" w:color="auto"/>
              <w:bottom w:val="single" w:sz="4" w:space="0" w:color="auto"/>
              <w:right w:val="single" w:sz="4" w:space="0" w:color="auto"/>
            </w:tcBorders>
            <w:noWrap/>
            <w:vAlign w:val="bottom"/>
            <w:hideMark/>
          </w:tcPr>
          <w:p w14:paraId="69750B8B" w14:textId="77777777" w:rsidR="004B7B8A" w:rsidRDefault="004B7B8A"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4A48C397" w14:textId="77777777" w:rsidR="004B7B8A" w:rsidRDefault="004B7B8A"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64844781" w14:textId="77777777" w:rsidR="004B7B8A" w:rsidRDefault="004B7B8A"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41B7FCED" w14:textId="77777777" w:rsidR="004B7B8A" w:rsidRDefault="004B7B8A"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4A6EDA80" w14:textId="77777777" w:rsidR="004B7B8A" w:rsidRDefault="004B7B8A" w:rsidP="00487E00">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19C14881" w14:textId="77777777" w:rsidR="004B7B8A" w:rsidRDefault="004B7B8A" w:rsidP="00487E00">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4B7B8A" w14:paraId="779E84ED" w14:textId="77777777" w:rsidTr="00487E00">
        <w:trPr>
          <w:trHeight w:val="300"/>
        </w:trPr>
        <w:tc>
          <w:tcPr>
            <w:tcW w:w="2689" w:type="dxa"/>
            <w:tcBorders>
              <w:top w:val="nil"/>
              <w:left w:val="single" w:sz="4" w:space="0" w:color="auto"/>
              <w:bottom w:val="single" w:sz="4" w:space="0" w:color="auto"/>
              <w:right w:val="single" w:sz="4" w:space="0" w:color="auto"/>
            </w:tcBorders>
            <w:noWrap/>
            <w:vAlign w:val="bottom"/>
            <w:hideMark/>
          </w:tcPr>
          <w:p w14:paraId="5A82C384"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887" w:type="dxa"/>
            <w:tcBorders>
              <w:top w:val="nil"/>
              <w:left w:val="nil"/>
              <w:bottom w:val="single" w:sz="4" w:space="0" w:color="auto"/>
              <w:right w:val="single" w:sz="4" w:space="0" w:color="auto"/>
            </w:tcBorders>
            <w:noWrap/>
            <w:vAlign w:val="bottom"/>
            <w:hideMark/>
          </w:tcPr>
          <w:p w14:paraId="65938D9F"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3,05</w:t>
            </w:r>
          </w:p>
        </w:tc>
        <w:tc>
          <w:tcPr>
            <w:tcW w:w="672" w:type="dxa"/>
            <w:tcBorders>
              <w:top w:val="nil"/>
              <w:left w:val="nil"/>
              <w:bottom w:val="single" w:sz="4" w:space="0" w:color="auto"/>
              <w:right w:val="single" w:sz="4" w:space="0" w:color="auto"/>
            </w:tcBorders>
            <w:noWrap/>
            <w:vAlign w:val="bottom"/>
            <w:hideMark/>
          </w:tcPr>
          <w:p w14:paraId="68ACF177"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4DB840DD"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0,88</w:t>
            </w:r>
          </w:p>
        </w:tc>
        <w:tc>
          <w:tcPr>
            <w:tcW w:w="1200" w:type="dxa"/>
            <w:tcBorders>
              <w:top w:val="single" w:sz="4" w:space="0" w:color="auto"/>
              <w:left w:val="nil"/>
              <w:bottom w:val="single" w:sz="4" w:space="0" w:color="auto"/>
              <w:right w:val="single" w:sz="4" w:space="0" w:color="auto"/>
            </w:tcBorders>
            <w:noWrap/>
            <w:vAlign w:val="bottom"/>
            <w:hideMark/>
          </w:tcPr>
          <w:p w14:paraId="309D47EF"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1CDD7A03"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4B7B8A" w14:paraId="3C258798" w14:textId="77777777" w:rsidTr="00487E00">
        <w:trPr>
          <w:trHeight w:val="300"/>
        </w:trPr>
        <w:tc>
          <w:tcPr>
            <w:tcW w:w="2689" w:type="dxa"/>
            <w:tcBorders>
              <w:top w:val="nil"/>
              <w:left w:val="single" w:sz="4" w:space="0" w:color="auto"/>
              <w:bottom w:val="single" w:sz="4" w:space="0" w:color="auto"/>
              <w:right w:val="single" w:sz="4" w:space="0" w:color="auto"/>
            </w:tcBorders>
            <w:noWrap/>
            <w:vAlign w:val="bottom"/>
            <w:hideMark/>
          </w:tcPr>
          <w:p w14:paraId="175E6F03"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887" w:type="dxa"/>
            <w:tcBorders>
              <w:top w:val="nil"/>
              <w:left w:val="nil"/>
              <w:bottom w:val="single" w:sz="4" w:space="0" w:color="auto"/>
              <w:right w:val="single" w:sz="4" w:space="0" w:color="auto"/>
            </w:tcBorders>
            <w:noWrap/>
            <w:vAlign w:val="bottom"/>
            <w:hideMark/>
          </w:tcPr>
          <w:p w14:paraId="1CD583C2"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3,66</w:t>
            </w:r>
          </w:p>
        </w:tc>
        <w:tc>
          <w:tcPr>
            <w:tcW w:w="672" w:type="dxa"/>
            <w:tcBorders>
              <w:top w:val="nil"/>
              <w:left w:val="nil"/>
              <w:bottom w:val="single" w:sz="4" w:space="0" w:color="auto"/>
              <w:right w:val="single" w:sz="4" w:space="0" w:color="auto"/>
            </w:tcBorders>
            <w:noWrap/>
            <w:vAlign w:val="bottom"/>
            <w:hideMark/>
          </w:tcPr>
          <w:p w14:paraId="462C6FC2"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31C84DDA"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0,88</w:t>
            </w:r>
          </w:p>
        </w:tc>
        <w:tc>
          <w:tcPr>
            <w:tcW w:w="1200" w:type="dxa"/>
            <w:tcBorders>
              <w:top w:val="nil"/>
              <w:left w:val="nil"/>
              <w:bottom w:val="single" w:sz="4" w:space="0" w:color="auto"/>
              <w:right w:val="single" w:sz="4" w:space="0" w:color="auto"/>
            </w:tcBorders>
            <w:noWrap/>
            <w:vAlign w:val="bottom"/>
            <w:hideMark/>
          </w:tcPr>
          <w:p w14:paraId="6C5F7F02"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26984F43"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4B7B8A" w14:paraId="4936B010" w14:textId="77777777" w:rsidTr="00487E00">
        <w:trPr>
          <w:trHeight w:val="300"/>
        </w:trPr>
        <w:tc>
          <w:tcPr>
            <w:tcW w:w="2689" w:type="dxa"/>
            <w:tcBorders>
              <w:top w:val="nil"/>
              <w:left w:val="single" w:sz="4" w:space="0" w:color="auto"/>
              <w:bottom w:val="single" w:sz="4" w:space="0" w:color="auto"/>
              <w:right w:val="single" w:sz="4" w:space="0" w:color="auto"/>
            </w:tcBorders>
            <w:noWrap/>
            <w:vAlign w:val="bottom"/>
            <w:hideMark/>
          </w:tcPr>
          <w:p w14:paraId="06CFAC49"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68112CBB"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3,71</w:t>
            </w:r>
          </w:p>
        </w:tc>
        <w:tc>
          <w:tcPr>
            <w:tcW w:w="672" w:type="dxa"/>
            <w:tcBorders>
              <w:top w:val="nil"/>
              <w:left w:val="nil"/>
              <w:bottom w:val="single" w:sz="4" w:space="0" w:color="auto"/>
              <w:right w:val="single" w:sz="4" w:space="0" w:color="auto"/>
            </w:tcBorders>
            <w:noWrap/>
            <w:vAlign w:val="bottom"/>
            <w:hideMark/>
          </w:tcPr>
          <w:p w14:paraId="75EDF552"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w:t>
            </w:r>
          </w:p>
        </w:tc>
        <w:tc>
          <w:tcPr>
            <w:tcW w:w="1728" w:type="dxa"/>
            <w:tcBorders>
              <w:top w:val="nil"/>
              <w:left w:val="nil"/>
              <w:bottom w:val="single" w:sz="4" w:space="0" w:color="auto"/>
              <w:right w:val="single" w:sz="4" w:space="0" w:color="auto"/>
            </w:tcBorders>
            <w:noWrap/>
            <w:vAlign w:val="bottom"/>
            <w:hideMark/>
          </w:tcPr>
          <w:p w14:paraId="44E94080"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0,16</w:t>
            </w:r>
          </w:p>
        </w:tc>
        <w:tc>
          <w:tcPr>
            <w:tcW w:w="1200" w:type="dxa"/>
            <w:tcBorders>
              <w:top w:val="nil"/>
              <w:left w:val="nil"/>
              <w:bottom w:val="single" w:sz="4" w:space="0" w:color="auto"/>
              <w:right w:val="single" w:sz="4" w:space="0" w:color="auto"/>
            </w:tcBorders>
            <w:noWrap/>
            <w:vAlign w:val="bottom"/>
            <w:hideMark/>
          </w:tcPr>
          <w:p w14:paraId="435C5620"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4860EB7B"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4B7B8A" w14:paraId="5F1946A1" w14:textId="77777777" w:rsidTr="00487E00">
        <w:trPr>
          <w:trHeight w:val="300"/>
        </w:trPr>
        <w:tc>
          <w:tcPr>
            <w:tcW w:w="2689" w:type="dxa"/>
            <w:tcBorders>
              <w:top w:val="nil"/>
              <w:left w:val="single" w:sz="4" w:space="0" w:color="auto"/>
              <w:bottom w:val="single" w:sz="4" w:space="0" w:color="auto"/>
              <w:right w:val="single" w:sz="4" w:space="0" w:color="auto"/>
            </w:tcBorders>
            <w:noWrap/>
            <w:vAlign w:val="bottom"/>
            <w:hideMark/>
          </w:tcPr>
          <w:p w14:paraId="520D429C"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61C12A9E"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4,44</w:t>
            </w:r>
          </w:p>
        </w:tc>
        <w:tc>
          <w:tcPr>
            <w:tcW w:w="672" w:type="dxa"/>
            <w:tcBorders>
              <w:top w:val="nil"/>
              <w:left w:val="nil"/>
              <w:bottom w:val="single" w:sz="4" w:space="0" w:color="auto"/>
              <w:right w:val="single" w:sz="4" w:space="0" w:color="auto"/>
            </w:tcBorders>
            <w:noWrap/>
            <w:vAlign w:val="bottom"/>
            <w:hideMark/>
          </w:tcPr>
          <w:p w14:paraId="4A8CE855"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1AB9E52A"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0,88</w:t>
            </w:r>
          </w:p>
        </w:tc>
        <w:tc>
          <w:tcPr>
            <w:tcW w:w="1200" w:type="dxa"/>
            <w:tcBorders>
              <w:top w:val="nil"/>
              <w:left w:val="nil"/>
              <w:bottom w:val="single" w:sz="4" w:space="0" w:color="auto"/>
              <w:right w:val="single" w:sz="4" w:space="0" w:color="auto"/>
            </w:tcBorders>
            <w:noWrap/>
            <w:vAlign w:val="bottom"/>
            <w:hideMark/>
          </w:tcPr>
          <w:p w14:paraId="68993F64"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5A21D5F0"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4B7B8A" w14:paraId="0E57E690" w14:textId="77777777" w:rsidTr="00487E00">
        <w:trPr>
          <w:trHeight w:val="300"/>
        </w:trPr>
        <w:tc>
          <w:tcPr>
            <w:tcW w:w="2689" w:type="dxa"/>
            <w:tcBorders>
              <w:top w:val="nil"/>
              <w:left w:val="single" w:sz="4" w:space="0" w:color="auto"/>
              <w:bottom w:val="single" w:sz="4" w:space="0" w:color="auto"/>
              <w:right w:val="single" w:sz="4" w:space="0" w:color="auto"/>
            </w:tcBorders>
            <w:noWrap/>
            <w:vAlign w:val="bottom"/>
            <w:hideMark/>
          </w:tcPr>
          <w:p w14:paraId="67B784A6"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noWrap/>
            <w:vAlign w:val="bottom"/>
            <w:hideMark/>
          </w:tcPr>
          <w:p w14:paraId="0668BF4E"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5,12</w:t>
            </w:r>
          </w:p>
        </w:tc>
        <w:tc>
          <w:tcPr>
            <w:tcW w:w="672" w:type="dxa"/>
            <w:tcBorders>
              <w:top w:val="nil"/>
              <w:left w:val="nil"/>
              <w:bottom w:val="single" w:sz="4" w:space="0" w:color="auto"/>
              <w:right w:val="single" w:sz="4" w:space="0" w:color="auto"/>
            </w:tcBorders>
            <w:noWrap/>
            <w:vAlign w:val="bottom"/>
            <w:hideMark/>
          </w:tcPr>
          <w:p w14:paraId="7B7FD57F"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728" w:type="dxa"/>
            <w:tcBorders>
              <w:top w:val="nil"/>
              <w:left w:val="nil"/>
              <w:bottom w:val="single" w:sz="4" w:space="0" w:color="auto"/>
              <w:right w:val="single" w:sz="4" w:space="0" w:color="auto"/>
            </w:tcBorders>
            <w:noWrap/>
            <w:vAlign w:val="bottom"/>
            <w:hideMark/>
          </w:tcPr>
          <w:p w14:paraId="722E51E2"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0,17</w:t>
            </w:r>
          </w:p>
        </w:tc>
        <w:tc>
          <w:tcPr>
            <w:tcW w:w="1200" w:type="dxa"/>
            <w:tcBorders>
              <w:top w:val="nil"/>
              <w:left w:val="nil"/>
              <w:bottom w:val="single" w:sz="4" w:space="0" w:color="auto"/>
              <w:right w:val="single" w:sz="4" w:space="0" w:color="auto"/>
            </w:tcBorders>
            <w:noWrap/>
            <w:vAlign w:val="bottom"/>
            <w:hideMark/>
          </w:tcPr>
          <w:p w14:paraId="760848E7"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36E1C539"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4B7B8A" w14:paraId="39AE6D45" w14:textId="77777777" w:rsidTr="00487E00">
        <w:trPr>
          <w:trHeight w:val="300"/>
        </w:trPr>
        <w:tc>
          <w:tcPr>
            <w:tcW w:w="2689" w:type="dxa"/>
            <w:tcBorders>
              <w:top w:val="nil"/>
              <w:left w:val="single" w:sz="4" w:space="0" w:color="auto"/>
              <w:bottom w:val="single" w:sz="4" w:space="0" w:color="auto"/>
              <w:right w:val="single" w:sz="4" w:space="0" w:color="auto"/>
            </w:tcBorders>
            <w:noWrap/>
            <w:vAlign w:val="bottom"/>
            <w:hideMark/>
          </w:tcPr>
          <w:p w14:paraId="5D34E765"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887" w:type="dxa"/>
            <w:tcBorders>
              <w:top w:val="nil"/>
              <w:left w:val="nil"/>
              <w:bottom w:val="single" w:sz="4" w:space="0" w:color="auto"/>
              <w:right w:val="single" w:sz="4" w:space="0" w:color="auto"/>
            </w:tcBorders>
            <w:noWrap/>
            <w:vAlign w:val="bottom"/>
            <w:hideMark/>
          </w:tcPr>
          <w:p w14:paraId="519DF9AA"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5,21</w:t>
            </w:r>
          </w:p>
        </w:tc>
        <w:tc>
          <w:tcPr>
            <w:tcW w:w="672" w:type="dxa"/>
            <w:tcBorders>
              <w:top w:val="nil"/>
              <w:left w:val="nil"/>
              <w:bottom w:val="single" w:sz="4" w:space="0" w:color="auto"/>
              <w:right w:val="single" w:sz="4" w:space="0" w:color="auto"/>
            </w:tcBorders>
            <w:noWrap/>
            <w:vAlign w:val="bottom"/>
            <w:hideMark/>
          </w:tcPr>
          <w:p w14:paraId="347FBEC8"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1728" w:type="dxa"/>
            <w:tcBorders>
              <w:top w:val="nil"/>
              <w:left w:val="nil"/>
              <w:bottom w:val="single" w:sz="4" w:space="0" w:color="auto"/>
              <w:right w:val="single" w:sz="4" w:space="0" w:color="auto"/>
            </w:tcBorders>
            <w:noWrap/>
            <w:vAlign w:val="bottom"/>
            <w:hideMark/>
          </w:tcPr>
          <w:p w14:paraId="23C6D833"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0,24</w:t>
            </w:r>
          </w:p>
        </w:tc>
        <w:tc>
          <w:tcPr>
            <w:tcW w:w="1200" w:type="dxa"/>
            <w:tcBorders>
              <w:top w:val="nil"/>
              <w:left w:val="nil"/>
              <w:bottom w:val="single" w:sz="4" w:space="0" w:color="auto"/>
              <w:right w:val="single" w:sz="4" w:space="0" w:color="auto"/>
            </w:tcBorders>
            <w:noWrap/>
            <w:vAlign w:val="bottom"/>
            <w:hideMark/>
          </w:tcPr>
          <w:p w14:paraId="1E60D254"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0371A408"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4B7B8A" w14:paraId="6A1BC26B" w14:textId="77777777" w:rsidTr="00487E00">
        <w:trPr>
          <w:trHeight w:val="300"/>
        </w:trPr>
        <w:tc>
          <w:tcPr>
            <w:tcW w:w="2689" w:type="dxa"/>
            <w:tcBorders>
              <w:top w:val="nil"/>
              <w:left w:val="single" w:sz="4" w:space="0" w:color="auto"/>
              <w:bottom w:val="single" w:sz="4" w:space="0" w:color="auto"/>
              <w:right w:val="single" w:sz="4" w:space="0" w:color="auto"/>
            </w:tcBorders>
            <w:noWrap/>
            <w:vAlign w:val="bottom"/>
            <w:hideMark/>
          </w:tcPr>
          <w:p w14:paraId="73A2C9E7"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887" w:type="dxa"/>
            <w:tcBorders>
              <w:top w:val="nil"/>
              <w:left w:val="nil"/>
              <w:bottom w:val="single" w:sz="4" w:space="0" w:color="auto"/>
              <w:right w:val="single" w:sz="4" w:space="0" w:color="auto"/>
            </w:tcBorders>
            <w:noWrap/>
            <w:vAlign w:val="bottom"/>
            <w:hideMark/>
          </w:tcPr>
          <w:p w14:paraId="47289AF4"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5,59</w:t>
            </w:r>
          </w:p>
        </w:tc>
        <w:tc>
          <w:tcPr>
            <w:tcW w:w="672" w:type="dxa"/>
            <w:tcBorders>
              <w:top w:val="nil"/>
              <w:left w:val="nil"/>
              <w:bottom w:val="single" w:sz="4" w:space="0" w:color="auto"/>
              <w:right w:val="single" w:sz="4" w:space="0" w:color="auto"/>
            </w:tcBorders>
            <w:noWrap/>
            <w:vAlign w:val="bottom"/>
            <w:hideMark/>
          </w:tcPr>
          <w:p w14:paraId="7BCD5C2D"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10562CE0"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0,88</w:t>
            </w:r>
          </w:p>
        </w:tc>
        <w:tc>
          <w:tcPr>
            <w:tcW w:w="1200" w:type="dxa"/>
            <w:tcBorders>
              <w:top w:val="nil"/>
              <w:left w:val="nil"/>
              <w:bottom w:val="single" w:sz="4" w:space="0" w:color="auto"/>
              <w:right w:val="single" w:sz="4" w:space="0" w:color="auto"/>
            </w:tcBorders>
            <w:noWrap/>
            <w:vAlign w:val="bottom"/>
            <w:hideMark/>
          </w:tcPr>
          <w:p w14:paraId="55045109"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21A5A0EF"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4B7B8A" w14:paraId="7005F5CF" w14:textId="77777777" w:rsidTr="00487E00">
        <w:trPr>
          <w:trHeight w:val="300"/>
        </w:trPr>
        <w:tc>
          <w:tcPr>
            <w:tcW w:w="2689" w:type="dxa"/>
            <w:tcBorders>
              <w:top w:val="nil"/>
              <w:left w:val="single" w:sz="4" w:space="0" w:color="auto"/>
              <w:bottom w:val="single" w:sz="4" w:space="0" w:color="auto"/>
              <w:right w:val="single" w:sz="4" w:space="0" w:color="auto"/>
            </w:tcBorders>
            <w:noWrap/>
            <w:vAlign w:val="bottom"/>
            <w:hideMark/>
          </w:tcPr>
          <w:p w14:paraId="45FE7BA8"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887" w:type="dxa"/>
            <w:tcBorders>
              <w:top w:val="nil"/>
              <w:left w:val="nil"/>
              <w:bottom w:val="single" w:sz="4" w:space="0" w:color="auto"/>
              <w:right w:val="single" w:sz="4" w:space="0" w:color="auto"/>
            </w:tcBorders>
            <w:noWrap/>
            <w:vAlign w:val="bottom"/>
            <w:hideMark/>
          </w:tcPr>
          <w:p w14:paraId="4EDAAE60"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5,88</w:t>
            </w:r>
          </w:p>
        </w:tc>
        <w:tc>
          <w:tcPr>
            <w:tcW w:w="672" w:type="dxa"/>
            <w:tcBorders>
              <w:top w:val="nil"/>
              <w:left w:val="nil"/>
              <w:bottom w:val="single" w:sz="4" w:space="0" w:color="auto"/>
              <w:right w:val="single" w:sz="4" w:space="0" w:color="auto"/>
            </w:tcBorders>
            <w:noWrap/>
            <w:vAlign w:val="bottom"/>
            <w:hideMark/>
          </w:tcPr>
          <w:p w14:paraId="36608A9E"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30B29EE6"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0,88</w:t>
            </w:r>
          </w:p>
        </w:tc>
        <w:tc>
          <w:tcPr>
            <w:tcW w:w="1200" w:type="dxa"/>
            <w:tcBorders>
              <w:top w:val="nil"/>
              <w:left w:val="nil"/>
              <w:bottom w:val="single" w:sz="4" w:space="0" w:color="auto"/>
              <w:right w:val="single" w:sz="4" w:space="0" w:color="auto"/>
            </w:tcBorders>
            <w:noWrap/>
            <w:vAlign w:val="bottom"/>
            <w:hideMark/>
          </w:tcPr>
          <w:p w14:paraId="4F86ACAE"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7C9B61DA"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5B0F8ED1" w14:textId="77777777" w:rsidR="00487E00" w:rsidRDefault="004B7B8A" w:rsidP="00487E00">
      <w:pPr>
        <w:autoSpaceDE w:val="0"/>
        <w:autoSpaceDN w:val="0"/>
        <w:adjustRightInd w:val="0"/>
        <w:spacing w:after="0" w:line="360" w:lineRule="auto"/>
        <w:rPr>
          <w:rFonts w:cs="Times New Roman"/>
          <w:szCs w:val="24"/>
        </w:rPr>
      </w:pPr>
      <w:r>
        <w:rPr>
          <w:rFonts w:cs="Times New Roman"/>
          <w:szCs w:val="24"/>
        </w:rPr>
        <w:t>Medias con una letra común no son significa</w:t>
      </w:r>
      <w:r w:rsidR="00077513">
        <w:rPr>
          <w:rFonts w:cs="Times New Roman"/>
          <w:szCs w:val="24"/>
        </w:rPr>
        <w:t>tivamente diferentes (p &gt; 0,05)</w:t>
      </w:r>
      <w:bookmarkStart w:id="1550" w:name="_Toc79314053"/>
    </w:p>
    <w:p w14:paraId="6E7E9696" w14:textId="16D7B04A" w:rsidR="00077513" w:rsidRPr="00487E00" w:rsidRDefault="00077513" w:rsidP="00487E00">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61</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Rendimiento de maíz suave en grano seco para diversas dosis de fósforo evaluado en la provincia de Chimborazo 2012-2014.</w:t>
      </w:r>
      <w:bookmarkEnd w:id="1550"/>
    </w:p>
    <w:tbl>
      <w:tblPr>
        <w:tblW w:w="6374" w:type="dxa"/>
        <w:jc w:val="center"/>
        <w:tblCellMar>
          <w:left w:w="70" w:type="dxa"/>
          <w:right w:w="70" w:type="dxa"/>
        </w:tblCellMar>
        <w:tblLook w:val="04A0" w:firstRow="1" w:lastRow="0" w:firstColumn="1" w:lastColumn="0" w:noHBand="0" w:noVBand="1"/>
      </w:tblPr>
      <w:tblGrid>
        <w:gridCol w:w="1980"/>
        <w:gridCol w:w="1200"/>
        <w:gridCol w:w="1200"/>
        <w:gridCol w:w="1994"/>
      </w:tblGrid>
      <w:tr w:rsidR="004B7B8A" w14:paraId="5E9F39FD" w14:textId="77777777" w:rsidTr="009226C1">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74E1CAA0" w14:textId="77777777" w:rsidR="004B7B8A" w:rsidRDefault="004B7B8A"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200" w:type="dxa"/>
            <w:tcBorders>
              <w:top w:val="single" w:sz="4" w:space="0" w:color="auto"/>
              <w:left w:val="nil"/>
              <w:bottom w:val="single" w:sz="4" w:space="0" w:color="auto"/>
              <w:right w:val="single" w:sz="4" w:space="0" w:color="auto"/>
            </w:tcBorders>
            <w:noWrap/>
            <w:vAlign w:val="bottom"/>
            <w:hideMark/>
          </w:tcPr>
          <w:p w14:paraId="1527530A" w14:textId="77777777" w:rsidR="004B7B8A" w:rsidRDefault="004B7B8A"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1200" w:type="dxa"/>
            <w:tcBorders>
              <w:top w:val="single" w:sz="4" w:space="0" w:color="auto"/>
              <w:left w:val="nil"/>
              <w:bottom w:val="single" w:sz="4" w:space="0" w:color="auto"/>
              <w:right w:val="single" w:sz="4" w:space="0" w:color="auto"/>
            </w:tcBorders>
            <w:noWrap/>
            <w:vAlign w:val="bottom"/>
            <w:hideMark/>
          </w:tcPr>
          <w:p w14:paraId="20A9644D" w14:textId="77777777" w:rsidR="004B7B8A" w:rsidRDefault="004B7B8A"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94" w:type="dxa"/>
            <w:tcBorders>
              <w:top w:val="single" w:sz="4" w:space="0" w:color="auto"/>
              <w:left w:val="nil"/>
              <w:bottom w:val="single" w:sz="4" w:space="0" w:color="auto"/>
              <w:right w:val="single" w:sz="4" w:space="0" w:color="auto"/>
            </w:tcBorders>
            <w:noWrap/>
            <w:vAlign w:val="bottom"/>
            <w:hideMark/>
          </w:tcPr>
          <w:p w14:paraId="1D79A442" w14:textId="77777777" w:rsidR="004B7B8A" w:rsidRDefault="004B7B8A"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4B7B8A" w14:paraId="34F7133F" w14:textId="77777777" w:rsidTr="009226C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D8079BA"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200" w:type="dxa"/>
            <w:tcBorders>
              <w:top w:val="nil"/>
              <w:left w:val="nil"/>
              <w:bottom w:val="single" w:sz="4" w:space="0" w:color="auto"/>
              <w:right w:val="single" w:sz="4" w:space="0" w:color="auto"/>
            </w:tcBorders>
            <w:noWrap/>
            <w:vAlign w:val="bottom"/>
            <w:hideMark/>
          </w:tcPr>
          <w:p w14:paraId="64CA8DBD"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3,05</w:t>
            </w:r>
          </w:p>
        </w:tc>
        <w:tc>
          <w:tcPr>
            <w:tcW w:w="1200" w:type="dxa"/>
            <w:tcBorders>
              <w:top w:val="nil"/>
              <w:left w:val="nil"/>
              <w:bottom w:val="single" w:sz="4" w:space="0" w:color="auto"/>
              <w:right w:val="single" w:sz="4" w:space="0" w:color="auto"/>
            </w:tcBorders>
            <w:noWrap/>
            <w:vAlign w:val="bottom"/>
            <w:hideMark/>
          </w:tcPr>
          <w:p w14:paraId="49AC7C34"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94" w:type="dxa"/>
            <w:tcBorders>
              <w:top w:val="nil"/>
              <w:left w:val="nil"/>
              <w:bottom w:val="single" w:sz="4" w:space="0" w:color="auto"/>
              <w:right w:val="single" w:sz="4" w:space="0" w:color="auto"/>
            </w:tcBorders>
            <w:noWrap/>
            <w:vAlign w:val="bottom"/>
            <w:hideMark/>
          </w:tcPr>
          <w:p w14:paraId="7925A9FC"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0,88</w:t>
            </w:r>
          </w:p>
        </w:tc>
      </w:tr>
      <w:tr w:rsidR="004B7B8A" w14:paraId="2FF78C7A" w14:textId="77777777" w:rsidTr="009226C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5AA248B"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200" w:type="dxa"/>
            <w:tcBorders>
              <w:top w:val="nil"/>
              <w:left w:val="nil"/>
              <w:bottom w:val="single" w:sz="4" w:space="0" w:color="auto"/>
              <w:right w:val="single" w:sz="4" w:space="0" w:color="auto"/>
            </w:tcBorders>
            <w:noWrap/>
            <w:vAlign w:val="bottom"/>
            <w:hideMark/>
          </w:tcPr>
          <w:p w14:paraId="6B489500"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4,11</w:t>
            </w:r>
          </w:p>
        </w:tc>
        <w:tc>
          <w:tcPr>
            <w:tcW w:w="1200" w:type="dxa"/>
            <w:tcBorders>
              <w:top w:val="nil"/>
              <w:left w:val="nil"/>
              <w:bottom w:val="single" w:sz="4" w:space="0" w:color="auto"/>
              <w:right w:val="single" w:sz="4" w:space="0" w:color="auto"/>
            </w:tcBorders>
            <w:noWrap/>
            <w:vAlign w:val="bottom"/>
            <w:hideMark/>
          </w:tcPr>
          <w:p w14:paraId="5A891D28"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994" w:type="dxa"/>
            <w:tcBorders>
              <w:top w:val="nil"/>
              <w:left w:val="nil"/>
              <w:bottom w:val="single" w:sz="4" w:space="0" w:color="auto"/>
              <w:right w:val="single" w:sz="4" w:space="0" w:color="auto"/>
            </w:tcBorders>
            <w:noWrap/>
            <w:vAlign w:val="bottom"/>
            <w:hideMark/>
          </w:tcPr>
          <w:p w14:paraId="5930609F"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r>
      <w:tr w:rsidR="004B7B8A" w14:paraId="2C3818DA" w14:textId="77777777" w:rsidTr="009226C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6D5008F"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200" w:type="dxa"/>
            <w:tcBorders>
              <w:top w:val="nil"/>
              <w:left w:val="nil"/>
              <w:bottom w:val="single" w:sz="4" w:space="0" w:color="auto"/>
              <w:right w:val="single" w:sz="4" w:space="0" w:color="auto"/>
            </w:tcBorders>
            <w:noWrap/>
            <w:vAlign w:val="bottom"/>
            <w:hideMark/>
          </w:tcPr>
          <w:p w14:paraId="7483386D"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4,32</w:t>
            </w:r>
          </w:p>
        </w:tc>
        <w:tc>
          <w:tcPr>
            <w:tcW w:w="1200" w:type="dxa"/>
            <w:tcBorders>
              <w:top w:val="nil"/>
              <w:left w:val="nil"/>
              <w:bottom w:val="single" w:sz="4" w:space="0" w:color="auto"/>
              <w:right w:val="single" w:sz="4" w:space="0" w:color="auto"/>
            </w:tcBorders>
            <w:noWrap/>
            <w:vAlign w:val="bottom"/>
            <w:hideMark/>
          </w:tcPr>
          <w:p w14:paraId="69189C90"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994" w:type="dxa"/>
            <w:tcBorders>
              <w:top w:val="nil"/>
              <w:left w:val="nil"/>
              <w:bottom w:val="single" w:sz="4" w:space="0" w:color="auto"/>
              <w:right w:val="single" w:sz="4" w:space="0" w:color="auto"/>
            </w:tcBorders>
            <w:noWrap/>
            <w:vAlign w:val="bottom"/>
            <w:hideMark/>
          </w:tcPr>
          <w:p w14:paraId="703B40F6"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0,16</w:t>
            </w:r>
          </w:p>
        </w:tc>
      </w:tr>
      <w:tr w:rsidR="004B7B8A" w14:paraId="39A4E9FF" w14:textId="77777777" w:rsidTr="009226C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F1E23DB"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200" w:type="dxa"/>
            <w:tcBorders>
              <w:top w:val="nil"/>
              <w:left w:val="nil"/>
              <w:bottom w:val="single" w:sz="4" w:space="0" w:color="auto"/>
              <w:right w:val="single" w:sz="4" w:space="0" w:color="auto"/>
            </w:tcBorders>
            <w:noWrap/>
            <w:vAlign w:val="bottom"/>
            <w:hideMark/>
          </w:tcPr>
          <w:p w14:paraId="42527F65"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4,41</w:t>
            </w:r>
          </w:p>
        </w:tc>
        <w:tc>
          <w:tcPr>
            <w:tcW w:w="1200" w:type="dxa"/>
            <w:tcBorders>
              <w:top w:val="nil"/>
              <w:left w:val="nil"/>
              <w:bottom w:val="single" w:sz="4" w:space="0" w:color="auto"/>
              <w:right w:val="single" w:sz="4" w:space="0" w:color="auto"/>
            </w:tcBorders>
            <w:noWrap/>
            <w:vAlign w:val="bottom"/>
            <w:hideMark/>
          </w:tcPr>
          <w:p w14:paraId="71EE22D3"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994" w:type="dxa"/>
            <w:tcBorders>
              <w:top w:val="nil"/>
              <w:left w:val="nil"/>
              <w:bottom w:val="single" w:sz="4" w:space="0" w:color="auto"/>
              <w:right w:val="single" w:sz="4" w:space="0" w:color="auto"/>
            </w:tcBorders>
            <w:noWrap/>
            <w:vAlign w:val="bottom"/>
            <w:hideMark/>
          </w:tcPr>
          <w:p w14:paraId="57BAF063"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0,31</w:t>
            </w:r>
          </w:p>
        </w:tc>
      </w:tr>
      <w:tr w:rsidR="004B7B8A" w14:paraId="31B1F9FE" w14:textId="77777777" w:rsidTr="009226C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6B1A1EC"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200" w:type="dxa"/>
            <w:tcBorders>
              <w:top w:val="nil"/>
              <w:left w:val="nil"/>
              <w:bottom w:val="single" w:sz="4" w:space="0" w:color="auto"/>
              <w:right w:val="single" w:sz="4" w:space="0" w:color="auto"/>
            </w:tcBorders>
            <w:noWrap/>
            <w:vAlign w:val="bottom"/>
            <w:hideMark/>
          </w:tcPr>
          <w:p w14:paraId="679D9CBE"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5,09</w:t>
            </w:r>
          </w:p>
        </w:tc>
        <w:tc>
          <w:tcPr>
            <w:tcW w:w="1200" w:type="dxa"/>
            <w:tcBorders>
              <w:top w:val="nil"/>
              <w:left w:val="nil"/>
              <w:bottom w:val="single" w:sz="4" w:space="0" w:color="auto"/>
              <w:right w:val="single" w:sz="4" w:space="0" w:color="auto"/>
            </w:tcBorders>
            <w:noWrap/>
            <w:vAlign w:val="bottom"/>
            <w:hideMark/>
          </w:tcPr>
          <w:p w14:paraId="24932634"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994" w:type="dxa"/>
            <w:tcBorders>
              <w:top w:val="nil"/>
              <w:left w:val="nil"/>
              <w:bottom w:val="single" w:sz="4" w:space="0" w:color="auto"/>
              <w:right w:val="single" w:sz="4" w:space="0" w:color="auto"/>
            </w:tcBorders>
            <w:noWrap/>
            <w:vAlign w:val="bottom"/>
            <w:hideMark/>
          </w:tcPr>
          <w:p w14:paraId="3C2D5210"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w:t>
            </w:r>
          </w:p>
        </w:tc>
      </w:tr>
      <w:tr w:rsidR="004B7B8A" w14:paraId="794AE950" w14:textId="77777777" w:rsidTr="009226C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3D0585F"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200" w:type="dxa"/>
            <w:tcBorders>
              <w:top w:val="nil"/>
              <w:left w:val="nil"/>
              <w:bottom w:val="single" w:sz="4" w:space="0" w:color="auto"/>
              <w:right w:val="single" w:sz="4" w:space="0" w:color="auto"/>
            </w:tcBorders>
            <w:noWrap/>
            <w:vAlign w:val="bottom"/>
            <w:hideMark/>
          </w:tcPr>
          <w:p w14:paraId="3ADAF8D9"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w:t>
            </w:r>
          </w:p>
        </w:tc>
        <w:tc>
          <w:tcPr>
            <w:tcW w:w="1200" w:type="dxa"/>
            <w:tcBorders>
              <w:top w:val="nil"/>
              <w:left w:val="nil"/>
              <w:bottom w:val="single" w:sz="4" w:space="0" w:color="auto"/>
              <w:right w:val="single" w:sz="4" w:space="0" w:color="auto"/>
            </w:tcBorders>
            <w:noWrap/>
            <w:vAlign w:val="bottom"/>
            <w:hideMark/>
          </w:tcPr>
          <w:p w14:paraId="7D89697B"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994" w:type="dxa"/>
            <w:tcBorders>
              <w:top w:val="nil"/>
              <w:left w:val="nil"/>
              <w:bottom w:val="single" w:sz="4" w:space="0" w:color="auto"/>
              <w:right w:val="single" w:sz="4" w:space="0" w:color="auto"/>
            </w:tcBorders>
            <w:noWrap/>
            <w:vAlign w:val="bottom"/>
            <w:hideMark/>
          </w:tcPr>
          <w:p w14:paraId="1BA08CEC" w14:textId="77777777" w:rsidR="004B7B8A" w:rsidRDefault="004B7B8A"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0,51</w:t>
            </w:r>
          </w:p>
        </w:tc>
      </w:tr>
    </w:tbl>
    <w:p w14:paraId="2116BAFF" w14:textId="77777777" w:rsidR="004455F1" w:rsidRDefault="004455F1" w:rsidP="004B7B8A">
      <w:pPr>
        <w:autoSpaceDE w:val="0"/>
        <w:autoSpaceDN w:val="0"/>
        <w:adjustRightInd w:val="0"/>
        <w:spacing w:after="0" w:line="360" w:lineRule="auto"/>
        <w:rPr>
          <w:rFonts w:cs="Times New Roman"/>
          <w:szCs w:val="24"/>
        </w:rPr>
      </w:pPr>
    </w:p>
    <w:p w14:paraId="318DF3A6" w14:textId="77777777" w:rsidR="00487E00" w:rsidRDefault="004B7B8A" w:rsidP="00487E00">
      <w:pPr>
        <w:autoSpaceDE w:val="0"/>
        <w:autoSpaceDN w:val="0"/>
        <w:adjustRightInd w:val="0"/>
        <w:spacing w:after="0" w:line="360" w:lineRule="auto"/>
        <w:rPr>
          <w:rFonts w:cs="Times New Roman"/>
          <w:szCs w:val="24"/>
        </w:rPr>
      </w:pPr>
      <w:r>
        <w:rPr>
          <w:rFonts w:cs="Times New Roman"/>
          <w:szCs w:val="24"/>
        </w:rPr>
        <w:lastRenderedPageBreak/>
        <w:t xml:space="preserve">El promedio </w:t>
      </w:r>
      <w:r w:rsidR="00CE436F">
        <w:rPr>
          <w:rFonts w:cs="Times New Roman"/>
          <w:szCs w:val="24"/>
        </w:rPr>
        <w:t xml:space="preserve">de rendimiento </w:t>
      </w:r>
      <w:r>
        <w:rPr>
          <w:rFonts w:cs="Times New Roman"/>
          <w:szCs w:val="24"/>
        </w:rPr>
        <w:t>obtenido en la aplicación de fósforo no t</w:t>
      </w:r>
      <w:r w:rsidR="00CE436F">
        <w:rPr>
          <w:rFonts w:cs="Times New Roman"/>
          <w:szCs w:val="24"/>
        </w:rPr>
        <w:t>uvo</w:t>
      </w:r>
      <w:r>
        <w:rPr>
          <w:rFonts w:cs="Times New Roman"/>
          <w:szCs w:val="24"/>
        </w:rPr>
        <w:t xml:space="preserve"> relación con la dosis aplicada ya que sin presencia de este elemento se tienen medias superiores que cuando se aplic</w:t>
      </w:r>
      <w:bookmarkStart w:id="1551" w:name="_Toc72704049"/>
      <w:bookmarkStart w:id="1552" w:name="_Toc72704573"/>
      <w:bookmarkStart w:id="1553" w:name="_Toc72705638"/>
      <w:bookmarkStart w:id="1554" w:name="_Toc72706277"/>
      <w:bookmarkStart w:id="1555" w:name="_Toc72741227"/>
      <w:bookmarkStart w:id="1556" w:name="_Toc72742025"/>
      <w:bookmarkStart w:id="1557" w:name="_Toc72881190"/>
      <w:bookmarkStart w:id="1558" w:name="_Toc72882643"/>
      <w:bookmarkStart w:id="1559" w:name="_Toc75606433"/>
      <w:bookmarkStart w:id="1560" w:name="_Toc75612758"/>
      <w:bookmarkStart w:id="1561" w:name="_Toc75679914"/>
      <w:bookmarkStart w:id="1562" w:name="_Toc75702522"/>
      <w:r w:rsidR="00077513">
        <w:rPr>
          <w:rFonts w:cs="Times New Roman"/>
          <w:szCs w:val="24"/>
        </w:rPr>
        <w:t>a 15 o 30 medidas del elemento.</w:t>
      </w:r>
      <w:bookmarkStart w:id="1563" w:name="_Toc79314054"/>
      <w:bookmarkEnd w:id="1551"/>
      <w:bookmarkEnd w:id="1552"/>
      <w:bookmarkEnd w:id="1553"/>
      <w:bookmarkEnd w:id="1554"/>
      <w:bookmarkEnd w:id="1555"/>
      <w:bookmarkEnd w:id="1556"/>
      <w:bookmarkEnd w:id="1557"/>
      <w:bookmarkEnd w:id="1558"/>
      <w:bookmarkEnd w:id="1559"/>
      <w:bookmarkEnd w:id="1560"/>
      <w:bookmarkEnd w:id="1561"/>
      <w:bookmarkEnd w:id="1562"/>
    </w:p>
    <w:p w14:paraId="0FC9B6C5" w14:textId="46811DC9" w:rsidR="00077513" w:rsidRPr="00487E00" w:rsidRDefault="00077513" w:rsidP="00487E00">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62</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Rendimiento de maíz suave en grano seco para diversas dosis de potasio evaluado en la provincia de Chimborazo 2012-2014.</w:t>
      </w:r>
      <w:bookmarkEnd w:id="1563"/>
    </w:p>
    <w:tbl>
      <w:tblPr>
        <w:tblW w:w="5949" w:type="dxa"/>
        <w:jc w:val="center"/>
        <w:tblCellMar>
          <w:left w:w="70" w:type="dxa"/>
          <w:right w:w="70" w:type="dxa"/>
        </w:tblCellMar>
        <w:tblLook w:val="04A0" w:firstRow="1" w:lastRow="0" w:firstColumn="1" w:lastColumn="0" w:noHBand="0" w:noVBand="1"/>
      </w:tblPr>
      <w:tblGrid>
        <w:gridCol w:w="1980"/>
        <w:gridCol w:w="1200"/>
        <w:gridCol w:w="784"/>
        <w:gridCol w:w="1985"/>
      </w:tblGrid>
      <w:tr w:rsidR="006227BB" w14:paraId="29895DA2" w14:textId="77777777" w:rsidTr="00056824">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70744144"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200" w:type="dxa"/>
            <w:tcBorders>
              <w:top w:val="single" w:sz="4" w:space="0" w:color="auto"/>
              <w:left w:val="nil"/>
              <w:bottom w:val="single" w:sz="4" w:space="0" w:color="auto"/>
              <w:right w:val="single" w:sz="4" w:space="0" w:color="auto"/>
            </w:tcBorders>
            <w:noWrap/>
            <w:vAlign w:val="bottom"/>
            <w:hideMark/>
          </w:tcPr>
          <w:p w14:paraId="36F8B93A"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84" w:type="dxa"/>
            <w:tcBorders>
              <w:top w:val="single" w:sz="4" w:space="0" w:color="auto"/>
              <w:left w:val="nil"/>
              <w:bottom w:val="single" w:sz="4" w:space="0" w:color="auto"/>
              <w:right w:val="single" w:sz="4" w:space="0" w:color="auto"/>
            </w:tcBorders>
            <w:noWrap/>
            <w:vAlign w:val="bottom"/>
            <w:hideMark/>
          </w:tcPr>
          <w:p w14:paraId="7EE6B2B8"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85" w:type="dxa"/>
            <w:tcBorders>
              <w:top w:val="single" w:sz="4" w:space="0" w:color="auto"/>
              <w:left w:val="nil"/>
              <w:bottom w:val="single" w:sz="4" w:space="0" w:color="auto"/>
              <w:right w:val="single" w:sz="4" w:space="0" w:color="auto"/>
            </w:tcBorders>
            <w:noWrap/>
            <w:vAlign w:val="bottom"/>
            <w:hideMark/>
          </w:tcPr>
          <w:p w14:paraId="73633613"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6227BB" w14:paraId="4F00623F"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5D9C6A1"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200" w:type="dxa"/>
            <w:tcBorders>
              <w:top w:val="nil"/>
              <w:left w:val="nil"/>
              <w:bottom w:val="single" w:sz="4" w:space="0" w:color="auto"/>
              <w:right w:val="single" w:sz="4" w:space="0" w:color="auto"/>
            </w:tcBorders>
            <w:noWrap/>
            <w:vAlign w:val="bottom"/>
            <w:hideMark/>
          </w:tcPr>
          <w:p w14:paraId="5EA5B97F"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3,05</w:t>
            </w:r>
          </w:p>
        </w:tc>
        <w:tc>
          <w:tcPr>
            <w:tcW w:w="784" w:type="dxa"/>
            <w:tcBorders>
              <w:top w:val="nil"/>
              <w:left w:val="nil"/>
              <w:bottom w:val="single" w:sz="4" w:space="0" w:color="auto"/>
              <w:right w:val="single" w:sz="4" w:space="0" w:color="auto"/>
            </w:tcBorders>
            <w:noWrap/>
            <w:vAlign w:val="bottom"/>
            <w:hideMark/>
          </w:tcPr>
          <w:p w14:paraId="16CA2105"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85" w:type="dxa"/>
            <w:tcBorders>
              <w:top w:val="nil"/>
              <w:left w:val="nil"/>
              <w:bottom w:val="single" w:sz="4" w:space="0" w:color="auto"/>
              <w:right w:val="single" w:sz="4" w:space="0" w:color="auto"/>
            </w:tcBorders>
            <w:noWrap/>
            <w:vAlign w:val="bottom"/>
            <w:hideMark/>
          </w:tcPr>
          <w:p w14:paraId="63617529"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0,88</w:t>
            </w:r>
          </w:p>
        </w:tc>
      </w:tr>
      <w:tr w:rsidR="006227BB" w14:paraId="5AC32412"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CC5D7E9"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200" w:type="dxa"/>
            <w:tcBorders>
              <w:top w:val="nil"/>
              <w:left w:val="nil"/>
              <w:bottom w:val="single" w:sz="4" w:space="0" w:color="auto"/>
              <w:right w:val="single" w:sz="4" w:space="0" w:color="auto"/>
            </w:tcBorders>
            <w:noWrap/>
            <w:vAlign w:val="bottom"/>
            <w:hideMark/>
          </w:tcPr>
          <w:p w14:paraId="2CF8FB5C"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3,86</w:t>
            </w:r>
          </w:p>
        </w:tc>
        <w:tc>
          <w:tcPr>
            <w:tcW w:w="784" w:type="dxa"/>
            <w:tcBorders>
              <w:top w:val="nil"/>
              <w:left w:val="nil"/>
              <w:bottom w:val="single" w:sz="4" w:space="0" w:color="auto"/>
              <w:right w:val="single" w:sz="4" w:space="0" w:color="auto"/>
            </w:tcBorders>
            <w:noWrap/>
            <w:vAlign w:val="bottom"/>
            <w:hideMark/>
          </w:tcPr>
          <w:p w14:paraId="66CFB99C"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985" w:type="dxa"/>
            <w:tcBorders>
              <w:top w:val="nil"/>
              <w:left w:val="nil"/>
              <w:bottom w:val="single" w:sz="4" w:space="0" w:color="auto"/>
              <w:right w:val="single" w:sz="4" w:space="0" w:color="auto"/>
            </w:tcBorders>
            <w:noWrap/>
            <w:vAlign w:val="bottom"/>
            <w:hideMark/>
          </w:tcPr>
          <w:p w14:paraId="4A10708F"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r>
      <w:tr w:rsidR="006227BB" w14:paraId="21E0EB94"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B4BB4B0"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200" w:type="dxa"/>
            <w:tcBorders>
              <w:top w:val="nil"/>
              <w:left w:val="nil"/>
              <w:bottom w:val="single" w:sz="4" w:space="0" w:color="auto"/>
              <w:right w:val="single" w:sz="4" w:space="0" w:color="auto"/>
            </w:tcBorders>
            <w:noWrap/>
            <w:vAlign w:val="bottom"/>
            <w:hideMark/>
          </w:tcPr>
          <w:p w14:paraId="725F77DC"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4,28</w:t>
            </w:r>
          </w:p>
        </w:tc>
        <w:tc>
          <w:tcPr>
            <w:tcW w:w="784" w:type="dxa"/>
            <w:tcBorders>
              <w:top w:val="nil"/>
              <w:left w:val="nil"/>
              <w:bottom w:val="single" w:sz="4" w:space="0" w:color="auto"/>
              <w:right w:val="single" w:sz="4" w:space="0" w:color="auto"/>
            </w:tcBorders>
            <w:noWrap/>
            <w:vAlign w:val="bottom"/>
            <w:hideMark/>
          </w:tcPr>
          <w:p w14:paraId="53862E67"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985" w:type="dxa"/>
            <w:tcBorders>
              <w:top w:val="nil"/>
              <w:left w:val="nil"/>
              <w:bottom w:val="single" w:sz="4" w:space="0" w:color="auto"/>
              <w:right w:val="single" w:sz="4" w:space="0" w:color="auto"/>
            </w:tcBorders>
            <w:noWrap/>
            <w:vAlign w:val="bottom"/>
            <w:hideMark/>
          </w:tcPr>
          <w:p w14:paraId="5DAF0C71"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0,16</w:t>
            </w:r>
          </w:p>
        </w:tc>
      </w:tr>
      <w:tr w:rsidR="006227BB" w14:paraId="1632D424"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CBA5286"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200" w:type="dxa"/>
            <w:tcBorders>
              <w:top w:val="nil"/>
              <w:left w:val="nil"/>
              <w:bottom w:val="single" w:sz="4" w:space="0" w:color="auto"/>
              <w:right w:val="single" w:sz="4" w:space="0" w:color="auto"/>
            </w:tcBorders>
            <w:noWrap/>
            <w:vAlign w:val="bottom"/>
            <w:hideMark/>
          </w:tcPr>
          <w:p w14:paraId="22FCBCA4"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4,89</w:t>
            </w:r>
          </w:p>
        </w:tc>
        <w:tc>
          <w:tcPr>
            <w:tcW w:w="784" w:type="dxa"/>
            <w:tcBorders>
              <w:top w:val="nil"/>
              <w:left w:val="nil"/>
              <w:bottom w:val="single" w:sz="4" w:space="0" w:color="auto"/>
              <w:right w:val="single" w:sz="4" w:space="0" w:color="auto"/>
            </w:tcBorders>
            <w:noWrap/>
            <w:vAlign w:val="bottom"/>
            <w:hideMark/>
          </w:tcPr>
          <w:p w14:paraId="54DDB0E0"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985" w:type="dxa"/>
            <w:tcBorders>
              <w:top w:val="nil"/>
              <w:left w:val="nil"/>
              <w:bottom w:val="single" w:sz="4" w:space="0" w:color="auto"/>
              <w:right w:val="single" w:sz="4" w:space="0" w:color="auto"/>
            </w:tcBorders>
            <w:noWrap/>
            <w:vAlign w:val="bottom"/>
            <w:hideMark/>
          </w:tcPr>
          <w:p w14:paraId="57D75E49"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0,36</w:t>
            </w:r>
          </w:p>
        </w:tc>
      </w:tr>
      <w:tr w:rsidR="006227BB" w14:paraId="268D8FF6"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7012579"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200" w:type="dxa"/>
            <w:tcBorders>
              <w:top w:val="nil"/>
              <w:left w:val="nil"/>
              <w:bottom w:val="single" w:sz="4" w:space="0" w:color="auto"/>
              <w:right w:val="single" w:sz="4" w:space="0" w:color="auto"/>
            </w:tcBorders>
            <w:noWrap/>
            <w:vAlign w:val="bottom"/>
            <w:hideMark/>
          </w:tcPr>
          <w:p w14:paraId="420755DE"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4,94</w:t>
            </w:r>
          </w:p>
        </w:tc>
        <w:tc>
          <w:tcPr>
            <w:tcW w:w="784" w:type="dxa"/>
            <w:tcBorders>
              <w:top w:val="nil"/>
              <w:left w:val="nil"/>
              <w:bottom w:val="single" w:sz="4" w:space="0" w:color="auto"/>
              <w:right w:val="single" w:sz="4" w:space="0" w:color="auto"/>
            </w:tcBorders>
            <w:noWrap/>
            <w:vAlign w:val="bottom"/>
            <w:hideMark/>
          </w:tcPr>
          <w:p w14:paraId="2E76075B"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985" w:type="dxa"/>
            <w:tcBorders>
              <w:top w:val="nil"/>
              <w:left w:val="nil"/>
              <w:bottom w:val="single" w:sz="4" w:space="0" w:color="auto"/>
              <w:right w:val="single" w:sz="4" w:space="0" w:color="auto"/>
            </w:tcBorders>
            <w:noWrap/>
            <w:vAlign w:val="bottom"/>
            <w:hideMark/>
          </w:tcPr>
          <w:p w14:paraId="01050282"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0,27</w:t>
            </w:r>
          </w:p>
        </w:tc>
      </w:tr>
      <w:tr w:rsidR="006227BB" w14:paraId="7EB02AF6"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FD8851E"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200" w:type="dxa"/>
            <w:tcBorders>
              <w:top w:val="nil"/>
              <w:left w:val="nil"/>
              <w:bottom w:val="single" w:sz="4" w:space="0" w:color="auto"/>
              <w:right w:val="single" w:sz="4" w:space="0" w:color="auto"/>
            </w:tcBorders>
            <w:noWrap/>
            <w:vAlign w:val="bottom"/>
            <w:hideMark/>
          </w:tcPr>
          <w:p w14:paraId="5077A4F1"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5,26</w:t>
            </w:r>
          </w:p>
        </w:tc>
        <w:tc>
          <w:tcPr>
            <w:tcW w:w="784" w:type="dxa"/>
            <w:tcBorders>
              <w:top w:val="nil"/>
              <w:left w:val="nil"/>
              <w:bottom w:val="single" w:sz="4" w:space="0" w:color="auto"/>
              <w:right w:val="single" w:sz="4" w:space="0" w:color="auto"/>
            </w:tcBorders>
            <w:noWrap/>
            <w:vAlign w:val="bottom"/>
            <w:hideMark/>
          </w:tcPr>
          <w:p w14:paraId="18FF919D"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985" w:type="dxa"/>
            <w:tcBorders>
              <w:top w:val="nil"/>
              <w:left w:val="nil"/>
              <w:bottom w:val="single" w:sz="4" w:space="0" w:color="auto"/>
              <w:right w:val="single" w:sz="4" w:space="0" w:color="auto"/>
            </w:tcBorders>
            <w:noWrap/>
            <w:vAlign w:val="bottom"/>
            <w:hideMark/>
          </w:tcPr>
          <w:p w14:paraId="1F81E245"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0,23</w:t>
            </w:r>
          </w:p>
        </w:tc>
      </w:tr>
    </w:tbl>
    <w:p w14:paraId="6071D662" w14:textId="77777777" w:rsidR="00487E00" w:rsidRDefault="004B7B8A" w:rsidP="00487E00">
      <w:pPr>
        <w:autoSpaceDE w:val="0"/>
        <w:autoSpaceDN w:val="0"/>
        <w:adjustRightInd w:val="0"/>
        <w:spacing w:after="0" w:line="360" w:lineRule="auto"/>
        <w:rPr>
          <w:rFonts w:cs="Times New Roman"/>
          <w:szCs w:val="24"/>
        </w:rPr>
      </w:pPr>
      <w:r>
        <w:rPr>
          <w:rFonts w:cs="Times New Roman"/>
          <w:szCs w:val="24"/>
        </w:rPr>
        <w:t>Medias con una letra común no son significa</w:t>
      </w:r>
      <w:r w:rsidR="00077513">
        <w:rPr>
          <w:rFonts w:cs="Times New Roman"/>
          <w:szCs w:val="24"/>
        </w:rPr>
        <w:t>tivamente diferentes (p &gt; 0,05)</w:t>
      </w:r>
      <w:bookmarkStart w:id="1564" w:name="_Toc79314055"/>
    </w:p>
    <w:p w14:paraId="34910A68" w14:textId="583CEA52" w:rsidR="00077513" w:rsidRPr="00487E00" w:rsidRDefault="00077513" w:rsidP="00487E00">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63</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Rendimiento de maíz suave en grano seco para diversas dosis de azufre evaluado en la provincia de Chimborazo 2012-2014.</w:t>
      </w:r>
      <w:bookmarkEnd w:id="1564"/>
    </w:p>
    <w:tbl>
      <w:tblPr>
        <w:tblW w:w="5580" w:type="dxa"/>
        <w:jc w:val="center"/>
        <w:tblCellMar>
          <w:left w:w="70" w:type="dxa"/>
          <w:right w:w="70" w:type="dxa"/>
        </w:tblCellMar>
        <w:tblLook w:val="04A0" w:firstRow="1" w:lastRow="0" w:firstColumn="1" w:lastColumn="0" w:noHBand="0" w:noVBand="1"/>
      </w:tblPr>
      <w:tblGrid>
        <w:gridCol w:w="1980"/>
        <w:gridCol w:w="1200"/>
        <w:gridCol w:w="643"/>
        <w:gridCol w:w="1757"/>
      </w:tblGrid>
      <w:tr w:rsidR="006227BB" w14:paraId="300A4B07" w14:textId="77777777" w:rsidTr="00056824">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A86B96D"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200" w:type="dxa"/>
            <w:tcBorders>
              <w:top w:val="single" w:sz="4" w:space="0" w:color="auto"/>
              <w:left w:val="nil"/>
              <w:bottom w:val="single" w:sz="4" w:space="0" w:color="auto"/>
              <w:right w:val="single" w:sz="4" w:space="0" w:color="auto"/>
            </w:tcBorders>
            <w:noWrap/>
            <w:vAlign w:val="bottom"/>
            <w:hideMark/>
          </w:tcPr>
          <w:p w14:paraId="0D84602B"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43" w:type="dxa"/>
            <w:tcBorders>
              <w:top w:val="single" w:sz="4" w:space="0" w:color="auto"/>
              <w:left w:val="nil"/>
              <w:bottom w:val="single" w:sz="4" w:space="0" w:color="auto"/>
              <w:right w:val="single" w:sz="4" w:space="0" w:color="auto"/>
            </w:tcBorders>
            <w:noWrap/>
            <w:vAlign w:val="bottom"/>
            <w:hideMark/>
          </w:tcPr>
          <w:p w14:paraId="2A6A15BC"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57" w:type="dxa"/>
            <w:tcBorders>
              <w:top w:val="single" w:sz="4" w:space="0" w:color="auto"/>
              <w:left w:val="nil"/>
              <w:bottom w:val="single" w:sz="4" w:space="0" w:color="auto"/>
              <w:right w:val="single" w:sz="4" w:space="0" w:color="auto"/>
            </w:tcBorders>
            <w:noWrap/>
            <w:vAlign w:val="bottom"/>
            <w:hideMark/>
          </w:tcPr>
          <w:p w14:paraId="42D0850B"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6227BB" w14:paraId="6862DF65"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5ED0E62"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200" w:type="dxa"/>
            <w:tcBorders>
              <w:top w:val="nil"/>
              <w:left w:val="nil"/>
              <w:bottom w:val="single" w:sz="4" w:space="0" w:color="auto"/>
              <w:right w:val="single" w:sz="4" w:space="0" w:color="auto"/>
            </w:tcBorders>
            <w:noWrap/>
            <w:vAlign w:val="bottom"/>
            <w:hideMark/>
          </w:tcPr>
          <w:p w14:paraId="424D79FA"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3,85</w:t>
            </w:r>
          </w:p>
        </w:tc>
        <w:tc>
          <w:tcPr>
            <w:tcW w:w="643" w:type="dxa"/>
            <w:tcBorders>
              <w:top w:val="nil"/>
              <w:left w:val="nil"/>
              <w:bottom w:val="single" w:sz="4" w:space="0" w:color="auto"/>
              <w:right w:val="single" w:sz="4" w:space="0" w:color="auto"/>
            </w:tcBorders>
            <w:noWrap/>
            <w:vAlign w:val="bottom"/>
            <w:hideMark/>
          </w:tcPr>
          <w:p w14:paraId="314D4463"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57" w:type="dxa"/>
            <w:tcBorders>
              <w:top w:val="nil"/>
              <w:left w:val="nil"/>
              <w:bottom w:val="single" w:sz="4" w:space="0" w:color="auto"/>
              <w:right w:val="single" w:sz="4" w:space="0" w:color="auto"/>
            </w:tcBorders>
            <w:noWrap/>
            <w:vAlign w:val="bottom"/>
            <w:hideMark/>
          </w:tcPr>
          <w:p w14:paraId="7C455843"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r>
      <w:tr w:rsidR="006227BB" w14:paraId="258E8996"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4211D0E"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200" w:type="dxa"/>
            <w:tcBorders>
              <w:top w:val="nil"/>
              <w:left w:val="nil"/>
              <w:bottom w:val="single" w:sz="4" w:space="0" w:color="auto"/>
              <w:right w:val="single" w:sz="4" w:space="0" w:color="auto"/>
            </w:tcBorders>
            <w:noWrap/>
            <w:vAlign w:val="bottom"/>
            <w:hideMark/>
          </w:tcPr>
          <w:p w14:paraId="7564631F"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4,24</w:t>
            </w:r>
          </w:p>
        </w:tc>
        <w:tc>
          <w:tcPr>
            <w:tcW w:w="643" w:type="dxa"/>
            <w:tcBorders>
              <w:top w:val="nil"/>
              <w:left w:val="nil"/>
              <w:bottom w:val="single" w:sz="4" w:space="0" w:color="auto"/>
              <w:right w:val="single" w:sz="4" w:space="0" w:color="auto"/>
            </w:tcBorders>
            <w:noWrap/>
            <w:vAlign w:val="bottom"/>
            <w:hideMark/>
          </w:tcPr>
          <w:p w14:paraId="273B8F94"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w:t>
            </w:r>
          </w:p>
        </w:tc>
        <w:tc>
          <w:tcPr>
            <w:tcW w:w="1757" w:type="dxa"/>
            <w:tcBorders>
              <w:top w:val="nil"/>
              <w:left w:val="nil"/>
              <w:bottom w:val="single" w:sz="4" w:space="0" w:color="auto"/>
              <w:right w:val="single" w:sz="4" w:space="0" w:color="auto"/>
            </w:tcBorders>
            <w:noWrap/>
            <w:vAlign w:val="bottom"/>
            <w:hideMark/>
          </w:tcPr>
          <w:p w14:paraId="32FFE939"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r>
      <w:tr w:rsidR="006227BB" w14:paraId="55018BFC"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84116A2"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200" w:type="dxa"/>
            <w:tcBorders>
              <w:top w:val="nil"/>
              <w:left w:val="nil"/>
              <w:bottom w:val="single" w:sz="4" w:space="0" w:color="auto"/>
              <w:right w:val="single" w:sz="4" w:space="0" w:color="auto"/>
            </w:tcBorders>
            <w:noWrap/>
            <w:vAlign w:val="bottom"/>
            <w:hideMark/>
          </w:tcPr>
          <w:p w14:paraId="240E2835"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5,05</w:t>
            </w:r>
          </w:p>
        </w:tc>
        <w:tc>
          <w:tcPr>
            <w:tcW w:w="643" w:type="dxa"/>
            <w:tcBorders>
              <w:top w:val="nil"/>
              <w:left w:val="nil"/>
              <w:bottom w:val="single" w:sz="4" w:space="0" w:color="auto"/>
              <w:right w:val="single" w:sz="4" w:space="0" w:color="auto"/>
            </w:tcBorders>
            <w:noWrap/>
            <w:vAlign w:val="bottom"/>
            <w:hideMark/>
          </w:tcPr>
          <w:p w14:paraId="4E294D8C"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757" w:type="dxa"/>
            <w:tcBorders>
              <w:top w:val="nil"/>
              <w:left w:val="nil"/>
              <w:bottom w:val="single" w:sz="4" w:space="0" w:color="auto"/>
              <w:right w:val="single" w:sz="4" w:space="0" w:color="auto"/>
            </w:tcBorders>
            <w:noWrap/>
            <w:vAlign w:val="bottom"/>
            <w:hideMark/>
          </w:tcPr>
          <w:p w14:paraId="2190DAF6"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0,27</w:t>
            </w:r>
          </w:p>
        </w:tc>
      </w:tr>
      <w:tr w:rsidR="006227BB" w14:paraId="46111C57" w14:textId="77777777" w:rsidTr="0005682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7642B26"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200" w:type="dxa"/>
            <w:tcBorders>
              <w:top w:val="nil"/>
              <w:left w:val="nil"/>
              <w:bottom w:val="single" w:sz="4" w:space="0" w:color="auto"/>
              <w:right w:val="single" w:sz="4" w:space="0" w:color="auto"/>
            </w:tcBorders>
            <w:noWrap/>
            <w:vAlign w:val="bottom"/>
            <w:hideMark/>
          </w:tcPr>
          <w:p w14:paraId="18D81A2A"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5,05</w:t>
            </w:r>
          </w:p>
        </w:tc>
        <w:tc>
          <w:tcPr>
            <w:tcW w:w="643" w:type="dxa"/>
            <w:tcBorders>
              <w:top w:val="nil"/>
              <w:left w:val="nil"/>
              <w:bottom w:val="single" w:sz="4" w:space="0" w:color="auto"/>
              <w:right w:val="single" w:sz="4" w:space="0" w:color="auto"/>
            </w:tcBorders>
            <w:noWrap/>
            <w:vAlign w:val="bottom"/>
            <w:hideMark/>
          </w:tcPr>
          <w:p w14:paraId="35706A11"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757" w:type="dxa"/>
            <w:tcBorders>
              <w:top w:val="nil"/>
              <w:left w:val="nil"/>
              <w:bottom w:val="single" w:sz="4" w:space="0" w:color="auto"/>
              <w:right w:val="single" w:sz="4" w:space="0" w:color="auto"/>
            </w:tcBorders>
            <w:noWrap/>
            <w:vAlign w:val="bottom"/>
            <w:hideMark/>
          </w:tcPr>
          <w:p w14:paraId="34A1D97B"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w:t>
            </w:r>
          </w:p>
        </w:tc>
      </w:tr>
    </w:tbl>
    <w:p w14:paraId="6AA3D203" w14:textId="77777777" w:rsidR="00487E00" w:rsidRDefault="004B7B8A" w:rsidP="00487E00">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1565" w:name="_Toc79314056"/>
    </w:p>
    <w:p w14:paraId="3D2FEF4F" w14:textId="3E568974" w:rsidR="00077513" w:rsidRPr="00487E00" w:rsidRDefault="00077513" w:rsidP="00487E00">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64</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Rendimiento de maíz suave en grano seco para diversas dosis de magnesio evaluado en la provincia de Chimborazo 2012-2014.</w:t>
      </w:r>
      <w:bookmarkEnd w:id="1565"/>
    </w:p>
    <w:tbl>
      <w:tblPr>
        <w:tblW w:w="5580" w:type="dxa"/>
        <w:jc w:val="center"/>
        <w:tblCellMar>
          <w:left w:w="70" w:type="dxa"/>
          <w:right w:w="70" w:type="dxa"/>
        </w:tblCellMar>
        <w:tblLook w:val="04A0" w:firstRow="1" w:lastRow="0" w:firstColumn="1" w:lastColumn="0" w:noHBand="0" w:noVBand="1"/>
      </w:tblPr>
      <w:tblGrid>
        <w:gridCol w:w="2122"/>
        <w:gridCol w:w="1058"/>
        <w:gridCol w:w="643"/>
        <w:gridCol w:w="1757"/>
      </w:tblGrid>
      <w:tr w:rsidR="006227BB" w14:paraId="13CAF0DC" w14:textId="77777777" w:rsidTr="00056824">
        <w:trPr>
          <w:trHeight w:val="300"/>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6997ABBD" w14:textId="0D6052AE"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058" w:type="dxa"/>
            <w:tcBorders>
              <w:top w:val="single" w:sz="4" w:space="0" w:color="auto"/>
              <w:left w:val="nil"/>
              <w:bottom w:val="single" w:sz="4" w:space="0" w:color="auto"/>
              <w:right w:val="single" w:sz="4" w:space="0" w:color="auto"/>
            </w:tcBorders>
            <w:noWrap/>
            <w:vAlign w:val="bottom"/>
            <w:hideMark/>
          </w:tcPr>
          <w:p w14:paraId="7AA45E3A"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43" w:type="dxa"/>
            <w:tcBorders>
              <w:top w:val="single" w:sz="4" w:space="0" w:color="auto"/>
              <w:left w:val="nil"/>
              <w:bottom w:val="single" w:sz="4" w:space="0" w:color="auto"/>
              <w:right w:val="single" w:sz="4" w:space="0" w:color="auto"/>
            </w:tcBorders>
            <w:noWrap/>
            <w:vAlign w:val="bottom"/>
            <w:hideMark/>
          </w:tcPr>
          <w:p w14:paraId="0EBFDED8"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57" w:type="dxa"/>
            <w:tcBorders>
              <w:top w:val="single" w:sz="4" w:space="0" w:color="auto"/>
              <w:left w:val="nil"/>
              <w:bottom w:val="single" w:sz="4" w:space="0" w:color="auto"/>
              <w:right w:val="single" w:sz="4" w:space="0" w:color="auto"/>
            </w:tcBorders>
            <w:noWrap/>
            <w:vAlign w:val="bottom"/>
            <w:hideMark/>
          </w:tcPr>
          <w:p w14:paraId="71D4BD09" w14:textId="77777777" w:rsidR="006227BB" w:rsidRDefault="006227BB" w:rsidP="00487E0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6227BB" w14:paraId="478AE31C" w14:textId="77777777" w:rsidTr="00056824">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6B86E224"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058" w:type="dxa"/>
            <w:tcBorders>
              <w:top w:val="nil"/>
              <w:left w:val="nil"/>
              <w:bottom w:val="single" w:sz="4" w:space="0" w:color="auto"/>
              <w:right w:val="single" w:sz="4" w:space="0" w:color="auto"/>
            </w:tcBorders>
            <w:noWrap/>
            <w:vAlign w:val="bottom"/>
            <w:hideMark/>
          </w:tcPr>
          <w:p w14:paraId="309E5E17"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4,26</w:t>
            </w:r>
          </w:p>
        </w:tc>
        <w:tc>
          <w:tcPr>
            <w:tcW w:w="643" w:type="dxa"/>
            <w:tcBorders>
              <w:top w:val="nil"/>
              <w:left w:val="nil"/>
              <w:bottom w:val="single" w:sz="4" w:space="0" w:color="auto"/>
              <w:right w:val="single" w:sz="4" w:space="0" w:color="auto"/>
            </w:tcBorders>
            <w:noWrap/>
            <w:vAlign w:val="bottom"/>
            <w:hideMark/>
          </w:tcPr>
          <w:p w14:paraId="468C581F"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757" w:type="dxa"/>
            <w:tcBorders>
              <w:top w:val="nil"/>
              <w:left w:val="nil"/>
              <w:bottom w:val="single" w:sz="4" w:space="0" w:color="auto"/>
              <w:right w:val="single" w:sz="4" w:space="0" w:color="auto"/>
            </w:tcBorders>
            <w:noWrap/>
            <w:vAlign w:val="bottom"/>
            <w:hideMark/>
          </w:tcPr>
          <w:p w14:paraId="111D66D8"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0,31</w:t>
            </w:r>
          </w:p>
        </w:tc>
      </w:tr>
      <w:tr w:rsidR="006227BB" w14:paraId="67C80044" w14:textId="77777777" w:rsidTr="00056824">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363771EE"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058" w:type="dxa"/>
            <w:tcBorders>
              <w:top w:val="nil"/>
              <w:left w:val="nil"/>
              <w:bottom w:val="single" w:sz="4" w:space="0" w:color="auto"/>
              <w:right w:val="single" w:sz="4" w:space="0" w:color="auto"/>
            </w:tcBorders>
            <w:noWrap/>
            <w:vAlign w:val="bottom"/>
            <w:hideMark/>
          </w:tcPr>
          <w:p w14:paraId="081A7940"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4,46</w:t>
            </w:r>
          </w:p>
        </w:tc>
        <w:tc>
          <w:tcPr>
            <w:tcW w:w="643" w:type="dxa"/>
            <w:tcBorders>
              <w:top w:val="nil"/>
              <w:left w:val="nil"/>
              <w:bottom w:val="single" w:sz="4" w:space="0" w:color="auto"/>
              <w:right w:val="single" w:sz="4" w:space="0" w:color="auto"/>
            </w:tcBorders>
            <w:noWrap/>
            <w:vAlign w:val="bottom"/>
            <w:hideMark/>
          </w:tcPr>
          <w:p w14:paraId="7AAA5228"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w:t>
            </w:r>
          </w:p>
        </w:tc>
        <w:tc>
          <w:tcPr>
            <w:tcW w:w="1757" w:type="dxa"/>
            <w:tcBorders>
              <w:top w:val="nil"/>
              <w:left w:val="nil"/>
              <w:bottom w:val="single" w:sz="4" w:space="0" w:color="auto"/>
              <w:right w:val="single" w:sz="4" w:space="0" w:color="auto"/>
            </w:tcBorders>
            <w:noWrap/>
            <w:vAlign w:val="bottom"/>
            <w:hideMark/>
          </w:tcPr>
          <w:p w14:paraId="731EB46D"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0,11</w:t>
            </w:r>
          </w:p>
        </w:tc>
      </w:tr>
      <w:tr w:rsidR="006227BB" w14:paraId="4B20455F" w14:textId="77777777" w:rsidTr="00056824">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7EBF20F1"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058" w:type="dxa"/>
            <w:tcBorders>
              <w:top w:val="nil"/>
              <w:left w:val="nil"/>
              <w:bottom w:val="single" w:sz="4" w:space="0" w:color="auto"/>
              <w:right w:val="single" w:sz="4" w:space="0" w:color="auto"/>
            </w:tcBorders>
            <w:noWrap/>
            <w:vAlign w:val="bottom"/>
            <w:hideMark/>
          </w:tcPr>
          <w:p w14:paraId="055FC181"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4,76</w:t>
            </w:r>
          </w:p>
        </w:tc>
        <w:tc>
          <w:tcPr>
            <w:tcW w:w="643" w:type="dxa"/>
            <w:tcBorders>
              <w:top w:val="nil"/>
              <w:left w:val="nil"/>
              <w:bottom w:val="single" w:sz="4" w:space="0" w:color="auto"/>
              <w:right w:val="single" w:sz="4" w:space="0" w:color="auto"/>
            </w:tcBorders>
            <w:noWrap/>
            <w:vAlign w:val="bottom"/>
            <w:hideMark/>
          </w:tcPr>
          <w:p w14:paraId="458F2065"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57" w:type="dxa"/>
            <w:tcBorders>
              <w:top w:val="nil"/>
              <w:left w:val="nil"/>
              <w:bottom w:val="single" w:sz="4" w:space="0" w:color="auto"/>
              <w:right w:val="single" w:sz="4" w:space="0" w:color="auto"/>
            </w:tcBorders>
            <w:noWrap/>
            <w:vAlign w:val="bottom"/>
            <w:hideMark/>
          </w:tcPr>
          <w:p w14:paraId="1EDA94D1"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0,39</w:t>
            </w:r>
          </w:p>
        </w:tc>
      </w:tr>
      <w:tr w:rsidR="006227BB" w14:paraId="584030E0" w14:textId="77777777" w:rsidTr="00056824">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30122AB9"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1058" w:type="dxa"/>
            <w:tcBorders>
              <w:top w:val="nil"/>
              <w:left w:val="nil"/>
              <w:bottom w:val="single" w:sz="4" w:space="0" w:color="auto"/>
              <w:right w:val="single" w:sz="4" w:space="0" w:color="auto"/>
            </w:tcBorders>
            <w:noWrap/>
            <w:vAlign w:val="bottom"/>
            <w:hideMark/>
          </w:tcPr>
          <w:p w14:paraId="43FDD38C"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5,37</w:t>
            </w:r>
          </w:p>
        </w:tc>
        <w:tc>
          <w:tcPr>
            <w:tcW w:w="643" w:type="dxa"/>
            <w:tcBorders>
              <w:top w:val="nil"/>
              <w:left w:val="nil"/>
              <w:bottom w:val="single" w:sz="4" w:space="0" w:color="auto"/>
              <w:right w:val="single" w:sz="4" w:space="0" w:color="auto"/>
            </w:tcBorders>
            <w:noWrap/>
            <w:vAlign w:val="bottom"/>
            <w:hideMark/>
          </w:tcPr>
          <w:p w14:paraId="7BA9819D"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757" w:type="dxa"/>
            <w:tcBorders>
              <w:top w:val="nil"/>
              <w:left w:val="nil"/>
              <w:bottom w:val="single" w:sz="4" w:space="0" w:color="auto"/>
              <w:right w:val="single" w:sz="4" w:space="0" w:color="auto"/>
            </w:tcBorders>
            <w:noWrap/>
            <w:vAlign w:val="bottom"/>
            <w:hideMark/>
          </w:tcPr>
          <w:p w14:paraId="30DE697C" w14:textId="77777777" w:rsidR="006227BB" w:rsidRDefault="006227BB" w:rsidP="00487E0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0,44</w:t>
            </w:r>
          </w:p>
        </w:tc>
      </w:tr>
    </w:tbl>
    <w:p w14:paraId="319FE388" w14:textId="77777777" w:rsidR="00F4724C" w:rsidRDefault="00F4724C" w:rsidP="00F4724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42C02FEC" w14:textId="476FF4D4" w:rsidR="00F4724C" w:rsidRDefault="00FC53D5" w:rsidP="00487E00">
      <w:pPr>
        <w:autoSpaceDE w:val="0"/>
        <w:autoSpaceDN w:val="0"/>
        <w:adjustRightInd w:val="0"/>
        <w:spacing w:before="360" w:after="0" w:line="360" w:lineRule="auto"/>
        <w:rPr>
          <w:rFonts w:cs="Times New Roman"/>
          <w:bCs/>
          <w:szCs w:val="24"/>
        </w:rPr>
      </w:pPr>
      <w:r>
        <w:rPr>
          <w:rFonts w:cs="Times New Roman"/>
          <w:bCs/>
          <w:szCs w:val="24"/>
        </w:rPr>
        <w:t xml:space="preserve">El efecto de los nutrientes que fueron significativos (p&lt;0,001) </w:t>
      </w:r>
      <w:r w:rsidR="00F4724C">
        <w:rPr>
          <w:rFonts w:cs="Times New Roman"/>
          <w:bCs/>
          <w:szCs w:val="24"/>
        </w:rPr>
        <w:t xml:space="preserve">sobre el rendimiento de maíz en la provincia de Chimborazo </w:t>
      </w:r>
      <w:r w:rsidR="00CE436F">
        <w:rPr>
          <w:rFonts w:cs="Times New Roman"/>
          <w:bCs/>
          <w:szCs w:val="24"/>
        </w:rPr>
        <w:t xml:space="preserve">(nitrógeno) </w:t>
      </w:r>
      <w:r w:rsidR="00F4724C">
        <w:rPr>
          <w:rFonts w:cs="Times New Roman"/>
          <w:bCs/>
          <w:szCs w:val="24"/>
        </w:rPr>
        <w:t xml:space="preserve">se observa en </w:t>
      </w:r>
      <w:r w:rsidR="00185D16">
        <w:rPr>
          <w:rFonts w:cs="Times New Roman"/>
          <w:bCs/>
          <w:szCs w:val="24"/>
        </w:rPr>
        <w:t>la</w:t>
      </w:r>
      <w:r w:rsidR="00F4724C">
        <w:rPr>
          <w:rFonts w:cs="Times New Roman"/>
          <w:bCs/>
          <w:szCs w:val="24"/>
        </w:rPr>
        <w:t xml:space="preserve"> siguiente </w:t>
      </w:r>
      <w:r w:rsidR="005E3F98">
        <w:rPr>
          <w:rFonts w:cs="Times New Roman"/>
          <w:bCs/>
          <w:szCs w:val="24"/>
        </w:rPr>
        <w:t>figura:</w:t>
      </w:r>
      <w:r>
        <w:rPr>
          <w:rFonts w:cs="Times New Roman"/>
          <w:bCs/>
          <w:szCs w:val="24"/>
        </w:rPr>
        <w:t xml:space="preserve"> </w:t>
      </w:r>
    </w:p>
    <w:p w14:paraId="2D104A93" w14:textId="77777777" w:rsidR="00487E00" w:rsidRDefault="00487E00" w:rsidP="00487E00">
      <w:pPr>
        <w:autoSpaceDE w:val="0"/>
        <w:autoSpaceDN w:val="0"/>
        <w:adjustRightInd w:val="0"/>
        <w:spacing w:before="360" w:after="0" w:line="360" w:lineRule="auto"/>
        <w:rPr>
          <w:rFonts w:cs="Times New Roman"/>
          <w:bCs/>
          <w:szCs w:val="24"/>
        </w:rPr>
      </w:pPr>
    </w:p>
    <w:p w14:paraId="4B0C0E53" w14:textId="021F5E22" w:rsidR="00FC53D5" w:rsidRPr="00056824" w:rsidRDefault="00056824" w:rsidP="00135DE8">
      <w:pPr>
        <w:pStyle w:val="Prrafodelista"/>
        <w:numPr>
          <w:ilvl w:val="4"/>
          <w:numId w:val="6"/>
        </w:numPr>
        <w:autoSpaceDE w:val="0"/>
        <w:autoSpaceDN w:val="0"/>
        <w:adjustRightInd w:val="0"/>
        <w:spacing w:after="0" w:line="360" w:lineRule="auto"/>
        <w:rPr>
          <w:rFonts w:cs="Times New Roman"/>
          <w:bCs/>
          <w:szCs w:val="24"/>
        </w:rPr>
      </w:pPr>
      <w:r>
        <w:rPr>
          <w:rFonts w:cs="Times New Roman"/>
          <w:bCs/>
          <w:szCs w:val="24"/>
        </w:rPr>
        <w:lastRenderedPageBreak/>
        <w:t>Nitrógeno</w:t>
      </w:r>
    </w:p>
    <w:p w14:paraId="7C1E71D5" w14:textId="4677C3F0" w:rsidR="00F4724C" w:rsidRPr="004B66F2" w:rsidRDefault="00F4724C" w:rsidP="004B66F2">
      <w:pPr>
        <w:autoSpaceDE w:val="0"/>
        <w:autoSpaceDN w:val="0"/>
        <w:adjustRightInd w:val="0"/>
        <w:spacing w:after="0" w:line="360" w:lineRule="auto"/>
        <w:jc w:val="center"/>
        <w:rPr>
          <w:rFonts w:cs="Times New Roman"/>
          <w:szCs w:val="24"/>
        </w:rPr>
      </w:pPr>
      <w:r>
        <w:rPr>
          <w:rFonts w:cs="Times New Roman"/>
          <w:noProof/>
          <w:szCs w:val="24"/>
          <w:lang w:eastAsia="es-EC"/>
        </w:rPr>
        <w:drawing>
          <wp:inline distT="0" distB="0" distL="0" distR="0" wp14:anchorId="1660EA11" wp14:editId="17748855">
            <wp:extent cx="3941909" cy="2113109"/>
            <wp:effectExtent l="0" t="0" r="1905" b="1905"/>
            <wp:docPr id="14" name="Gráfico 14">
              <a:extLst xmlns:a="http://schemas.openxmlformats.org/drawingml/2006/main">
                <a:ext uri="{FF2B5EF4-FFF2-40B4-BE49-F238E27FC236}">
                  <a16:creationId xmlns:a16="http://schemas.microsoft.com/office/drawing/2014/main" id="{636AE960-0C94-4288-B4E1-1010ABB99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371776" w14:textId="2634E4A3" w:rsidR="00F4724C" w:rsidRDefault="005E3F98" w:rsidP="00F4724C">
      <w:pPr>
        <w:spacing w:line="360" w:lineRule="auto"/>
        <w:rPr>
          <w:rFonts w:cs="Times New Roman"/>
          <w:b/>
          <w:bCs/>
          <w:szCs w:val="24"/>
        </w:rPr>
      </w:pPr>
      <w:r w:rsidRPr="008A1EC1">
        <w:rPr>
          <w:rFonts w:cs="Times New Roman"/>
          <w:szCs w:val="24"/>
        </w:rPr>
        <w:t xml:space="preserve">Efecto de los macronutrientes </w:t>
      </w:r>
      <w:r>
        <w:rPr>
          <w:rFonts w:cs="Times New Roman"/>
          <w:szCs w:val="24"/>
        </w:rPr>
        <w:t xml:space="preserve">a) nitrógeno </w:t>
      </w:r>
      <w:r w:rsidRPr="008A1EC1">
        <w:rPr>
          <w:rFonts w:cs="Times New Roman"/>
          <w:szCs w:val="24"/>
        </w:rPr>
        <w:t>sobre</w:t>
      </w:r>
      <w:r w:rsidR="00954763">
        <w:rPr>
          <w:rFonts w:cs="Times New Roman"/>
          <w:szCs w:val="24"/>
        </w:rPr>
        <w:t xml:space="preserve"> el rendimiento de grano seco </w:t>
      </w:r>
      <w:r w:rsidRPr="008A1EC1">
        <w:rPr>
          <w:rFonts w:cs="Times New Roman"/>
          <w:szCs w:val="24"/>
        </w:rPr>
        <w:t>en maíz suave en la provincia de</w:t>
      </w:r>
      <w:r>
        <w:rPr>
          <w:rFonts w:cs="Times New Roman"/>
          <w:szCs w:val="24"/>
        </w:rPr>
        <w:t xml:space="preserve"> Chimborazo</w:t>
      </w:r>
    </w:p>
    <w:p w14:paraId="768BFF80" w14:textId="0CE38A92" w:rsidR="00F4724C" w:rsidRDefault="00F4724C" w:rsidP="00487E00">
      <w:pPr>
        <w:pStyle w:val="Ttulo3"/>
        <w:spacing w:before="360" w:after="360"/>
      </w:pPr>
      <w:bookmarkStart w:id="1566" w:name="_Toc80008429"/>
      <w:bookmarkStart w:id="1567" w:name="_Toc80312322"/>
      <w:r>
        <w:t>A</w:t>
      </w:r>
      <w:r w:rsidR="005F2CA6">
        <w:t>b</w:t>
      </w:r>
      <w:r>
        <w:t>sorción de nitrógeno (Kg</w:t>
      </w:r>
      <w:r>
        <w:rPr>
          <w:rFonts w:eastAsia="Times New Roman"/>
          <w:color w:val="000000"/>
          <w:lang w:eastAsia="es-EC"/>
        </w:rPr>
        <w:t>/</w:t>
      </w:r>
      <w:r>
        <w:t>ha</w:t>
      </w:r>
      <w:r>
        <w:rPr>
          <w:vertAlign w:val="superscript"/>
        </w:rPr>
        <w:t>-1</w:t>
      </w:r>
      <w:r>
        <w:t>)</w:t>
      </w:r>
      <w:bookmarkEnd w:id="1566"/>
      <w:bookmarkEnd w:id="1567"/>
      <w:r>
        <w:rPr>
          <w:color w:val="000000"/>
        </w:rPr>
        <w:t xml:space="preserve">  </w:t>
      </w:r>
      <w:r>
        <w:t xml:space="preserve"> </w:t>
      </w:r>
    </w:p>
    <w:p w14:paraId="271344A1" w14:textId="77777777" w:rsidR="00271A39" w:rsidRDefault="00F4724C" w:rsidP="00271A39">
      <w:pPr>
        <w:autoSpaceDE w:val="0"/>
        <w:autoSpaceDN w:val="0"/>
        <w:adjustRightInd w:val="0"/>
        <w:spacing w:after="0" w:line="360" w:lineRule="auto"/>
        <w:rPr>
          <w:rFonts w:cs="Times New Roman"/>
          <w:szCs w:val="24"/>
        </w:rPr>
      </w:pPr>
      <w:r>
        <w:rPr>
          <w:rFonts w:cs="Times New Roman"/>
          <w:szCs w:val="24"/>
        </w:rPr>
        <w:t>Al utilizar el modelo estadístico para a</w:t>
      </w:r>
      <w:r w:rsidR="005F2CA6">
        <w:rPr>
          <w:rFonts w:cs="Times New Roman"/>
          <w:szCs w:val="24"/>
        </w:rPr>
        <w:t>b</w:t>
      </w:r>
      <w:r>
        <w:rPr>
          <w:rFonts w:cs="Times New Roman"/>
          <w:szCs w:val="24"/>
        </w:rPr>
        <w:t>sorción total de nitrógeno, se detectaron diferencias estadísticas significativas (p &lt;0,05) para las fuentes de variación de nitrógeno, fósforo y magnesio; mientras que no fueron significativos para Parroquia, Dosis de potasio y azufre (</w:t>
      </w:r>
      <w:r w:rsidR="004B1300">
        <w:rPr>
          <w:rFonts w:cs="Times New Roman"/>
          <w:szCs w:val="24"/>
        </w:rPr>
        <w:t>Cuadro</w:t>
      </w:r>
      <w:r>
        <w:rPr>
          <w:rFonts w:cs="Times New Roman"/>
          <w:szCs w:val="24"/>
        </w:rPr>
        <w:t xml:space="preserve"> 55). Por lo tanto, las dosis de los fertilizantes con nitrógeno, fósforo y magnesio afectaron a esta variable. El promedio general de absorción de nitrógeno fue de 111,25 Kg/ha</w:t>
      </w:r>
      <w:r>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0,69 y un coeficie</w:t>
      </w:r>
      <w:r w:rsidR="00077513">
        <w:rPr>
          <w:rFonts w:cs="Times New Roman"/>
          <w:szCs w:val="24"/>
        </w:rPr>
        <w:t>nte de variación fue de 22,37%.</w:t>
      </w:r>
      <w:bookmarkStart w:id="1568" w:name="_Toc79314057"/>
    </w:p>
    <w:p w14:paraId="1F9A9D6B" w14:textId="12C98603" w:rsidR="00077513" w:rsidRPr="00271A39" w:rsidRDefault="00077513" w:rsidP="00271A39">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65</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Análisis de la Varianza y porcentaje de varianza para absorción de nitrógeno de maíz suave, evaluado en la provincia de Chimborazo (2012-2014).</w:t>
      </w:r>
      <w:bookmarkEnd w:id="1568"/>
    </w:p>
    <w:tbl>
      <w:tblPr>
        <w:tblW w:w="5000" w:type="pct"/>
        <w:tblCellMar>
          <w:left w:w="70" w:type="dxa"/>
          <w:right w:w="70" w:type="dxa"/>
        </w:tblCellMar>
        <w:tblLook w:val="04A0" w:firstRow="1" w:lastRow="0" w:firstColumn="1" w:lastColumn="0" w:noHBand="0" w:noVBand="1"/>
      </w:tblPr>
      <w:tblGrid>
        <w:gridCol w:w="1613"/>
        <w:gridCol w:w="1160"/>
        <w:gridCol w:w="955"/>
        <w:gridCol w:w="955"/>
        <w:gridCol w:w="955"/>
        <w:gridCol w:w="955"/>
        <w:gridCol w:w="1334"/>
      </w:tblGrid>
      <w:tr w:rsidR="00F4724C" w14:paraId="5A3AAAC8" w14:textId="77777777" w:rsidTr="00077513">
        <w:trPr>
          <w:trHeight w:val="300"/>
        </w:trPr>
        <w:tc>
          <w:tcPr>
            <w:tcW w:w="1038" w:type="pct"/>
            <w:tcBorders>
              <w:top w:val="single" w:sz="4" w:space="0" w:color="auto"/>
              <w:left w:val="single" w:sz="4" w:space="0" w:color="auto"/>
              <w:bottom w:val="single" w:sz="4" w:space="0" w:color="auto"/>
              <w:right w:val="single" w:sz="4" w:space="0" w:color="auto"/>
            </w:tcBorders>
            <w:noWrap/>
            <w:vAlign w:val="bottom"/>
            <w:hideMark/>
          </w:tcPr>
          <w:p w14:paraId="03A87034"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683" w:type="pct"/>
            <w:tcBorders>
              <w:top w:val="single" w:sz="4" w:space="0" w:color="auto"/>
              <w:left w:val="nil"/>
              <w:bottom w:val="single" w:sz="4" w:space="0" w:color="auto"/>
              <w:right w:val="single" w:sz="4" w:space="0" w:color="auto"/>
            </w:tcBorders>
            <w:noWrap/>
            <w:vAlign w:val="bottom"/>
            <w:hideMark/>
          </w:tcPr>
          <w:p w14:paraId="6FE53FD2"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623" w:type="pct"/>
            <w:tcBorders>
              <w:top w:val="single" w:sz="4" w:space="0" w:color="auto"/>
              <w:left w:val="nil"/>
              <w:bottom w:val="single" w:sz="4" w:space="0" w:color="auto"/>
              <w:right w:val="single" w:sz="4" w:space="0" w:color="auto"/>
            </w:tcBorders>
            <w:noWrap/>
            <w:vAlign w:val="bottom"/>
            <w:hideMark/>
          </w:tcPr>
          <w:p w14:paraId="48CE5FB0"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Gl</w:t>
            </w:r>
          </w:p>
        </w:tc>
        <w:tc>
          <w:tcPr>
            <w:tcW w:w="623" w:type="pct"/>
            <w:tcBorders>
              <w:top w:val="single" w:sz="4" w:space="0" w:color="auto"/>
              <w:left w:val="nil"/>
              <w:bottom w:val="single" w:sz="4" w:space="0" w:color="auto"/>
              <w:right w:val="single" w:sz="4" w:space="0" w:color="auto"/>
            </w:tcBorders>
            <w:noWrap/>
            <w:vAlign w:val="bottom"/>
            <w:hideMark/>
          </w:tcPr>
          <w:p w14:paraId="3039BB47"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623" w:type="pct"/>
            <w:tcBorders>
              <w:top w:val="single" w:sz="4" w:space="0" w:color="auto"/>
              <w:left w:val="nil"/>
              <w:bottom w:val="single" w:sz="4" w:space="0" w:color="auto"/>
              <w:right w:val="single" w:sz="4" w:space="0" w:color="auto"/>
            </w:tcBorders>
            <w:noWrap/>
            <w:vAlign w:val="bottom"/>
            <w:hideMark/>
          </w:tcPr>
          <w:p w14:paraId="31D2728D"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623" w:type="pct"/>
            <w:tcBorders>
              <w:top w:val="single" w:sz="4" w:space="0" w:color="auto"/>
              <w:left w:val="nil"/>
              <w:bottom w:val="single" w:sz="4" w:space="0" w:color="auto"/>
              <w:right w:val="single" w:sz="4" w:space="0" w:color="auto"/>
            </w:tcBorders>
            <w:noWrap/>
            <w:vAlign w:val="bottom"/>
            <w:hideMark/>
          </w:tcPr>
          <w:p w14:paraId="71816A4E"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785" w:type="pct"/>
            <w:tcBorders>
              <w:top w:val="single" w:sz="4" w:space="0" w:color="auto"/>
              <w:left w:val="nil"/>
              <w:bottom w:val="single" w:sz="4" w:space="0" w:color="auto"/>
              <w:right w:val="single" w:sz="4" w:space="0" w:color="auto"/>
            </w:tcBorders>
            <w:noWrap/>
            <w:vAlign w:val="bottom"/>
            <w:hideMark/>
          </w:tcPr>
          <w:p w14:paraId="0CD81F6F"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Variable %</w:t>
            </w:r>
          </w:p>
        </w:tc>
      </w:tr>
      <w:tr w:rsidR="00F4724C" w14:paraId="672E44D4"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17B6A31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83" w:type="pct"/>
            <w:tcBorders>
              <w:top w:val="nil"/>
              <w:left w:val="nil"/>
              <w:bottom w:val="single" w:sz="4" w:space="0" w:color="auto"/>
              <w:right w:val="single" w:sz="4" w:space="0" w:color="auto"/>
            </w:tcBorders>
            <w:noWrap/>
            <w:vAlign w:val="bottom"/>
            <w:hideMark/>
          </w:tcPr>
          <w:p w14:paraId="549C249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80104,85</w:t>
            </w:r>
          </w:p>
        </w:tc>
        <w:tc>
          <w:tcPr>
            <w:tcW w:w="623" w:type="pct"/>
            <w:tcBorders>
              <w:top w:val="nil"/>
              <w:left w:val="nil"/>
              <w:bottom w:val="single" w:sz="4" w:space="0" w:color="auto"/>
              <w:right w:val="single" w:sz="4" w:space="0" w:color="auto"/>
            </w:tcBorders>
            <w:noWrap/>
            <w:vAlign w:val="bottom"/>
            <w:hideMark/>
          </w:tcPr>
          <w:p w14:paraId="0534904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623" w:type="pct"/>
            <w:tcBorders>
              <w:top w:val="nil"/>
              <w:left w:val="nil"/>
              <w:bottom w:val="single" w:sz="4" w:space="0" w:color="auto"/>
              <w:right w:val="single" w:sz="4" w:space="0" w:color="auto"/>
            </w:tcBorders>
            <w:noWrap/>
            <w:vAlign w:val="bottom"/>
            <w:hideMark/>
          </w:tcPr>
          <w:p w14:paraId="4C8F719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3641,13</w:t>
            </w:r>
          </w:p>
        </w:tc>
        <w:tc>
          <w:tcPr>
            <w:tcW w:w="623" w:type="pct"/>
            <w:tcBorders>
              <w:top w:val="nil"/>
              <w:left w:val="nil"/>
              <w:bottom w:val="single" w:sz="4" w:space="0" w:color="auto"/>
              <w:right w:val="single" w:sz="4" w:space="0" w:color="auto"/>
            </w:tcBorders>
            <w:noWrap/>
            <w:vAlign w:val="bottom"/>
            <w:hideMark/>
          </w:tcPr>
          <w:p w14:paraId="3606B05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5,88</w:t>
            </w:r>
          </w:p>
        </w:tc>
        <w:tc>
          <w:tcPr>
            <w:tcW w:w="623" w:type="pct"/>
            <w:tcBorders>
              <w:top w:val="nil"/>
              <w:left w:val="nil"/>
              <w:bottom w:val="single" w:sz="4" w:space="0" w:color="auto"/>
              <w:right w:val="single" w:sz="4" w:space="0" w:color="auto"/>
            </w:tcBorders>
            <w:noWrap/>
            <w:vAlign w:val="bottom"/>
            <w:hideMark/>
          </w:tcPr>
          <w:p w14:paraId="39A7A95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785" w:type="pct"/>
            <w:tcBorders>
              <w:top w:val="nil"/>
              <w:left w:val="nil"/>
              <w:bottom w:val="single" w:sz="4" w:space="0" w:color="auto"/>
              <w:right w:val="single" w:sz="4" w:space="0" w:color="auto"/>
            </w:tcBorders>
            <w:noWrap/>
            <w:vAlign w:val="bottom"/>
            <w:hideMark/>
          </w:tcPr>
          <w:p w14:paraId="701816C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68,68</w:t>
            </w:r>
          </w:p>
        </w:tc>
      </w:tr>
      <w:tr w:rsidR="00F4724C" w14:paraId="1B881613"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75135AF2"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683" w:type="pct"/>
            <w:tcBorders>
              <w:top w:val="nil"/>
              <w:left w:val="nil"/>
              <w:bottom w:val="single" w:sz="4" w:space="0" w:color="auto"/>
              <w:right w:val="single" w:sz="4" w:space="0" w:color="auto"/>
            </w:tcBorders>
            <w:noWrap/>
            <w:vAlign w:val="bottom"/>
            <w:hideMark/>
          </w:tcPr>
          <w:p w14:paraId="0294DF4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3680,38</w:t>
            </w:r>
          </w:p>
        </w:tc>
        <w:tc>
          <w:tcPr>
            <w:tcW w:w="623" w:type="pct"/>
            <w:tcBorders>
              <w:top w:val="nil"/>
              <w:left w:val="nil"/>
              <w:bottom w:val="single" w:sz="4" w:space="0" w:color="auto"/>
              <w:right w:val="single" w:sz="4" w:space="0" w:color="auto"/>
            </w:tcBorders>
            <w:noWrap/>
            <w:vAlign w:val="bottom"/>
            <w:hideMark/>
          </w:tcPr>
          <w:p w14:paraId="2445F62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23" w:type="pct"/>
            <w:tcBorders>
              <w:top w:val="nil"/>
              <w:left w:val="nil"/>
              <w:bottom w:val="single" w:sz="4" w:space="0" w:color="auto"/>
              <w:right w:val="single" w:sz="4" w:space="0" w:color="auto"/>
            </w:tcBorders>
            <w:noWrap/>
            <w:vAlign w:val="bottom"/>
            <w:hideMark/>
          </w:tcPr>
          <w:p w14:paraId="2B01878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1840,19</w:t>
            </w:r>
          </w:p>
        </w:tc>
        <w:tc>
          <w:tcPr>
            <w:tcW w:w="623" w:type="pct"/>
            <w:tcBorders>
              <w:top w:val="nil"/>
              <w:left w:val="nil"/>
              <w:bottom w:val="single" w:sz="4" w:space="0" w:color="auto"/>
              <w:right w:val="single" w:sz="4" w:space="0" w:color="auto"/>
            </w:tcBorders>
            <w:noWrap/>
            <w:vAlign w:val="bottom"/>
            <w:hideMark/>
          </w:tcPr>
          <w:p w14:paraId="74B8D72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2,97</w:t>
            </w:r>
          </w:p>
        </w:tc>
        <w:tc>
          <w:tcPr>
            <w:tcW w:w="623" w:type="pct"/>
            <w:tcBorders>
              <w:top w:val="nil"/>
              <w:left w:val="nil"/>
              <w:bottom w:val="single" w:sz="4" w:space="0" w:color="auto"/>
              <w:right w:val="single" w:sz="4" w:space="0" w:color="auto"/>
            </w:tcBorders>
            <w:noWrap/>
            <w:vAlign w:val="bottom"/>
            <w:hideMark/>
          </w:tcPr>
          <w:p w14:paraId="7221D05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0,0589</w:t>
            </w:r>
          </w:p>
        </w:tc>
        <w:tc>
          <w:tcPr>
            <w:tcW w:w="785" w:type="pct"/>
            <w:tcBorders>
              <w:top w:val="nil"/>
              <w:left w:val="nil"/>
              <w:bottom w:val="single" w:sz="4" w:space="0" w:color="auto"/>
              <w:right w:val="single" w:sz="4" w:space="0" w:color="auto"/>
            </w:tcBorders>
            <w:noWrap/>
            <w:vAlign w:val="bottom"/>
            <w:hideMark/>
          </w:tcPr>
          <w:p w14:paraId="1642CB9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3,16</w:t>
            </w:r>
          </w:p>
        </w:tc>
      </w:tr>
      <w:tr w:rsidR="00F4724C" w14:paraId="40929838"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4EC3AAA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83" w:type="pct"/>
            <w:tcBorders>
              <w:top w:val="nil"/>
              <w:left w:val="nil"/>
              <w:bottom w:val="single" w:sz="4" w:space="0" w:color="auto"/>
              <w:right w:val="single" w:sz="4" w:space="0" w:color="auto"/>
            </w:tcBorders>
            <w:noWrap/>
            <w:vAlign w:val="bottom"/>
            <w:hideMark/>
          </w:tcPr>
          <w:p w14:paraId="4377652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53748,13</w:t>
            </w:r>
          </w:p>
        </w:tc>
        <w:tc>
          <w:tcPr>
            <w:tcW w:w="623" w:type="pct"/>
            <w:tcBorders>
              <w:top w:val="nil"/>
              <w:left w:val="nil"/>
              <w:bottom w:val="single" w:sz="4" w:space="0" w:color="auto"/>
              <w:right w:val="single" w:sz="4" w:space="0" w:color="auto"/>
            </w:tcBorders>
            <w:noWrap/>
            <w:vAlign w:val="bottom"/>
            <w:hideMark/>
          </w:tcPr>
          <w:p w14:paraId="567116E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w:t>
            </w:r>
          </w:p>
        </w:tc>
        <w:tc>
          <w:tcPr>
            <w:tcW w:w="623" w:type="pct"/>
            <w:tcBorders>
              <w:top w:val="nil"/>
              <w:left w:val="nil"/>
              <w:bottom w:val="single" w:sz="4" w:space="0" w:color="auto"/>
              <w:right w:val="single" w:sz="4" w:space="0" w:color="auto"/>
            </w:tcBorders>
            <w:noWrap/>
            <w:vAlign w:val="bottom"/>
            <w:hideMark/>
          </w:tcPr>
          <w:p w14:paraId="4B88BEE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7678,3</w:t>
            </w:r>
          </w:p>
        </w:tc>
        <w:tc>
          <w:tcPr>
            <w:tcW w:w="623" w:type="pct"/>
            <w:tcBorders>
              <w:top w:val="nil"/>
              <w:left w:val="nil"/>
              <w:bottom w:val="single" w:sz="4" w:space="0" w:color="auto"/>
              <w:right w:val="single" w:sz="4" w:space="0" w:color="auto"/>
            </w:tcBorders>
            <w:noWrap/>
            <w:vAlign w:val="bottom"/>
            <w:hideMark/>
          </w:tcPr>
          <w:p w14:paraId="580FE6ED"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12,4</w:t>
            </w:r>
          </w:p>
        </w:tc>
        <w:tc>
          <w:tcPr>
            <w:tcW w:w="623" w:type="pct"/>
            <w:tcBorders>
              <w:top w:val="nil"/>
              <w:left w:val="nil"/>
              <w:bottom w:val="single" w:sz="4" w:space="0" w:color="auto"/>
              <w:right w:val="single" w:sz="4" w:space="0" w:color="auto"/>
            </w:tcBorders>
            <w:noWrap/>
            <w:vAlign w:val="bottom"/>
            <w:hideMark/>
          </w:tcPr>
          <w:p w14:paraId="751AF17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785" w:type="pct"/>
            <w:tcBorders>
              <w:top w:val="nil"/>
              <w:left w:val="nil"/>
              <w:bottom w:val="single" w:sz="4" w:space="0" w:color="auto"/>
              <w:right w:val="single" w:sz="4" w:space="0" w:color="auto"/>
            </w:tcBorders>
            <w:noWrap/>
            <w:vAlign w:val="bottom"/>
            <w:hideMark/>
          </w:tcPr>
          <w:p w14:paraId="25AEDE4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46,08</w:t>
            </w:r>
          </w:p>
        </w:tc>
      </w:tr>
      <w:tr w:rsidR="00F4724C" w14:paraId="6DFA9ABA"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52E6864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83" w:type="pct"/>
            <w:tcBorders>
              <w:top w:val="nil"/>
              <w:left w:val="nil"/>
              <w:bottom w:val="single" w:sz="4" w:space="0" w:color="auto"/>
              <w:right w:val="single" w:sz="4" w:space="0" w:color="auto"/>
            </w:tcBorders>
            <w:noWrap/>
            <w:vAlign w:val="bottom"/>
            <w:hideMark/>
          </w:tcPr>
          <w:p w14:paraId="70BABEF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10015,24</w:t>
            </w:r>
          </w:p>
        </w:tc>
        <w:tc>
          <w:tcPr>
            <w:tcW w:w="623" w:type="pct"/>
            <w:tcBorders>
              <w:top w:val="nil"/>
              <w:left w:val="nil"/>
              <w:bottom w:val="single" w:sz="4" w:space="0" w:color="auto"/>
              <w:right w:val="single" w:sz="4" w:space="0" w:color="auto"/>
            </w:tcBorders>
            <w:noWrap/>
            <w:vAlign w:val="bottom"/>
            <w:hideMark/>
          </w:tcPr>
          <w:p w14:paraId="473BF94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23" w:type="pct"/>
            <w:tcBorders>
              <w:top w:val="nil"/>
              <w:left w:val="nil"/>
              <w:bottom w:val="single" w:sz="4" w:space="0" w:color="auto"/>
              <w:right w:val="single" w:sz="4" w:space="0" w:color="auto"/>
            </w:tcBorders>
            <w:noWrap/>
            <w:vAlign w:val="bottom"/>
            <w:hideMark/>
          </w:tcPr>
          <w:p w14:paraId="62D69E1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2503,81</w:t>
            </w:r>
          </w:p>
        </w:tc>
        <w:tc>
          <w:tcPr>
            <w:tcW w:w="623" w:type="pct"/>
            <w:tcBorders>
              <w:top w:val="nil"/>
              <w:left w:val="nil"/>
              <w:bottom w:val="single" w:sz="4" w:space="0" w:color="auto"/>
              <w:right w:val="single" w:sz="4" w:space="0" w:color="auto"/>
            </w:tcBorders>
            <w:noWrap/>
            <w:vAlign w:val="bottom"/>
            <w:hideMark/>
          </w:tcPr>
          <w:p w14:paraId="5E7C946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4,04</w:t>
            </w:r>
          </w:p>
        </w:tc>
        <w:tc>
          <w:tcPr>
            <w:tcW w:w="623" w:type="pct"/>
            <w:tcBorders>
              <w:top w:val="nil"/>
              <w:left w:val="nil"/>
              <w:bottom w:val="single" w:sz="4" w:space="0" w:color="auto"/>
              <w:right w:val="single" w:sz="4" w:space="0" w:color="auto"/>
            </w:tcBorders>
            <w:noWrap/>
            <w:vAlign w:val="bottom"/>
            <w:hideMark/>
          </w:tcPr>
          <w:p w14:paraId="6C56136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0,0058</w:t>
            </w:r>
          </w:p>
        </w:tc>
        <w:tc>
          <w:tcPr>
            <w:tcW w:w="785" w:type="pct"/>
            <w:tcBorders>
              <w:top w:val="nil"/>
              <w:left w:val="nil"/>
              <w:bottom w:val="single" w:sz="4" w:space="0" w:color="auto"/>
              <w:right w:val="single" w:sz="4" w:space="0" w:color="auto"/>
            </w:tcBorders>
            <w:noWrap/>
            <w:vAlign w:val="bottom"/>
            <w:hideMark/>
          </w:tcPr>
          <w:p w14:paraId="3D33240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8,59</w:t>
            </w:r>
          </w:p>
        </w:tc>
      </w:tr>
      <w:tr w:rsidR="00F4724C" w14:paraId="0C5063B9"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420EBE8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83" w:type="pct"/>
            <w:tcBorders>
              <w:top w:val="nil"/>
              <w:left w:val="nil"/>
              <w:bottom w:val="single" w:sz="4" w:space="0" w:color="auto"/>
              <w:right w:val="single" w:sz="4" w:space="0" w:color="auto"/>
            </w:tcBorders>
            <w:noWrap/>
            <w:vAlign w:val="bottom"/>
            <w:hideMark/>
          </w:tcPr>
          <w:p w14:paraId="4AAFABFD"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2690,25</w:t>
            </w:r>
          </w:p>
        </w:tc>
        <w:tc>
          <w:tcPr>
            <w:tcW w:w="623" w:type="pct"/>
            <w:tcBorders>
              <w:top w:val="nil"/>
              <w:left w:val="nil"/>
              <w:bottom w:val="single" w:sz="4" w:space="0" w:color="auto"/>
              <w:right w:val="single" w:sz="4" w:space="0" w:color="auto"/>
            </w:tcBorders>
            <w:noWrap/>
            <w:vAlign w:val="bottom"/>
            <w:hideMark/>
          </w:tcPr>
          <w:p w14:paraId="5065E12D"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23" w:type="pct"/>
            <w:tcBorders>
              <w:top w:val="nil"/>
              <w:left w:val="nil"/>
              <w:bottom w:val="single" w:sz="4" w:space="0" w:color="auto"/>
              <w:right w:val="single" w:sz="4" w:space="0" w:color="auto"/>
            </w:tcBorders>
            <w:noWrap/>
            <w:vAlign w:val="bottom"/>
            <w:hideMark/>
          </w:tcPr>
          <w:p w14:paraId="6F7C542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672,56</w:t>
            </w:r>
          </w:p>
        </w:tc>
        <w:tc>
          <w:tcPr>
            <w:tcW w:w="623" w:type="pct"/>
            <w:tcBorders>
              <w:top w:val="nil"/>
              <w:left w:val="nil"/>
              <w:bottom w:val="single" w:sz="4" w:space="0" w:color="auto"/>
              <w:right w:val="single" w:sz="4" w:space="0" w:color="auto"/>
            </w:tcBorders>
            <w:noWrap/>
            <w:vAlign w:val="bottom"/>
            <w:hideMark/>
          </w:tcPr>
          <w:p w14:paraId="0FB4A5E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1,09</w:t>
            </w:r>
          </w:p>
        </w:tc>
        <w:tc>
          <w:tcPr>
            <w:tcW w:w="623" w:type="pct"/>
            <w:tcBorders>
              <w:top w:val="nil"/>
              <w:left w:val="nil"/>
              <w:bottom w:val="single" w:sz="4" w:space="0" w:color="auto"/>
              <w:right w:val="single" w:sz="4" w:space="0" w:color="auto"/>
            </w:tcBorders>
            <w:noWrap/>
            <w:vAlign w:val="bottom"/>
            <w:hideMark/>
          </w:tcPr>
          <w:p w14:paraId="204E151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0,3718</w:t>
            </w:r>
          </w:p>
        </w:tc>
        <w:tc>
          <w:tcPr>
            <w:tcW w:w="785" w:type="pct"/>
            <w:tcBorders>
              <w:top w:val="nil"/>
              <w:left w:val="nil"/>
              <w:bottom w:val="single" w:sz="4" w:space="0" w:color="auto"/>
              <w:right w:val="single" w:sz="4" w:space="0" w:color="auto"/>
            </w:tcBorders>
            <w:noWrap/>
            <w:vAlign w:val="bottom"/>
            <w:hideMark/>
          </w:tcPr>
          <w:p w14:paraId="6E8C02B2"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2,31</w:t>
            </w:r>
          </w:p>
        </w:tc>
      </w:tr>
      <w:tr w:rsidR="00F4724C" w14:paraId="6A9555F0"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030E69D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83" w:type="pct"/>
            <w:tcBorders>
              <w:top w:val="nil"/>
              <w:left w:val="nil"/>
              <w:bottom w:val="single" w:sz="4" w:space="0" w:color="auto"/>
              <w:right w:val="single" w:sz="4" w:space="0" w:color="auto"/>
            </w:tcBorders>
            <w:noWrap/>
            <w:vAlign w:val="bottom"/>
            <w:hideMark/>
          </w:tcPr>
          <w:p w14:paraId="5AFEB7A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2937</w:t>
            </w:r>
          </w:p>
        </w:tc>
        <w:tc>
          <w:tcPr>
            <w:tcW w:w="623" w:type="pct"/>
            <w:tcBorders>
              <w:top w:val="nil"/>
              <w:left w:val="nil"/>
              <w:bottom w:val="single" w:sz="4" w:space="0" w:color="auto"/>
              <w:right w:val="single" w:sz="4" w:space="0" w:color="auto"/>
            </w:tcBorders>
            <w:noWrap/>
            <w:vAlign w:val="bottom"/>
            <w:hideMark/>
          </w:tcPr>
          <w:p w14:paraId="78D7EF4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623" w:type="pct"/>
            <w:tcBorders>
              <w:top w:val="nil"/>
              <w:left w:val="nil"/>
              <w:bottom w:val="single" w:sz="4" w:space="0" w:color="auto"/>
              <w:right w:val="single" w:sz="4" w:space="0" w:color="auto"/>
            </w:tcBorders>
            <w:noWrap/>
            <w:vAlign w:val="bottom"/>
            <w:hideMark/>
          </w:tcPr>
          <w:p w14:paraId="0F04ADA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979</w:t>
            </w:r>
          </w:p>
        </w:tc>
        <w:tc>
          <w:tcPr>
            <w:tcW w:w="623" w:type="pct"/>
            <w:tcBorders>
              <w:top w:val="nil"/>
              <w:left w:val="nil"/>
              <w:bottom w:val="single" w:sz="4" w:space="0" w:color="auto"/>
              <w:right w:val="single" w:sz="4" w:space="0" w:color="auto"/>
            </w:tcBorders>
            <w:noWrap/>
            <w:vAlign w:val="bottom"/>
            <w:hideMark/>
          </w:tcPr>
          <w:p w14:paraId="41868E3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1,58</w:t>
            </w:r>
          </w:p>
        </w:tc>
        <w:tc>
          <w:tcPr>
            <w:tcW w:w="623" w:type="pct"/>
            <w:tcBorders>
              <w:top w:val="nil"/>
              <w:left w:val="nil"/>
              <w:bottom w:val="single" w:sz="4" w:space="0" w:color="auto"/>
              <w:right w:val="single" w:sz="4" w:space="0" w:color="auto"/>
            </w:tcBorders>
            <w:noWrap/>
            <w:vAlign w:val="bottom"/>
            <w:hideMark/>
          </w:tcPr>
          <w:p w14:paraId="620A0CA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0,2036</w:t>
            </w:r>
          </w:p>
        </w:tc>
        <w:tc>
          <w:tcPr>
            <w:tcW w:w="785" w:type="pct"/>
            <w:tcBorders>
              <w:top w:val="nil"/>
              <w:left w:val="nil"/>
              <w:bottom w:val="single" w:sz="4" w:space="0" w:color="auto"/>
              <w:right w:val="single" w:sz="4" w:space="0" w:color="auto"/>
            </w:tcBorders>
            <w:noWrap/>
            <w:vAlign w:val="bottom"/>
            <w:hideMark/>
          </w:tcPr>
          <w:p w14:paraId="3694192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2,52</w:t>
            </w:r>
          </w:p>
        </w:tc>
      </w:tr>
      <w:tr w:rsidR="00F4724C" w14:paraId="28420FC3"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7E0ECC8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683" w:type="pct"/>
            <w:tcBorders>
              <w:top w:val="nil"/>
              <w:left w:val="nil"/>
              <w:bottom w:val="single" w:sz="4" w:space="0" w:color="auto"/>
              <w:right w:val="single" w:sz="4" w:space="0" w:color="auto"/>
            </w:tcBorders>
            <w:noWrap/>
            <w:vAlign w:val="bottom"/>
            <w:hideMark/>
          </w:tcPr>
          <w:p w14:paraId="18CA1A7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7033,84</w:t>
            </w:r>
          </w:p>
        </w:tc>
        <w:tc>
          <w:tcPr>
            <w:tcW w:w="623" w:type="pct"/>
            <w:tcBorders>
              <w:top w:val="nil"/>
              <w:left w:val="nil"/>
              <w:bottom w:val="single" w:sz="4" w:space="0" w:color="auto"/>
              <w:right w:val="single" w:sz="4" w:space="0" w:color="auto"/>
            </w:tcBorders>
            <w:noWrap/>
            <w:vAlign w:val="bottom"/>
            <w:hideMark/>
          </w:tcPr>
          <w:p w14:paraId="1C64ECA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23" w:type="pct"/>
            <w:tcBorders>
              <w:top w:val="nil"/>
              <w:left w:val="nil"/>
              <w:bottom w:val="single" w:sz="4" w:space="0" w:color="auto"/>
              <w:right w:val="single" w:sz="4" w:space="0" w:color="auto"/>
            </w:tcBorders>
            <w:noWrap/>
            <w:vAlign w:val="bottom"/>
            <w:hideMark/>
          </w:tcPr>
          <w:p w14:paraId="66D8158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3516,92</w:t>
            </w:r>
          </w:p>
        </w:tc>
        <w:tc>
          <w:tcPr>
            <w:tcW w:w="623" w:type="pct"/>
            <w:tcBorders>
              <w:top w:val="nil"/>
              <w:left w:val="nil"/>
              <w:bottom w:val="single" w:sz="4" w:space="0" w:color="auto"/>
              <w:right w:val="single" w:sz="4" w:space="0" w:color="auto"/>
            </w:tcBorders>
            <w:noWrap/>
            <w:vAlign w:val="bottom"/>
            <w:hideMark/>
          </w:tcPr>
          <w:p w14:paraId="0ABE480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5,68</w:t>
            </w:r>
          </w:p>
        </w:tc>
        <w:tc>
          <w:tcPr>
            <w:tcW w:w="623" w:type="pct"/>
            <w:tcBorders>
              <w:top w:val="nil"/>
              <w:left w:val="nil"/>
              <w:bottom w:val="single" w:sz="4" w:space="0" w:color="auto"/>
              <w:right w:val="single" w:sz="4" w:space="0" w:color="auto"/>
            </w:tcBorders>
            <w:noWrap/>
            <w:vAlign w:val="bottom"/>
            <w:hideMark/>
          </w:tcPr>
          <w:p w14:paraId="40DE6E5E"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0,0056</w:t>
            </w:r>
          </w:p>
        </w:tc>
        <w:tc>
          <w:tcPr>
            <w:tcW w:w="785" w:type="pct"/>
            <w:tcBorders>
              <w:top w:val="nil"/>
              <w:left w:val="nil"/>
              <w:bottom w:val="single" w:sz="4" w:space="0" w:color="auto"/>
              <w:right w:val="single" w:sz="4" w:space="0" w:color="auto"/>
            </w:tcBorders>
            <w:noWrap/>
            <w:vAlign w:val="bottom"/>
            <w:hideMark/>
          </w:tcPr>
          <w:p w14:paraId="303CD19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6,03</w:t>
            </w:r>
          </w:p>
        </w:tc>
      </w:tr>
      <w:tr w:rsidR="00F4724C" w14:paraId="0617384F"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0963674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83" w:type="pct"/>
            <w:tcBorders>
              <w:top w:val="nil"/>
              <w:left w:val="nil"/>
              <w:bottom w:val="single" w:sz="4" w:space="0" w:color="auto"/>
              <w:right w:val="single" w:sz="4" w:space="0" w:color="auto"/>
            </w:tcBorders>
            <w:noWrap/>
            <w:vAlign w:val="bottom"/>
            <w:hideMark/>
          </w:tcPr>
          <w:p w14:paraId="457D2A6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36537,86</w:t>
            </w:r>
          </w:p>
        </w:tc>
        <w:tc>
          <w:tcPr>
            <w:tcW w:w="623" w:type="pct"/>
            <w:tcBorders>
              <w:top w:val="nil"/>
              <w:left w:val="nil"/>
              <w:bottom w:val="single" w:sz="4" w:space="0" w:color="auto"/>
              <w:right w:val="single" w:sz="4" w:space="0" w:color="auto"/>
            </w:tcBorders>
            <w:noWrap/>
            <w:vAlign w:val="bottom"/>
            <w:hideMark/>
          </w:tcPr>
          <w:p w14:paraId="6DD008E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59</w:t>
            </w:r>
          </w:p>
        </w:tc>
        <w:tc>
          <w:tcPr>
            <w:tcW w:w="623" w:type="pct"/>
            <w:tcBorders>
              <w:top w:val="nil"/>
              <w:left w:val="nil"/>
              <w:bottom w:val="single" w:sz="4" w:space="0" w:color="auto"/>
              <w:right w:val="single" w:sz="4" w:space="0" w:color="auto"/>
            </w:tcBorders>
            <w:noWrap/>
            <w:vAlign w:val="bottom"/>
            <w:hideMark/>
          </w:tcPr>
          <w:p w14:paraId="60F195A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619,29</w:t>
            </w:r>
          </w:p>
        </w:tc>
        <w:tc>
          <w:tcPr>
            <w:tcW w:w="623" w:type="pct"/>
            <w:tcBorders>
              <w:top w:val="nil"/>
              <w:left w:val="nil"/>
              <w:bottom w:val="single" w:sz="4" w:space="0" w:color="auto"/>
              <w:right w:val="single" w:sz="4" w:space="0" w:color="auto"/>
            </w:tcBorders>
            <w:noWrap/>
            <w:vAlign w:val="bottom"/>
            <w:hideMark/>
          </w:tcPr>
          <w:p w14:paraId="2F07E41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23" w:type="pct"/>
            <w:tcBorders>
              <w:top w:val="nil"/>
              <w:left w:val="nil"/>
              <w:bottom w:val="single" w:sz="4" w:space="0" w:color="auto"/>
              <w:right w:val="single" w:sz="4" w:space="0" w:color="auto"/>
            </w:tcBorders>
            <w:noWrap/>
            <w:vAlign w:val="bottom"/>
            <w:hideMark/>
          </w:tcPr>
          <w:p w14:paraId="5CC622D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5" w:type="pct"/>
            <w:tcBorders>
              <w:top w:val="nil"/>
              <w:left w:val="nil"/>
              <w:bottom w:val="single" w:sz="4" w:space="0" w:color="auto"/>
              <w:right w:val="single" w:sz="4" w:space="0" w:color="auto"/>
            </w:tcBorders>
            <w:noWrap/>
            <w:vAlign w:val="bottom"/>
            <w:hideMark/>
          </w:tcPr>
          <w:p w14:paraId="38328B4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31,32</w:t>
            </w:r>
          </w:p>
        </w:tc>
      </w:tr>
      <w:tr w:rsidR="00F4724C" w14:paraId="3230E04D" w14:textId="77777777" w:rsidTr="00077513">
        <w:trPr>
          <w:trHeight w:val="300"/>
        </w:trPr>
        <w:tc>
          <w:tcPr>
            <w:tcW w:w="1038" w:type="pct"/>
            <w:tcBorders>
              <w:top w:val="nil"/>
              <w:left w:val="single" w:sz="4" w:space="0" w:color="auto"/>
              <w:bottom w:val="single" w:sz="4" w:space="0" w:color="auto"/>
              <w:right w:val="single" w:sz="4" w:space="0" w:color="auto"/>
            </w:tcBorders>
            <w:noWrap/>
            <w:vAlign w:val="bottom"/>
            <w:hideMark/>
          </w:tcPr>
          <w:p w14:paraId="43D7E3A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83" w:type="pct"/>
            <w:tcBorders>
              <w:top w:val="nil"/>
              <w:left w:val="nil"/>
              <w:bottom w:val="single" w:sz="4" w:space="0" w:color="auto"/>
              <w:right w:val="single" w:sz="4" w:space="0" w:color="auto"/>
            </w:tcBorders>
            <w:noWrap/>
            <w:vAlign w:val="bottom"/>
            <w:hideMark/>
          </w:tcPr>
          <w:p w14:paraId="4C46276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116642,71</w:t>
            </w:r>
          </w:p>
        </w:tc>
        <w:tc>
          <w:tcPr>
            <w:tcW w:w="623" w:type="pct"/>
            <w:tcBorders>
              <w:top w:val="nil"/>
              <w:left w:val="nil"/>
              <w:bottom w:val="single" w:sz="4" w:space="0" w:color="auto"/>
              <w:right w:val="single" w:sz="4" w:space="0" w:color="auto"/>
            </w:tcBorders>
            <w:noWrap/>
            <w:vAlign w:val="bottom"/>
            <w:hideMark/>
          </w:tcPr>
          <w:p w14:paraId="3A63A10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w:t>
            </w:r>
          </w:p>
        </w:tc>
        <w:tc>
          <w:tcPr>
            <w:tcW w:w="623" w:type="pct"/>
            <w:tcBorders>
              <w:top w:val="nil"/>
              <w:left w:val="nil"/>
              <w:bottom w:val="single" w:sz="4" w:space="0" w:color="auto"/>
              <w:right w:val="single" w:sz="4" w:space="0" w:color="auto"/>
            </w:tcBorders>
            <w:noWrap/>
            <w:vAlign w:val="bottom"/>
            <w:hideMark/>
          </w:tcPr>
          <w:p w14:paraId="1B25128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23" w:type="pct"/>
            <w:tcBorders>
              <w:top w:val="nil"/>
              <w:left w:val="nil"/>
              <w:bottom w:val="single" w:sz="4" w:space="0" w:color="auto"/>
              <w:right w:val="single" w:sz="4" w:space="0" w:color="auto"/>
            </w:tcBorders>
            <w:noWrap/>
            <w:vAlign w:val="bottom"/>
            <w:hideMark/>
          </w:tcPr>
          <w:p w14:paraId="7844E3D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23" w:type="pct"/>
            <w:tcBorders>
              <w:top w:val="nil"/>
              <w:left w:val="nil"/>
              <w:bottom w:val="single" w:sz="4" w:space="0" w:color="auto"/>
              <w:right w:val="single" w:sz="4" w:space="0" w:color="auto"/>
            </w:tcBorders>
            <w:noWrap/>
            <w:vAlign w:val="bottom"/>
            <w:hideMark/>
          </w:tcPr>
          <w:p w14:paraId="05E49EC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5" w:type="pct"/>
            <w:tcBorders>
              <w:top w:val="nil"/>
              <w:left w:val="nil"/>
              <w:bottom w:val="single" w:sz="4" w:space="0" w:color="auto"/>
              <w:right w:val="single" w:sz="4" w:space="0" w:color="auto"/>
            </w:tcBorders>
            <w:noWrap/>
            <w:vAlign w:val="bottom"/>
            <w:hideMark/>
          </w:tcPr>
          <w:p w14:paraId="2EACB1E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2F461690" w14:textId="313D68FF" w:rsidR="00F4724C" w:rsidRDefault="00F4724C" w:rsidP="00F4724C">
      <w:pPr>
        <w:autoSpaceDE w:val="0"/>
        <w:autoSpaceDN w:val="0"/>
        <w:adjustRightInd w:val="0"/>
        <w:spacing w:after="0" w:line="360" w:lineRule="auto"/>
        <w:rPr>
          <w:rFonts w:cs="Times New Roman"/>
          <w:bCs/>
          <w:szCs w:val="24"/>
        </w:rPr>
      </w:pPr>
      <w:r>
        <w:rPr>
          <w:rFonts w:cs="Times New Roman"/>
          <w:bCs/>
          <w:szCs w:val="24"/>
        </w:rPr>
        <w:lastRenderedPageBreak/>
        <w:t>El modelo estadístico establecido explica el 68,68% de la variación observada en los datos; siendo nitrógeno el nutriente más importante que explica el 46,08% de la variación observada. Un 31,32% de la variación se les atribuyó a efectos aleatorios que el modelo no pudo explicar (error). El fósforo y el magnesio explicaron el 8,59% y 6,03% de a</w:t>
      </w:r>
      <w:r w:rsidR="005F2CA6">
        <w:rPr>
          <w:rFonts w:cs="Times New Roman"/>
          <w:bCs/>
          <w:szCs w:val="24"/>
        </w:rPr>
        <w:t>b</w:t>
      </w:r>
      <w:r>
        <w:rPr>
          <w:rFonts w:cs="Times New Roman"/>
          <w:bCs/>
          <w:szCs w:val="24"/>
        </w:rPr>
        <w:t>sorción de nitrógeno, respectivamente. El resto de nutrientes potasio y azufre explicaron menos del 5% de absorción de nitrógeno (</w:t>
      </w:r>
      <w:r w:rsidR="004B1300">
        <w:rPr>
          <w:rFonts w:cs="Times New Roman"/>
          <w:bCs/>
          <w:szCs w:val="24"/>
        </w:rPr>
        <w:t>Cuadro</w:t>
      </w:r>
      <w:r w:rsidR="005E1F24">
        <w:rPr>
          <w:rFonts w:cs="Times New Roman"/>
          <w:bCs/>
          <w:szCs w:val="24"/>
        </w:rPr>
        <w:t xml:space="preserve"> </w:t>
      </w:r>
      <w:r w:rsidR="0039325D">
        <w:rPr>
          <w:rFonts w:cs="Times New Roman"/>
          <w:bCs/>
          <w:szCs w:val="24"/>
        </w:rPr>
        <w:t>65</w:t>
      </w:r>
      <w:r>
        <w:rPr>
          <w:rFonts w:cs="Times New Roman"/>
          <w:bCs/>
          <w:szCs w:val="24"/>
        </w:rPr>
        <w:t xml:space="preserve">).  </w:t>
      </w:r>
    </w:p>
    <w:p w14:paraId="6497B9A6" w14:textId="6D40D4F9" w:rsidR="00271A39" w:rsidRDefault="00F4724C" w:rsidP="00271A39">
      <w:pPr>
        <w:autoSpaceDE w:val="0"/>
        <w:autoSpaceDN w:val="0"/>
        <w:adjustRightInd w:val="0"/>
        <w:spacing w:before="360" w:after="0" w:line="360" w:lineRule="auto"/>
        <w:rPr>
          <w:rFonts w:cs="Times New Roman"/>
          <w:bCs/>
          <w:szCs w:val="24"/>
        </w:rPr>
      </w:pPr>
      <w:r>
        <w:rPr>
          <w:rFonts w:cs="Times New Roman"/>
          <w:bCs/>
          <w:szCs w:val="24"/>
        </w:rPr>
        <w:t>En los cuadros 6</w:t>
      </w:r>
      <w:r w:rsidR="0039325D">
        <w:rPr>
          <w:rFonts w:cs="Times New Roman"/>
          <w:bCs/>
          <w:szCs w:val="24"/>
        </w:rPr>
        <w:t>5</w:t>
      </w:r>
      <w:r>
        <w:rPr>
          <w:rFonts w:cs="Times New Roman"/>
          <w:bCs/>
          <w:szCs w:val="24"/>
        </w:rPr>
        <w:t>, 6</w:t>
      </w:r>
      <w:r w:rsidR="0039325D">
        <w:rPr>
          <w:rFonts w:cs="Times New Roman"/>
          <w:bCs/>
          <w:szCs w:val="24"/>
        </w:rPr>
        <w:t>6</w:t>
      </w:r>
      <w:r>
        <w:rPr>
          <w:rFonts w:cs="Times New Roman"/>
          <w:bCs/>
          <w:szCs w:val="24"/>
        </w:rPr>
        <w:t>, 6</w:t>
      </w:r>
      <w:r w:rsidR="0039325D">
        <w:rPr>
          <w:rFonts w:cs="Times New Roman"/>
          <w:bCs/>
          <w:szCs w:val="24"/>
        </w:rPr>
        <w:t>7</w:t>
      </w:r>
      <w:r>
        <w:rPr>
          <w:rFonts w:cs="Times New Roman"/>
          <w:bCs/>
          <w:szCs w:val="24"/>
        </w:rPr>
        <w:t>, 6</w:t>
      </w:r>
      <w:r w:rsidR="0039325D">
        <w:rPr>
          <w:rFonts w:cs="Times New Roman"/>
          <w:bCs/>
          <w:szCs w:val="24"/>
        </w:rPr>
        <w:t>8</w:t>
      </w:r>
      <w:r>
        <w:rPr>
          <w:rFonts w:cs="Times New Roman"/>
          <w:bCs/>
          <w:szCs w:val="24"/>
        </w:rPr>
        <w:t>,</w:t>
      </w:r>
      <w:r w:rsidR="0039325D">
        <w:rPr>
          <w:rFonts w:cs="Times New Roman"/>
          <w:bCs/>
          <w:szCs w:val="24"/>
        </w:rPr>
        <w:t xml:space="preserve">69 y </w:t>
      </w:r>
      <w:r>
        <w:rPr>
          <w:rFonts w:cs="Times New Roman"/>
          <w:bCs/>
          <w:szCs w:val="24"/>
        </w:rPr>
        <w:t xml:space="preserve"> </w:t>
      </w:r>
      <w:r w:rsidR="005A6120">
        <w:rPr>
          <w:rFonts w:cs="Times New Roman"/>
          <w:bCs/>
          <w:szCs w:val="24"/>
        </w:rPr>
        <w:t>7</w:t>
      </w:r>
      <w:r>
        <w:rPr>
          <w:rFonts w:cs="Times New Roman"/>
          <w:bCs/>
          <w:szCs w:val="24"/>
        </w:rPr>
        <w:t>0 se presentan los promedios y el error estándar de a</w:t>
      </w:r>
      <w:r w:rsidR="0005222C">
        <w:rPr>
          <w:rFonts w:cs="Times New Roman"/>
          <w:bCs/>
          <w:szCs w:val="24"/>
        </w:rPr>
        <w:t>b</w:t>
      </w:r>
      <w:r>
        <w:rPr>
          <w:rFonts w:cs="Times New Roman"/>
          <w:bCs/>
          <w:szCs w:val="24"/>
        </w:rPr>
        <w:t xml:space="preserve">sorción de nitrógeno por efecto de las localidades (parroquia) y los niveles de nitrógeno, fósforo, potasio, azufre, magnesio con su respectiva prueba de Lsd Fisher (alfa=0,05).  </w:t>
      </w:r>
      <w:bookmarkStart w:id="1569" w:name="_Toc79314058"/>
    </w:p>
    <w:p w14:paraId="02D00DAA" w14:textId="09F113E4" w:rsidR="00077513" w:rsidRPr="00271A39" w:rsidRDefault="00077513" w:rsidP="00271A39">
      <w:pPr>
        <w:autoSpaceDE w:val="0"/>
        <w:autoSpaceDN w:val="0"/>
        <w:adjustRightInd w:val="0"/>
        <w:spacing w:before="360" w:after="0" w:line="360" w:lineRule="auto"/>
        <w:rPr>
          <w:rFonts w:cs="Times New Roman"/>
          <w:bCs/>
          <w:szCs w:val="24"/>
        </w:rPr>
      </w:pPr>
      <w:r w:rsidRPr="00077513">
        <w:rPr>
          <w:rFonts w:cs="Times New Roman"/>
          <w:b/>
          <w:bCs/>
          <w:szCs w:val="24"/>
        </w:rPr>
        <w:t xml:space="preserve">Cuadro </w:t>
      </w:r>
      <w:r w:rsidRPr="00077513">
        <w:rPr>
          <w:rFonts w:cs="Times New Roman"/>
          <w:b/>
          <w:bCs/>
          <w:i/>
          <w:iCs/>
          <w:szCs w:val="24"/>
        </w:rPr>
        <w:fldChar w:fldCharType="begin"/>
      </w:r>
      <w:r w:rsidRPr="00077513">
        <w:rPr>
          <w:rFonts w:cs="Times New Roman"/>
          <w:b/>
          <w:bCs/>
          <w:szCs w:val="24"/>
        </w:rPr>
        <w:instrText xml:space="preserve"> SEQ Cuadro \* ARABIC </w:instrText>
      </w:r>
      <w:r w:rsidRPr="00077513">
        <w:rPr>
          <w:rFonts w:cs="Times New Roman"/>
          <w:b/>
          <w:bCs/>
          <w:i/>
          <w:iCs/>
          <w:szCs w:val="24"/>
        </w:rPr>
        <w:fldChar w:fldCharType="separate"/>
      </w:r>
      <w:r w:rsidR="000D1F55">
        <w:rPr>
          <w:rFonts w:cs="Times New Roman"/>
          <w:b/>
          <w:bCs/>
          <w:noProof/>
          <w:szCs w:val="24"/>
        </w:rPr>
        <w:t>66</w:t>
      </w:r>
      <w:r w:rsidRPr="00077513">
        <w:rPr>
          <w:rFonts w:cs="Times New Roman"/>
          <w:b/>
          <w:bCs/>
          <w:i/>
          <w:iCs/>
          <w:szCs w:val="24"/>
        </w:rPr>
        <w:fldChar w:fldCharType="end"/>
      </w:r>
      <w:r w:rsidRPr="00077513">
        <w:rPr>
          <w:rFonts w:cs="Times New Roman"/>
          <w:b/>
          <w:bCs/>
          <w:szCs w:val="24"/>
        </w:rPr>
        <w:t xml:space="preserve">. </w:t>
      </w:r>
      <w:r w:rsidRPr="00077513">
        <w:rPr>
          <w:rFonts w:cs="Times New Roman"/>
          <w:bCs/>
          <w:szCs w:val="24"/>
        </w:rPr>
        <w:t>Absorción total de nitrógeno, evaluado por localidades (parroquia) en la provincia de Chimborazo 2012-2014</w:t>
      </w:r>
      <w:bookmarkEnd w:id="1569"/>
    </w:p>
    <w:tbl>
      <w:tblPr>
        <w:tblW w:w="5560" w:type="dxa"/>
        <w:jc w:val="center"/>
        <w:tblCellMar>
          <w:left w:w="70" w:type="dxa"/>
          <w:right w:w="70" w:type="dxa"/>
        </w:tblCellMar>
        <w:tblLook w:val="04A0" w:firstRow="1" w:lastRow="0" w:firstColumn="1" w:lastColumn="0" w:noHBand="0" w:noVBand="1"/>
      </w:tblPr>
      <w:tblGrid>
        <w:gridCol w:w="1960"/>
        <w:gridCol w:w="1200"/>
        <w:gridCol w:w="663"/>
        <w:gridCol w:w="1737"/>
      </w:tblGrid>
      <w:tr w:rsidR="006227BB" w14:paraId="478B58B4" w14:textId="77777777" w:rsidTr="00056824">
        <w:trPr>
          <w:trHeight w:val="30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490AA4C7" w14:textId="77777777" w:rsidR="006227BB" w:rsidRDefault="006227BB"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Parroquia</w:t>
            </w:r>
          </w:p>
        </w:tc>
        <w:tc>
          <w:tcPr>
            <w:tcW w:w="1200" w:type="dxa"/>
            <w:tcBorders>
              <w:top w:val="single" w:sz="4" w:space="0" w:color="auto"/>
              <w:left w:val="nil"/>
              <w:bottom w:val="single" w:sz="4" w:space="0" w:color="auto"/>
              <w:right w:val="single" w:sz="4" w:space="0" w:color="auto"/>
            </w:tcBorders>
            <w:noWrap/>
            <w:vAlign w:val="bottom"/>
            <w:hideMark/>
          </w:tcPr>
          <w:p w14:paraId="386044DA" w14:textId="77777777" w:rsidR="006227BB" w:rsidRDefault="006227BB"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63" w:type="dxa"/>
            <w:tcBorders>
              <w:top w:val="single" w:sz="4" w:space="0" w:color="auto"/>
              <w:left w:val="nil"/>
              <w:bottom w:val="single" w:sz="4" w:space="0" w:color="auto"/>
              <w:right w:val="single" w:sz="4" w:space="0" w:color="auto"/>
            </w:tcBorders>
            <w:noWrap/>
            <w:vAlign w:val="bottom"/>
            <w:hideMark/>
          </w:tcPr>
          <w:p w14:paraId="603E41E0" w14:textId="77777777" w:rsidR="006227BB" w:rsidRDefault="006227BB"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37" w:type="dxa"/>
            <w:tcBorders>
              <w:top w:val="single" w:sz="4" w:space="0" w:color="auto"/>
              <w:left w:val="nil"/>
              <w:bottom w:val="single" w:sz="4" w:space="0" w:color="auto"/>
              <w:right w:val="single" w:sz="4" w:space="0" w:color="auto"/>
            </w:tcBorders>
            <w:noWrap/>
            <w:vAlign w:val="bottom"/>
            <w:hideMark/>
          </w:tcPr>
          <w:p w14:paraId="4F7210AE" w14:textId="77777777" w:rsidR="006227BB" w:rsidRDefault="006227BB"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6227BB" w14:paraId="60D0C62B" w14:textId="77777777" w:rsidTr="00056824">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47D6C396"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Quimiag  </w:t>
            </w:r>
          </w:p>
        </w:tc>
        <w:tc>
          <w:tcPr>
            <w:tcW w:w="1200" w:type="dxa"/>
            <w:tcBorders>
              <w:top w:val="nil"/>
              <w:left w:val="nil"/>
              <w:bottom w:val="single" w:sz="4" w:space="0" w:color="auto"/>
              <w:right w:val="single" w:sz="4" w:space="0" w:color="auto"/>
            </w:tcBorders>
            <w:noWrap/>
            <w:vAlign w:val="bottom"/>
            <w:hideMark/>
          </w:tcPr>
          <w:p w14:paraId="151A354D"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103,32</w:t>
            </w:r>
          </w:p>
        </w:tc>
        <w:tc>
          <w:tcPr>
            <w:tcW w:w="663" w:type="dxa"/>
            <w:tcBorders>
              <w:top w:val="nil"/>
              <w:left w:val="nil"/>
              <w:bottom w:val="single" w:sz="4" w:space="0" w:color="auto"/>
              <w:right w:val="single" w:sz="4" w:space="0" w:color="auto"/>
            </w:tcBorders>
            <w:noWrap/>
            <w:vAlign w:val="bottom"/>
            <w:hideMark/>
          </w:tcPr>
          <w:p w14:paraId="297B7C5A"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1737" w:type="dxa"/>
            <w:tcBorders>
              <w:top w:val="nil"/>
              <w:left w:val="nil"/>
              <w:bottom w:val="single" w:sz="4" w:space="0" w:color="auto"/>
              <w:right w:val="single" w:sz="4" w:space="0" w:color="auto"/>
            </w:tcBorders>
            <w:noWrap/>
            <w:vAlign w:val="bottom"/>
            <w:hideMark/>
          </w:tcPr>
          <w:p w14:paraId="015E5713"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3,82</w:t>
            </w:r>
          </w:p>
        </w:tc>
      </w:tr>
      <w:tr w:rsidR="006227BB" w14:paraId="23478758" w14:textId="77777777" w:rsidTr="00056824">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444F4CC1"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Licto    </w:t>
            </w:r>
          </w:p>
        </w:tc>
        <w:tc>
          <w:tcPr>
            <w:tcW w:w="1200" w:type="dxa"/>
            <w:tcBorders>
              <w:top w:val="nil"/>
              <w:left w:val="nil"/>
              <w:bottom w:val="single" w:sz="4" w:space="0" w:color="auto"/>
              <w:right w:val="single" w:sz="4" w:space="0" w:color="auto"/>
            </w:tcBorders>
            <w:noWrap/>
            <w:vAlign w:val="bottom"/>
            <w:hideMark/>
          </w:tcPr>
          <w:p w14:paraId="31406447"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111,85</w:t>
            </w:r>
          </w:p>
        </w:tc>
        <w:tc>
          <w:tcPr>
            <w:tcW w:w="663" w:type="dxa"/>
            <w:tcBorders>
              <w:top w:val="nil"/>
              <w:left w:val="nil"/>
              <w:bottom w:val="single" w:sz="4" w:space="0" w:color="auto"/>
              <w:right w:val="single" w:sz="4" w:space="0" w:color="auto"/>
            </w:tcBorders>
            <w:noWrap/>
            <w:vAlign w:val="bottom"/>
            <w:hideMark/>
          </w:tcPr>
          <w:p w14:paraId="0E53BB4F"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737" w:type="dxa"/>
            <w:tcBorders>
              <w:top w:val="nil"/>
              <w:left w:val="nil"/>
              <w:bottom w:val="single" w:sz="4" w:space="0" w:color="auto"/>
              <w:right w:val="single" w:sz="4" w:space="0" w:color="auto"/>
            </w:tcBorders>
            <w:noWrap/>
            <w:vAlign w:val="bottom"/>
            <w:hideMark/>
          </w:tcPr>
          <w:p w14:paraId="3D456C10"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5,41</w:t>
            </w:r>
          </w:p>
        </w:tc>
      </w:tr>
      <w:tr w:rsidR="006227BB" w14:paraId="011DDB1C" w14:textId="77777777" w:rsidTr="00056824">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A1FEE00"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Chazo    </w:t>
            </w:r>
          </w:p>
        </w:tc>
        <w:tc>
          <w:tcPr>
            <w:tcW w:w="1200" w:type="dxa"/>
            <w:tcBorders>
              <w:top w:val="nil"/>
              <w:left w:val="nil"/>
              <w:bottom w:val="single" w:sz="4" w:space="0" w:color="auto"/>
              <w:right w:val="single" w:sz="4" w:space="0" w:color="auto"/>
            </w:tcBorders>
            <w:noWrap/>
            <w:vAlign w:val="bottom"/>
            <w:hideMark/>
          </w:tcPr>
          <w:p w14:paraId="05FA1DDE"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115,87</w:t>
            </w:r>
          </w:p>
        </w:tc>
        <w:tc>
          <w:tcPr>
            <w:tcW w:w="663" w:type="dxa"/>
            <w:tcBorders>
              <w:top w:val="nil"/>
              <w:left w:val="nil"/>
              <w:bottom w:val="single" w:sz="4" w:space="0" w:color="auto"/>
              <w:right w:val="single" w:sz="4" w:space="0" w:color="auto"/>
            </w:tcBorders>
            <w:noWrap/>
            <w:vAlign w:val="bottom"/>
            <w:hideMark/>
          </w:tcPr>
          <w:p w14:paraId="67587309"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37" w:type="dxa"/>
            <w:tcBorders>
              <w:top w:val="nil"/>
              <w:left w:val="nil"/>
              <w:bottom w:val="single" w:sz="4" w:space="0" w:color="auto"/>
              <w:right w:val="single" w:sz="4" w:space="0" w:color="auto"/>
            </w:tcBorders>
            <w:noWrap/>
            <w:vAlign w:val="bottom"/>
            <w:hideMark/>
          </w:tcPr>
          <w:p w14:paraId="4742129C" w14:textId="77777777" w:rsidR="006227BB" w:rsidRDefault="006227BB"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7,39</w:t>
            </w:r>
          </w:p>
        </w:tc>
      </w:tr>
    </w:tbl>
    <w:p w14:paraId="6AF62055" w14:textId="77777777" w:rsidR="00271A39" w:rsidRDefault="00F4724C" w:rsidP="00271A39">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1570" w:name="_Toc79314059"/>
    </w:p>
    <w:p w14:paraId="041094C1" w14:textId="08B8995C" w:rsidR="00077513" w:rsidRPr="00271A39" w:rsidRDefault="00077513" w:rsidP="00271A39">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67</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nitrógeno para diversas dosis de nitrógeno evaluadas evaluado en la provincia de Chimborazo 2012-2014.</w:t>
      </w:r>
      <w:bookmarkEnd w:id="1570"/>
    </w:p>
    <w:tbl>
      <w:tblPr>
        <w:tblW w:w="7960" w:type="dxa"/>
        <w:tblCellMar>
          <w:left w:w="70" w:type="dxa"/>
          <w:right w:w="70" w:type="dxa"/>
        </w:tblCellMar>
        <w:tblLook w:val="04A0" w:firstRow="1" w:lastRow="0" w:firstColumn="1" w:lastColumn="0" w:noHBand="0" w:noVBand="1"/>
      </w:tblPr>
      <w:tblGrid>
        <w:gridCol w:w="1960"/>
        <w:gridCol w:w="1200"/>
        <w:gridCol w:w="663"/>
        <w:gridCol w:w="1737"/>
        <w:gridCol w:w="1200"/>
        <w:gridCol w:w="1200"/>
      </w:tblGrid>
      <w:tr w:rsidR="00F4724C" w14:paraId="21D430BB" w14:textId="77777777" w:rsidTr="00F4724C">
        <w:trPr>
          <w:trHeight w:val="300"/>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36435392"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200" w:type="dxa"/>
            <w:tcBorders>
              <w:top w:val="single" w:sz="4" w:space="0" w:color="auto"/>
              <w:left w:val="nil"/>
              <w:bottom w:val="single" w:sz="4" w:space="0" w:color="auto"/>
              <w:right w:val="single" w:sz="4" w:space="0" w:color="auto"/>
            </w:tcBorders>
            <w:noWrap/>
            <w:vAlign w:val="bottom"/>
            <w:hideMark/>
          </w:tcPr>
          <w:p w14:paraId="4FE9EAB8"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63" w:type="dxa"/>
            <w:tcBorders>
              <w:top w:val="single" w:sz="4" w:space="0" w:color="auto"/>
              <w:left w:val="nil"/>
              <w:bottom w:val="single" w:sz="4" w:space="0" w:color="auto"/>
              <w:right w:val="single" w:sz="4" w:space="0" w:color="auto"/>
            </w:tcBorders>
            <w:noWrap/>
            <w:vAlign w:val="bottom"/>
            <w:hideMark/>
          </w:tcPr>
          <w:p w14:paraId="5BDE7726"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37" w:type="dxa"/>
            <w:tcBorders>
              <w:top w:val="single" w:sz="4" w:space="0" w:color="auto"/>
              <w:left w:val="nil"/>
              <w:bottom w:val="single" w:sz="4" w:space="0" w:color="auto"/>
              <w:right w:val="single" w:sz="4" w:space="0" w:color="auto"/>
            </w:tcBorders>
            <w:noWrap/>
            <w:vAlign w:val="bottom"/>
            <w:hideMark/>
          </w:tcPr>
          <w:p w14:paraId="008DD2A3"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5BD664EB" w14:textId="77777777" w:rsidR="00F4724C" w:rsidRDefault="00F4724C" w:rsidP="00271A39">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Lsd  </w:t>
            </w:r>
          </w:p>
        </w:tc>
        <w:tc>
          <w:tcPr>
            <w:tcW w:w="1200" w:type="dxa"/>
            <w:tcBorders>
              <w:top w:val="single" w:sz="4" w:space="0" w:color="auto"/>
              <w:left w:val="nil"/>
              <w:bottom w:val="single" w:sz="4" w:space="0" w:color="auto"/>
              <w:right w:val="single" w:sz="4" w:space="0" w:color="auto"/>
            </w:tcBorders>
            <w:noWrap/>
            <w:vAlign w:val="bottom"/>
            <w:hideMark/>
          </w:tcPr>
          <w:p w14:paraId="4AEA83EE" w14:textId="77777777" w:rsidR="00F4724C" w:rsidRDefault="00F4724C" w:rsidP="00271A39">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6DEE44F9"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645E45A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200" w:type="dxa"/>
            <w:tcBorders>
              <w:top w:val="nil"/>
              <w:left w:val="nil"/>
              <w:bottom w:val="single" w:sz="4" w:space="0" w:color="auto"/>
              <w:right w:val="single" w:sz="4" w:space="0" w:color="auto"/>
            </w:tcBorders>
            <w:noWrap/>
            <w:vAlign w:val="bottom"/>
            <w:hideMark/>
          </w:tcPr>
          <w:p w14:paraId="0FA32210" w14:textId="59F63103"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76,1</w:t>
            </w:r>
            <w:r w:rsidR="004C1A4D">
              <w:rPr>
                <w:rFonts w:eastAsia="Times New Roman" w:cs="Times New Roman"/>
                <w:color w:val="000000"/>
                <w:szCs w:val="24"/>
                <w:lang w:eastAsia="es-EC"/>
              </w:rPr>
              <w:t>0</w:t>
            </w:r>
          </w:p>
        </w:tc>
        <w:tc>
          <w:tcPr>
            <w:tcW w:w="663" w:type="dxa"/>
            <w:tcBorders>
              <w:top w:val="nil"/>
              <w:left w:val="nil"/>
              <w:bottom w:val="single" w:sz="4" w:space="0" w:color="auto"/>
              <w:right w:val="single" w:sz="4" w:space="0" w:color="auto"/>
            </w:tcBorders>
            <w:noWrap/>
            <w:vAlign w:val="bottom"/>
            <w:hideMark/>
          </w:tcPr>
          <w:p w14:paraId="005E861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37" w:type="dxa"/>
            <w:tcBorders>
              <w:top w:val="nil"/>
              <w:left w:val="nil"/>
              <w:bottom w:val="single" w:sz="4" w:space="0" w:color="auto"/>
              <w:right w:val="single" w:sz="4" w:space="0" w:color="auto"/>
            </w:tcBorders>
            <w:noWrap/>
            <w:vAlign w:val="bottom"/>
            <w:hideMark/>
          </w:tcPr>
          <w:p w14:paraId="454B2F1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25,54</w:t>
            </w:r>
          </w:p>
        </w:tc>
        <w:tc>
          <w:tcPr>
            <w:tcW w:w="1200" w:type="dxa"/>
            <w:tcBorders>
              <w:top w:val="single" w:sz="4" w:space="0" w:color="auto"/>
              <w:left w:val="nil"/>
              <w:bottom w:val="single" w:sz="4" w:space="0" w:color="auto"/>
              <w:right w:val="single" w:sz="4" w:space="0" w:color="auto"/>
            </w:tcBorders>
            <w:noWrap/>
            <w:vAlign w:val="bottom"/>
            <w:hideMark/>
          </w:tcPr>
          <w:p w14:paraId="705A868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5BE7FD5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CB56199"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68D8ECE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1200" w:type="dxa"/>
            <w:tcBorders>
              <w:top w:val="nil"/>
              <w:left w:val="nil"/>
              <w:bottom w:val="single" w:sz="4" w:space="0" w:color="auto"/>
              <w:right w:val="single" w:sz="4" w:space="0" w:color="auto"/>
            </w:tcBorders>
            <w:noWrap/>
            <w:vAlign w:val="bottom"/>
            <w:hideMark/>
          </w:tcPr>
          <w:p w14:paraId="6505623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85,24</w:t>
            </w:r>
          </w:p>
        </w:tc>
        <w:tc>
          <w:tcPr>
            <w:tcW w:w="663" w:type="dxa"/>
            <w:tcBorders>
              <w:top w:val="nil"/>
              <w:left w:val="nil"/>
              <w:bottom w:val="single" w:sz="4" w:space="0" w:color="auto"/>
              <w:right w:val="single" w:sz="4" w:space="0" w:color="auto"/>
            </w:tcBorders>
            <w:noWrap/>
            <w:vAlign w:val="bottom"/>
            <w:hideMark/>
          </w:tcPr>
          <w:p w14:paraId="1A959AF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37" w:type="dxa"/>
            <w:tcBorders>
              <w:top w:val="nil"/>
              <w:left w:val="nil"/>
              <w:bottom w:val="single" w:sz="4" w:space="0" w:color="auto"/>
              <w:right w:val="single" w:sz="4" w:space="0" w:color="auto"/>
            </w:tcBorders>
            <w:noWrap/>
            <w:vAlign w:val="bottom"/>
            <w:hideMark/>
          </w:tcPr>
          <w:p w14:paraId="7866DE6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25,54</w:t>
            </w:r>
          </w:p>
        </w:tc>
        <w:tc>
          <w:tcPr>
            <w:tcW w:w="1200" w:type="dxa"/>
            <w:tcBorders>
              <w:top w:val="nil"/>
              <w:left w:val="nil"/>
              <w:bottom w:val="single" w:sz="4" w:space="0" w:color="auto"/>
              <w:right w:val="single" w:sz="4" w:space="0" w:color="auto"/>
            </w:tcBorders>
            <w:noWrap/>
            <w:vAlign w:val="bottom"/>
            <w:hideMark/>
          </w:tcPr>
          <w:p w14:paraId="1D6F0C1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483036D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0CA31DD8"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556E15F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200" w:type="dxa"/>
            <w:tcBorders>
              <w:top w:val="nil"/>
              <w:left w:val="nil"/>
              <w:bottom w:val="single" w:sz="4" w:space="0" w:color="auto"/>
              <w:right w:val="single" w:sz="4" w:space="0" w:color="auto"/>
            </w:tcBorders>
            <w:noWrap/>
            <w:vAlign w:val="bottom"/>
            <w:hideMark/>
          </w:tcPr>
          <w:p w14:paraId="7B4D16B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86,51</w:t>
            </w:r>
          </w:p>
        </w:tc>
        <w:tc>
          <w:tcPr>
            <w:tcW w:w="663" w:type="dxa"/>
            <w:tcBorders>
              <w:top w:val="nil"/>
              <w:left w:val="nil"/>
              <w:bottom w:val="single" w:sz="4" w:space="0" w:color="auto"/>
              <w:right w:val="single" w:sz="4" w:space="0" w:color="auto"/>
            </w:tcBorders>
            <w:noWrap/>
            <w:vAlign w:val="bottom"/>
            <w:hideMark/>
          </w:tcPr>
          <w:p w14:paraId="576D6BF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w:t>
            </w:r>
          </w:p>
        </w:tc>
        <w:tc>
          <w:tcPr>
            <w:tcW w:w="1737" w:type="dxa"/>
            <w:tcBorders>
              <w:top w:val="nil"/>
              <w:left w:val="nil"/>
              <w:bottom w:val="single" w:sz="4" w:space="0" w:color="auto"/>
              <w:right w:val="single" w:sz="4" w:space="0" w:color="auto"/>
            </w:tcBorders>
            <w:noWrap/>
            <w:vAlign w:val="bottom"/>
            <w:hideMark/>
          </w:tcPr>
          <w:p w14:paraId="1BD36B0D"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4,53</w:t>
            </w:r>
          </w:p>
        </w:tc>
        <w:tc>
          <w:tcPr>
            <w:tcW w:w="1200" w:type="dxa"/>
            <w:tcBorders>
              <w:top w:val="nil"/>
              <w:left w:val="nil"/>
              <w:bottom w:val="single" w:sz="4" w:space="0" w:color="auto"/>
              <w:right w:val="single" w:sz="4" w:space="0" w:color="auto"/>
            </w:tcBorders>
            <w:noWrap/>
            <w:vAlign w:val="bottom"/>
            <w:hideMark/>
          </w:tcPr>
          <w:p w14:paraId="18BE8B6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60F75C7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CEFF209"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68BCAE6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1200" w:type="dxa"/>
            <w:tcBorders>
              <w:top w:val="nil"/>
              <w:left w:val="nil"/>
              <w:bottom w:val="single" w:sz="4" w:space="0" w:color="auto"/>
              <w:right w:val="single" w:sz="4" w:space="0" w:color="auto"/>
            </w:tcBorders>
            <w:noWrap/>
            <w:vAlign w:val="bottom"/>
            <w:hideMark/>
          </w:tcPr>
          <w:p w14:paraId="297C65F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94,87</w:t>
            </w:r>
          </w:p>
        </w:tc>
        <w:tc>
          <w:tcPr>
            <w:tcW w:w="663" w:type="dxa"/>
            <w:tcBorders>
              <w:top w:val="nil"/>
              <w:left w:val="nil"/>
              <w:bottom w:val="single" w:sz="4" w:space="0" w:color="auto"/>
              <w:right w:val="single" w:sz="4" w:space="0" w:color="auto"/>
            </w:tcBorders>
            <w:noWrap/>
            <w:vAlign w:val="bottom"/>
            <w:hideMark/>
          </w:tcPr>
          <w:p w14:paraId="24606A7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37" w:type="dxa"/>
            <w:tcBorders>
              <w:top w:val="nil"/>
              <w:left w:val="nil"/>
              <w:bottom w:val="single" w:sz="4" w:space="0" w:color="auto"/>
              <w:right w:val="single" w:sz="4" w:space="0" w:color="auto"/>
            </w:tcBorders>
            <w:noWrap/>
            <w:vAlign w:val="bottom"/>
            <w:hideMark/>
          </w:tcPr>
          <w:p w14:paraId="21E0C70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25,54</w:t>
            </w:r>
          </w:p>
        </w:tc>
        <w:tc>
          <w:tcPr>
            <w:tcW w:w="1200" w:type="dxa"/>
            <w:tcBorders>
              <w:top w:val="nil"/>
              <w:left w:val="nil"/>
              <w:bottom w:val="single" w:sz="4" w:space="0" w:color="auto"/>
              <w:right w:val="single" w:sz="4" w:space="0" w:color="auto"/>
            </w:tcBorders>
            <w:noWrap/>
            <w:vAlign w:val="bottom"/>
            <w:hideMark/>
          </w:tcPr>
          <w:p w14:paraId="4740E83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201912B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45B9F36B"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1C25314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1200" w:type="dxa"/>
            <w:tcBorders>
              <w:top w:val="nil"/>
              <w:left w:val="nil"/>
              <w:bottom w:val="single" w:sz="4" w:space="0" w:color="auto"/>
              <w:right w:val="single" w:sz="4" w:space="0" w:color="auto"/>
            </w:tcBorders>
            <w:noWrap/>
            <w:vAlign w:val="bottom"/>
            <w:hideMark/>
          </w:tcPr>
          <w:p w14:paraId="59DFCA0E"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98,48</w:t>
            </w:r>
          </w:p>
        </w:tc>
        <w:tc>
          <w:tcPr>
            <w:tcW w:w="663" w:type="dxa"/>
            <w:tcBorders>
              <w:top w:val="nil"/>
              <w:left w:val="nil"/>
              <w:bottom w:val="single" w:sz="4" w:space="0" w:color="auto"/>
              <w:right w:val="single" w:sz="4" w:space="0" w:color="auto"/>
            </w:tcBorders>
            <w:noWrap/>
            <w:vAlign w:val="bottom"/>
            <w:hideMark/>
          </w:tcPr>
          <w:p w14:paraId="79575872"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37" w:type="dxa"/>
            <w:tcBorders>
              <w:top w:val="nil"/>
              <w:left w:val="nil"/>
              <w:bottom w:val="single" w:sz="4" w:space="0" w:color="auto"/>
              <w:right w:val="single" w:sz="4" w:space="0" w:color="auto"/>
            </w:tcBorders>
            <w:noWrap/>
            <w:vAlign w:val="bottom"/>
            <w:hideMark/>
          </w:tcPr>
          <w:p w14:paraId="26E8F3B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25,54</w:t>
            </w:r>
          </w:p>
        </w:tc>
        <w:tc>
          <w:tcPr>
            <w:tcW w:w="1200" w:type="dxa"/>
            <w:tcBorders>
              <w:top w:val="nil"/>
              <w:left w:val="nil"/>
              <w:bottom w:val="single" w:sz="4" w:space="0" w:color="auto"/>
              <w:right w:val="single" w:sz="4" w:space="0" w:color="auto"/>
            </w:tcBorders>
            <w:noWrap/>
            <w:vAlign w:val="bottom"/>
            <w:hideMark/>
          </w:tcPr>
          <w:p w14:paraId="51D9A4E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2597A5A2"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3A6C5AFE"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09BC393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1200" w:type="dxa"/>
            <w:tcBorders>
              <w:top w:val="nil"/>
              <w:left w:val="nil"/>
              <w:bottom w:val="single" w:sz="4" w:space="0" w:color="auto"/>
              <w:right w:val="single" w:sz="4" w:space="0" w:color="auto"/>
            </w:tcBorders>
            <w:noWrap/>
            <w:vAlign w:val="bottom"/>
            <w:hideMark/>
          </w:tcPr>
          <w:p w14:paraId="14EC020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102</w:t>
            </w:r>
          </w:p>
        </w:tc>
        <w:tc>
          <w:tcPr>
            <w:tcW w:w="663" w:type="dxa"/>
            <w:tcBorders>
              <w:top w:val="nil"/>
              <w:left w:val="nil"/>
              <w:bottom w:val="single" w:sz="4" w:space="0" w:color="auto"/>
              <w:right w:val="single" w:sz="4" w:space="0" w:color="auto"/>
            </w:tcBorders>
            <w:noWrap/>
            <w:vAlign w:val="bottom"/>
            <w:hideMark/>
          </w:tcPr>
          <w:p w14:paraId="3D164A2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1737" w:type="dxa"/>
            <w:tcBorders>
              <w:top w:val="nil"/>
              <w:left w:val="nil"/>
              <w:bottom w:val="single" w:sz="4" w:space="0" w:color="auto"/>
              <w:right w:val="single" w:sz="4" w:space="0" w:color="auto"/>
            </w:tcBorders>
            <w:noWrap/>
            <w:vAlign w:val="bottom"/>
            <w:hideMark/>
          </w:tcPr>
          <w:p w14:paraId="1B27162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7,08</w:t>
            </w:r>
          </w:p>
        </w:tc>
        <w:tc>
          <w:tcPr>
            <w:tcW w:w="1200" w:type="dxa"/>
            <w:tcBorders>
              <w:top w:val="nil"/>
              <w:left w:val="nil"/>
              <w:bottom w:val="single" w:sz="4" w:space="0" w:color="auto"/>
              <w:right w:val="single" w:sz="4" w:space="0" w:color="auto"/>
            </w:tcBorders>
            <w:noWrap/>
            <w:vAlign w:val="bottom"/>
            <w:hideMark/>
          </w:tcPr>
          <w:p w14:paraId="4588BBA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29945422"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1F94CB57"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69EB966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1200" w:type="dxa"/>
            <w:tcBorders>
              <w:top w:val="nil"/>
              <w:left w:val="nil"/>
              <w:bottom w:val="single" w:sz="4" w:space="0" w:color="auto"/>
              <w:right w:val="single" w:sz="4" w:space="0" w:color="auto"/>
            </w:tcBorders>
            <w:noWrap/>
            <w:vAlign w:val="bottom"/>
            <w:hideMark/>
          </w:tcPr>
          <w:p w14:paraId="0DF6600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115,58</w:t>
            </w:r>
          </w:p>
        </w:tc>
        <w:tc>
          <w:tcPr>
            <w:tcW w:w="663" w:type="dxa"/>
            <w:tcBorders>
              <w:top w:val="nil"/>
              <w:left w:val="nil"/>
              <w:bottom w:val="single" w:sz="4" w:space="0" w:color="auto"/>
              <w:right w:val="single" w:sz="4" w:space="0" w:color="auto"/>
            </w:tcBorders>
            <w:noWrap/>
            <w:vAlign w:val="bottom"/>
            <w:hideMark/>
          </w:tcPr>
          <w:p w14:paraId="3FCF18F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37" w:type="dxa"/>
            <w:tcBorders>
              <w:top w:val="nil"/>
              <w:left w:val="nil"/>
              <w:bottom w:val="single" w:sz="4" w:space="0" w:color="auto"/>
              <w:right w:val="single" w:sz="4" w:space="0" w:color="auto"/>
            </w:tcBorders>
            <w:noWrap/>
            <w:vAlign w:val="bottom"/>
            <w:hideMark/>
          </w:tcPr>
          <w:p w14:paraId="06FD20C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25,54</w:t>
            </w:r>
          </w:p>
        </w:tc>
        <w:tc>
          <w:tcPr>
            <w:tcW w:w="1200" w:type="dxa"/>
            <w:tcBorders>
              <w:top w:val="nil"/>
              <w:left w:val="nil"/>
              <w:bottom w:val="single" w:sz="4" w:space="0" w:color="auto"/>
              <w:right w:val="single" w:sz="4" w:space="0" w:color="auto"/>
            </w:tcBorders>
            <w:noWrap/>
            <w:vAlign w:val="bottom"/>
            <w:hideMark/>
          </w:tcPr>
          <w:p w14:paraId="37DE7D5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6D7AEAF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5DB0F14C"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2A4998B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1200" w:type="dxa"/>
            <w:tcBorders>
              <w:top w:val="nil"/>
              <w:left w:val="nil"/>
              <w:bottom w:val="single" w:sz="4" w:space="0" w:color="auto"/>
              <w:right w:val="single" w:sz="4" w:space="0" w:color="auto"/>
            </w:tcBorders>
            <w:noWrap/>
            <w:vAlign w:val="bottom"/>
            <w:hideMark/>
          </w:tcPr>
          <w:p w14:paraId="647411E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142,52</w:t>
            </w:r>
          </w:p>
        </w:tc>
        <w:tc>
          <w:tcPr>
            <w:tcW w:w="663" w:type="dxa"/>
            <w:tcBorders>
              <w:top w:val="nil"/>
              <w:left w:val="nil"/>
              <w:bottom w:val="single" w:sz="4" w:space="0" w:color="auto"/>
              <w:right w:val="single" w:sz="4" w:space="0" w:color="auto"/>
            </w:tcBorders>
            <w:noWrap/>
            <w:vAlign w:val="bottom"/>
            <w:hideMark/>
          </w:tcPr>
          <w:p w14:paraId="53DF7C9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737" w:type="dxa"/>
            <w:tcBorders>
              <w:top w:val="nil"/>
              <w:left w:val="nil"/>
              <w:bottom w:val="single" w:sz="4" w:space="0" w:color="auto"/>
              <w:right w:val="single" w:sz="4" w:space="0" w:color="auto"/>
            </w:tcBorders>
            <w:noWrap/>
            <w:vAlign w:val="bottom"/>
            <w:hideMark/>
          </w:tcPr>
          <w:p w14:paraId="3FBBBD7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4,83</w:t>
            </w:r>
          </w:p>
        </w:tc>
        <w:tc>
          <w:tcPr>
            <w:tcW w:w="1200" w:type="dxa"/>
            <w:tcBorders>
              <w:top w:val="nil"/>
              <w:left w:val="nil"/>
              <w:bottom w:val="single" w:sz="4" w:space="0" w:color="auto"/>
              <w:right w:val="single" w:sz="4" w:space="0" w:color="auto"/>
            </w:tcBorders>
            <w:noWrap/>
            <w:vAlign w:val="bottom"/>
            <w:hideMark/>
          </w:tcPr>
          <w:p w14:paraId="20606DCD"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2E6116B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2C9A2B2E" w14:textId="77777777" w:rsidR="00271A39" w:rsidRDefault="00F4724C" w:rsidP="00271A39">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1571" w:name="_Toc79314060"/>
    </w:p>
    <w:p w14:paraId="221E5513" w14:textId="77777777" w:rsidR="00271A39" w:rsidRDefault="00271A39" w:rsidP="00271A39">
      <w:pPr>
        <w:autoSpaceDE w:val="0"/>
        <w:autoSpaceDN w:val="0"/>
        <w:adjustRightInd w:val="0"/>
        <w:spacing w:before="360" w:after="0" w:line="360" w:lineRule="auto"/>
        <w:rPr>
          <w:rFonts w:cs="Times New Roman"/>
          <w:b/>
          <w:szCs w:val="24"/>
        </w:rPr>
      </w:pPr>
      <w:r>
        <w:rPr>
          <w:rFonts w:cs="Times New Roman"/>
          <w:b/>
          <w:szCs w:val="24"/>
        </w:rPr>
        <w:br w:type="page"/>
      </w:r>
    </w:p>
    <w:p w14:paraId="691088D9" w14:textId="7F3C684D" w:rsidR="00077513" w:rsidRPr="00271A39" w:rsidRDefault="00077513" w:rsidP="00271A39">
      <w:pPr>
        <w:autoSpaceDE w:val="0"/>
        <w:autoSpaceDN w:val="0"/>
        <w:adjustRightInd w:val="0"/>
        <w:spacing w:before="360" w:after="0" w:line="360" w:lineRule="auto"/>
        <w:rPr>
          <w:rFonts w:cs="Times New Roman"/>
          <w:szCs w:val="24"/>
        </w:rPr>
      </w:pPr>
      <w:r w:rsidRPr="00077513">
        <w:rPr>
          <w:rFonts w:cs="Times New Roman"/>
          <w:b/>
          <w:szCs w:val="24"/>
        </w:rPr>
        <w:lastRenderedPageBreak/>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68</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nitrógeno para diversas dosis de fosforo evaluadas evaluado en la provincia de Chimborazo 2012-2014.</w:t>
      </w:r>
      <w:bookmarkEnd w:id="1571"/>
    </w:p>
    <w:tbl>
      <w:tblPr>
        <w:tblW w:w="7960" w:type="dxa"/>
        <w:tblCellMar>
          <w:left w:w="70" w:type="dxa"/>
          <w:right w:w="70" w:type="dxa"/>
        </w:tblCellMar>
        <w:tblLook w:val="04A0" w:firstRow="1" w:lastRow="0" w:firstColumn="1" w:lastColumn="0" w:noHBand="0" w:noVBand="1"/>
      </w:tblPr>
      <w:tblGrid>
        <w:gridCol w:w="1960"/>
        <w:gridCol w:w="1200"/>
        <w:gridCol w:w="521"/>
        <w:gridCol w:w="1879"/>
        <w:gridCol w:w="1200"/>
        <w:gridCol w:w="1200"/>
      </w:tblGrid>
      <w:tr w:rsidR="00F4724C" w14:paraId="12A4EBAB" w14:textId="77777777" w:rsidTr="00F4724C">
        <w:trPr>
          <w:trHeight w:val="300"/>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23A5EECC"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200" w:type="dxa"/>
            <w:tcBorders>
              <w:top w:val="single" w:sz="4" w:space="0" w:color="auto"/>
              <w:left w:val="nil"/>
              <w:bottom w:val="single" w:sz="4" w:space="0" w:color="auto"/>
              <w:right w:val="single" w:sz="4" w:space="0" w:color="auto"/>
            </w:tcBorders>
            <w:noWrap/>
            <w:vAlign w:val="bottom"/>
            <w:hideMark/>
          </w:tcPr>
          <w:p w14:paraId="2FC6D895"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21" w:type="dxa"/>
            <w:tcBorders>
              <w:top w:val="single" w:sz="4" w:space="0" w:color="auto"/>
              <w:left w:val="nil"/>
              <w:bottom w:val="single" w:sz="4" w:space="0" w:color="auto"/>
              <w:right w:val="single" w:sz="4" w:space="0" w:color="auto"/>
            </w:tcBorders>
            <w:noWrap/>
            <w:vAlign w:val="bottom"/>
            <w:hideMark/>
          </w:tcPr>
          <w:p w14:paraId="7A6FA91D"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79" w:type="dxa"/>
            <w:tcBorders>
              <w:top w:val="single" w:sz="4" w:space="0" w:color="auto"/>
              <w:left w:val="nil"/>
              <w:bottom w:val="single" w:sz="4" w:space="0" w:color="auto"/>
              <w:right w:val="single" w:sz="4" w:space="0" w:color="auto"/>
            </w:tcBorders>
            <w:noWrap/>
            <w:vAlign w:val="bottom"/>
            <w:hideMark/>
          </w:tcPr>
          <w:p w14:paraId="28B7A756"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289B5401" w14:textId="77777777" w:rsidR="00F4724C" w:rsidRDefault="00F4724C" w:rsidP="00271A39">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69F261F5" w14:textId="77777777" w:rsidR="00F4724C" w:rsidRDefault="00F4724C" w:rsidP="00271A39">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73598F98"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5BF1B5A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200" w:type="dxa"/>
            <w:tcBorders>
              <w:top w:val="nil"/>
              <w:left w:val="nil"/>
              <w:bottom w:val="single" w:sz="4" w:space="0" w:color="auto"/>
              <w:right w:val="single" w:sz="4" w:space="0" w:color="auto"/>
            </w:tcBorders>
            <w:noWrap/>
            <w:vAlign w:val="bottom"/>
            <w:hideMark/>
          </w:tcPr>
          <w:p w14:paraId="62D343F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70,68</w:t>
            </w:r>
          </w:p>
        </w:tc>
        <w:tc>
          <w:tcPr>
            <w:tcW w:w="521" w:type="dxa"/>
            <w:tcBorders>
              <w:top w:val="nil"/>
              <w:left w:val="nil"/>
              <w:bottom w:val="single" w:sz="4" w:space="0" w:color="auto"/>
              <w:right w:val="single" w:sz="4" w:space="0" w:color="auto"/>
            </w:tcBorders>
            <w:noWrap/>
            <w:vAlign w:val="bottom"/>
            <w:hideMark/>
          </w:tcPr>
          <w:p w14:paraId="5DE2B18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879" w:type="dxa"/>
            <w:tcBorders>
              <w:top w:val="nil"/>
              <w:left w:val="nil"/>
              <w:bottom w:val="single" w:sz="4" w:space="0" w:color="auto"/>
              <w:right w:val="single" w:sz="4" w:space="0" w:color="auto"/>
            </w:tcBorders>
            <w:noWrap/>
            <w:vAlign w:val="bottom"/>
            <w:hideMark/>
          </w:tcPr>
          <w:p w14:paraId="5CC118E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9,03</w:t>
            </w:r>
          </w:p>
        </w:tc>
        <w:tc>
          <w:tcPr>
            <w:tcW w:w="1200" w:type="dxa"/>
            <w:tcBorders>
              <w:top w:val="single" w:sz="4" w:space="0" w:color="auto"/>
              <w:left w:val="nil"/>
              <w:bottom w:val="single" w:sz="4" w:space="0" w:color="auto"/>
              <w:right w:val="single" w:sz="4" w:space="0" w:color="auto"/>
            </w:tcBorders>
            <w:noWrap/>
            <w:vAlign w:val="bottom"/>
            <w:hideMark/>
          </w:tcPr>
          <w:p w14:paraId="76E52AB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50A55FD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5A8D855C"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4DE69CAD"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200" w:type="dxa"/>
            <w:tcBorders>
              <w:top w:val="nil"/>
              <w:left w:val="nil"/>
              <w:bottom w:val="single" w:sz="4" w:space="0" w:color="auto"/>
              <w:right w:val="single" w:sz="4" w:space="0" w:color="auto"/>
            </w:tcBorders>
            <w:noWrap/>
            <w:vAlign w:val="bottom"/>
            <w:hideMark/>
          </w:tcPr>
          <w:p w14:paraId="2315666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85,24</w:t>
            </w:r>
          </w:p>
        </w:tc>
        <w:tc>
          <w:tcPr>
            <w:tcW w:w="521" w:type="dxa"/>
            <w:tcBorders>
              <w:top w:val="nil"/>
              <w:left w:val="nil"/>
              <w:bottom w:val="single" w:sz="4" w:space="0" w:color="auto"/>
              <w:right w:val="single" w:sz="4" w:space="0" w:color="auto"/>
            </w:tcBorders>
            <w:noWrap/>
            <w:vAlign w:val="bottom"/>
            <w:hideMark/>
          </w:tcPr>
          <w:p w14:paraId="070630D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9" w:type="dxa"/>
            <w:tcBorders>
              <w:top w:val="nil"/>
              <w:left w:val="nil"/>
              <w:bottom w:val="single" w:sz="4" w:space="0" w:color="auto"/>
              <w:right w:val="single" w:sz="4" w:space="0" w:color="auto"/>
            </w:tcBorders>
            <w:noWrap/>
            <w:vAlign w:val="bottom"/>
            <w:hideMark/>
          </w:tcPr>
          <w:p w14:paraId="138BB2F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25,54</w:t>
            </w:r>
          </w:p>
        </w:tc>
        <w:tc>
          <w:tcPr>
            <w:tcW w:w="1200" w:type="dxa"/>
            <w:tcBorders>
              <w:top w:val="nil"/>
              <w:left w:val="nil"/>
              <w:bottom w:val="single" w:sz="4" w:space="0" w:color="auto"/>
              <w:right w:val="single" w:sz="4" w:space="0" w:color="auto"/>
            </w:tcBorders>
            <w:noWrap/>
            <w:vAlign w:val="bottom"/>
            <w:hideMark/>
          </w:tcPr>
          <w:p w14:paraId="715E97C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54F1C7DE"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35E2DD4E"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024201F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200" w:type="dxa"/>
            <w:tcBorders>
              <w:top w:val="nil"/>
              <w:left w:val="nil"/>
              <w:bottom w:val="single" w:sz="4" w:space="0" w:color="auto"/>
              <w:right w:val="single" w:sz="4" w:space="0" w:color="auto"/>
            </w:tcBorders>
            <w:noWrap/>
            <w:vAlign w:val="bottom"/>
            <w:hideMark/>
          </w:tcPr>
          <w:p w14:paraId="3952885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107,84</w:t>
            </w:r>
          </w:p>
        </w:tc>
        <w:tc>
          <w:tcPr>
            <w:tcW w:w="521" w:type="dxa"/>
            <w:tcBorders>
              <w:top w:val="nil"/>
              <w:left w:val="nil"/>
              <w:bottom w:val="single" w:sz="4" w:space="0" w:color="auto"/>
              <w:right w:val="single" w:sz="4" w:space="0" w:color="auto"/>
            </w:tcBorders>
            <w:noWrap/>
            <w:vAlign w:val="bottom"/>
            <w:hideMark/>
          </w:tcPr>
          <w:p w14:paraId="2E457E7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879" w:type="dxa"/>
            <w:tcBorders>
              <w:top w:val="nil"/>
              <w:left w:val="nil"/>
              <w:bottom w:val="single" w:sz="4" w:space="0" w:color="auto"/>
              <w:right w:val="single" w:sz="4" w:space="0" w:color="auto"/>
            </w:tcBorders>
            <w:noWrap/>
            <w:vAlign w:val="bottom"/>
            <w:hideMark/>
          </w:tcPr>
          <w:p w14:paraId="3B11C505" w14:textId="00978FCB"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w:t>
            </w:r>
            <w:r w:rsidR="002D1501">
              <w:rPr>
                <w:rFonts w:eastAsia="Times New Roman" w:cs="Times New Roman"/>
                <w:color w:val="000000"/>
                <w:szCs w:val="24"/>
                <w:lang w:eastAsia="es-EC"/>
              </w:rPr>
              <w:t>0</w:t>
            </w:r>
          </w:p>
        </w:tc>
        <w:tc>
          <w:tcPr>
            <w:tcW w:w="1200" w:type="dxa"/>
            <w:tcBorders>
              <w:top w:val="nil"/>
              <w:left w:val="nil"/>
              <w:bottom w:val="single" w:sz="4" w:space="0" w:color="auto"/>
              <w:right w:val="single" w:sz="4" w:space="0" w:color="auto"/>
            </w:tcBorders>
            <w:noWrap/>
            <w:vAlign w:val="bottom"/>
            <w:hideMark/>
          </w:tcPr>
          <w:p w14:paraId="33C01B3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6BE11B5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67B51EED"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5B50C72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200" w:type="dxa"/>
            <w:tcBorders>
              <w:top w:val="nil"/>
              <w:left w:val="nil"/>
              <w:bottom w:val="single" w:sz="4" w:space="0" w:color="auto"/>
              <w:right w:val="single" w:sz="4" w:space="0" w:color="auto"/>
            </w:tcBorders>
            <w:noWrap/>
            <w:vAlign w:val="bottom"/>
            <w:hideMark/>
          </w:tcPr>
          <w:p w14:paraId="44F64BB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114,72</w:t>
            </w:r>
          </w:p>
        </w:tc>
        <w:tc>
          <w:tcPr>
            <w:tcW w:w="521" w:type="dxa"/>
            <w:tcBorders>
              <w:top w:val="nil"/>
              <w:left w:val="nil"/>
              <w:bottom w:val="single" w:sz="4" w:space="0" w:color="auto"/>
              <w:right w:val="single" w:sz="4" w:space="0" w:color="auto"/>
            </w:tcBorders>
            <w:noWrap/>
            <w:vAlign w:val="bottom"/>
            <w:hideMark/>
          </w:tcPr>
          <w:p w14:paraId="37C365B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79" w:type="dxa"/>
            <w:tcBorders>
              <w:top w:val="nil"/>
              <w:left w:val="nil"/>
              <w:bottom w:val="single" w:sz="4" w:space="0" w:color="auto"/>
              <w:right w:val="single" w:sz="4" w:space="0" w:color="auto"/>
            </w:tcBorders>
            <w:noWrap/>
            <w:vAlign w:val="bottom"/>
            <w:hideMark/>
          </w:tcPr>
          <w:p w14:paraId="5E21630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5,66</w:t>
            </w:r>
          </w:p>
        </w:tc>
        <w:tc>
          <w:tcPr>
            <w:tcW w:w="1200" w:type="dxa"/>
            <w:tcBorders>
              <w:top w:val="nil"/>
              <w:left w:val="nil"/>
              <w:bottom w:val="single" w:sz="4" w:space="0" w:color="auto"/>
              <w:right w:val="single" w:sz="4" w:space="0" w:color="auto"/>
            </w:tcBorders>
            <w:noWrap/>
            <w:vAlign w:val="bottom"/>
            <w:hideMark/>
          </w:tcPr>
          <w:p w14:paraId="41E1366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77F0B0A2"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1E284279"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2A704F7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200" w:type="dxa"/>
            <w:tcBorders>
              <w:top w:val="nil"/>
              <w:left w:val="nil"/>
              <w:bottom w:val="single" w:sz="4" w:space="0" w:color="auto"/>
              <w:right w:val="single" w:sz="4" w:space="0" w:color="auto"/>
            </w:tcBorders>
            <w:noWrap/>
            <w:vAlign w:val="bottom"/>
            <w:hideMark/>
          </w:tcPr>
          <w:p w14:paraId="31A5CBF2"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120,32</w:t>
            </w:r>
          </w:p>
        </w:tc>
        <w:tc>
          <w:tcPr>
            <w:tcW w:w="521" w:type="dxa"/>
            <w:tcBorders>
              <w:top w:val="nil"/>
              <w:left w:val="nil"/>
              <w:bottom w:val="single" w:sz="4" w:space="0" w:color="auto"/>
              <w:right w:val="single" w:sz="4" w:space="0" w:color="auto"/>
            </w:tcBorders>
            <w:noWrap/>
            <w:vAlign w:val="bottom"/>
            <w:hideMark/>
          </w:tcPr>
          <w:p w14:paraId="408DC77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79" w:type="dxa"/>
            <w:tcBorders>
              <w:top w:val="nil"/>
              <w:left w:val="nil"/>
              <w:bottom w:val="single" w:sz="4" w:space="0" w:color="auto"/>
              <w:right w:val="single" w:sz="4" w:space="0" w:color="auto"/>
            </w:tcBorders>
            <w:noWrap/>
            <w:vAlign w:val="bottom"/>
            <w:hideMark/>
          </w:tcPr>
          <w:p w14:paraId="1A2A4E8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7,43</w:t>
            </w:r>
          </w:p>
        </w:tc>
        <w:tc>
          <w:tcPr>
            <w:tcW w:w="1200" w:type="dxa"/>
            <w:tcBorders>
              <w:top w:val="nil"/>
              <w:left w:val="nil"/>
              <w:bottom w:val="single" w:sz="4" w:space="0" w:color="auto"/>
              <w:right w:val="single" w:sz="4" w:space="0" w:color="auto"/>
            </w:tcBorders>
            <w:noWrap/>
            <w:vAlign w:val="bottom"/>
            <w:hideMark/>
          </w:tcPr>
          <w:p w14:paraId="6412E475"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43D359C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4A3D3208" w14:textId="77777777" w:rsidTr="00F4724C">
        <w:trPr>
          <w:trHeight w:val="300"/>
        </w:trPr>
        <w:tc>
          <w:tcPr>
            <w:tcW w:w="1960" w:type="dxa"/>
            <w:tcBorders>
              <w:top w:val="nil"/>
              <w:left w:val="single" w:sz="4" w:space="0" w:color="auto"/>
              <w:bottom w:val="single" w:sz="4" w:space="0" w:color="auto"/>
              <w:right w:val="single" w:sz="4" w:space="0" w:color="auto"/>
            </w:tcBorders>
            <w:noWrap/>
            <w:vAlign w:val="bottom"/>
            <w:hideMark/>
          </w:tcPr>
          <w:p w14:paraId="098AD64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200" w:type="dxa"/>
            <w:tcBorders>
              <w:top w:val="nil"/>
              <w:left w:val="nil"/>
              <w:bottom w:val="single" w:sz="4" w:space="0" w:color="auto"/>
              <w:right w:val="single" w:sz="4" w:space="0" w:color="auto"/>
            </w:tcBorders>
            <w:noWrap/>
            <w:vAlign w:val="bottom"/>
            <w:hideMark/>
          </w:tcPr>
          <w:p w14:paraId="2E4A3B3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134,23</w:t>
            </w:r>
          </w:p>
        </w:tc>
        <w:tc>
          <w:tcPr>
            <w:tcW w:w="521" w:type="dxa"/>
            <w:tcBorders>
              <w:top w:val="nil"/>
              <w:left w:val="nil"/>
              <w:bottom w:val="single" w:sz="4" w:space="0" w:color="auto"/>
              <w:right w:val="single" w:sz="4" w:space="0" w:color="auto"/>
            </w:tcBorders>
            <w:noWrap/>
            <w:vAlign w:val="bottom"/>
            <w:hideMark/>
          </w:tcPr>
          <w:p w14:paraId="70CF021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879" w:type="dxa"/>
            <w:tcBorders>
              <w:top w:val="nil"/>
              <w:left w:val="nil"/>
              <w:bottom w:val="single" w:sz="4" w:space="0" w:color="auto"/>
              <w:right w:val="single" w:sz="4" w:space="0" w:color="auto"/>
            </w:tcBorders>
            <w:noWrap/>
            <w:vAlign w:val="bottom"/>
            <w:hideMark/>
          </w:tcPr>
          <w:p w14:paraId="508F833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14,75</w:t>
            </w:r>
          </w:p>
        </w:tc>
        <w:tc>
          <w:tcPr>
            <w:tcW w:w="1200" w:type="dxa"/>
            <w:tcBorders>
              <w:top w:val="nil"/>
              <w:left w:val="nil"/>
              <w:bottom w:val="single" w:sz="4" w:space="0" w:color="auto"/>
              <w:right w:val="single" w:sz="4" w:space="0" w:color="auto"/>
            </w:tcBorders>
            <w:noWrap/>
            <w:vAlign w:val="bottom"/>
            <w:hideMark/>
          </w:tcPr>
          <w:p w14:paraId="2CA9DFF9"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0C022B2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73EDF83E" w14:textId="77777777" w:rsidR="00271A39" w:rsidRDefault="00F4724C" w:rsidP="00271A39">
      <w:pPr>
        <w:autoSpaceDE w:val="0"/>
        <w:autoSpaceDN w:val="0"/>
        <w:adjustRightInd w:val="0"/>
        <w:spacing w:after="0" w:line="360" w:lineRule="auto"/>
        <w:rPr>
          <w:rFonts w:cs="Times New Roman"/>
          <w:szCs w:val="24"/>
        </w:rPr>
      </w:pPr>
      <w:r>
        <w:rPr>
          <w:rFonts w:cs="Times New Roman"/>
          <w:szCs w:val="24"/>
        </w:rPr>
        <w:t>Medias con una letra común no son significa</w:t>
      </w:r>
      <w:r w:rsidR="00077513">
        <w:rPr>
          <w:rFonts w:cs="Times New Roman"/>
          <w:szCs w:val="24"/>
        </w:rPr>
        <w:t>tivamente diferentes (p &gt; 0,05)</w:t>
      </w:r>
      <w:bookmarkStart w:id="1572" w:name="_Toc79314061"/>
    </w:p>
    <w:p w14:paraId="0083A0BD" w14:textId="19E8122B" w:rsidR="00077513" w:rsidRPr="00271A39" w:rsidRDefault="00077513" w:rsidP="00271A39">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69</w:t>
      </w:r>
      <w:r w:rsidRPr="00077513">
        <w:rPr>
          <w:rFonts w:cs="Times New Roman"/>
          <w:b/>
          <w:i/>
          <w:iCs/>
          <w:szCs w:val="24"/>
        </w:rPr>
        <w:fldChar w:fldCharType="end"/>
      </w:r>
      <w:r w:rsidRPr="00077513">
        <w:rPr>
          <w:rFonts w:cs="Times New Roman"/>
          <w:b/>
          <w:szCs w:val="24"/>
        </w:rPr>
        <w:t xml:space="preserve">. </w:t>
      </w:r>
      <w:r w:rsidRPr="00077513">
        <w:rPr>
          <w:rFonts w:cs="Times New Roman"/>
          <w:szCs w:val="24"/>
        </w:rPr>
        <w:t>Absorción total de nitrógeno para diversas dosis de potasio evaluadas evaluado en la provincia de Chimborazo 2012-2014.</w:t>
      </w:r>
      <w:bookmarkEnd w:id="1572"/>
    </w:p>
    <w:tbl>
      <w:tblPr>
        <w:tblW w:w="5560" w:type="dxa"/>
        <w:jc w:val="center"/>
        <w:tblCellMar>
          <w:left w:w="70" w:type="dxa"/>
          <w:right w:w="70" w:type="dxa"/>
        </w:tblCellMar>
        <w:tblLook w:val="04A0" w:firstRow="1" w:lastRow="0" w:firstColumn="1" w:lastColumn="0" w:noHBand="0" w:noVBand="1"/>
      </w:tblPr>
      <w:tblGrid>
        <w:gridCol w:w="2122"/>
        <w:gridCol w:w="1038"/>
        <w:gridCol w:w="663"/>
        <w:gridCol w:w="1737"/>
      </w:tblGrid>
      <w:tr w:rsidR="00F4724C" w14:paraId="0F042318" w14:textId="77777777" w:rsidTr="004B1300">
        <w:trPr>
          <w:trHeight w:val="300"/>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76B62013"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038" w:type="dxa"/>
            <w:tcBorders>
              <w:top w:val="single" w:sz="4" w:space="0" w:color="auto"/>
              <w:left w:val="nil"/>
              <w:bottom w:val="single" w:sz="4" w:space="0" w:color="auto"/>
              <w:right w:val="single" w:sz="4" w:space="0" w:color="auto"/>
            </w:tcBorders>
            <w:noWrap/>
            <w:vAlign w:val="bottom"/>
            <w:hideMark/>
          </w:tcPr>
          <w:p w14:paraId="43F97043"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63" w:type="dxa"/>
            <w:tcBorders>
              <w:top w:val="single" w:sz="4" w:space="0" w:color="auto"/>
              <w:left w:val="nil"/>
              <w:bottom w:val="single" w:sz="4" w:space="0" w:color="auto"/>
              <w:right w:val="single" w:sz="4" w:space="0" w:color="auto"/>
            </w:tcBorders>
            <w:noWrap/>
            <w:vAlign w:val="bottom"/>
            <w:hideMark/>
          </w:tcPr>
          <w:p w14:paraId="5354A1D1"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37" w:type="dxa"/>
            <w:tcBorders>
              <w:top w:val="single" w:sz="4" w:space="0" w:color="auto"/>
              <w:left w:val="nil"/>
              <w:bottom w:val="single" w:sz="4" w:space="0" w:color="auto"/>
              <w:right w:val="single" w:sz="4" w:space="0" w:color="auto"/>
            </w:tcBorders>
            <w:noWrap/>
            <w:vAlign w:val="bottom"/>
            <w:hideMark/>
          </w:tcPr>
          <w:p w14:paraId="70D0A2D8"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22604E8E" w14:textId="77777777" w:rsidTr="004B1300">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2CC3157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038" w:type="dxa"/>
            <w:tcBorders>
              <w:top w:val="nil"/>
              <w:left w:val="nil"/>
              <w:bottom w:val="single" w:sz="4" w:space="0" w:color="auto"/>
              <w:right w:val="single" w:sz="4" w:space="0" w:color="auto"/>
            </w:tcBorders>
            <w:noWrap/>
            <w:vAlign w:val="bottom"/>
            <w:hideMark/>
          </w:tcPr>
          <w:p w14:paraId="531BC74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85,24</w:t>
            </w:r>
          </w:p>
        </w:tc>
        <w:tc>
          <w:tcPr>
            <w:tcW w:w="663" w:type="dxa"/>
            <w:tcBorders>
              <w:top w:val="nil"/>
              <w:left w:val="nil"/>
              <w:bottom w:val="single" w:sz="4" w:space="0" w:color="auto"/>
              <w:right w:val="single" w:sz="4" w:space="0" w:color="auto"/>
            </w:tcBorders>
            <w:noWrap/>
            <w:vAlign w:val="bottom"/>
            <w:hideMark/>
          </w:tcPr>
          <w:p w14:paraId="6BB8E67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37" w:type="dxa"/>
            <w:tcBorders>
              <w:top w:val="nil"/>
              <w:left w:val="nil"/>
              <w:bottom w:val="single" w:sz="4" w:space="0" w:color="auto"/>
              <w:right w:val="single" w:sz="4" w:space="0" w:color="auto"/>
            </w:tcBorders>
            <w:noWrap/>
            <w:vAlign w:val="bottom"/>
            <w:hideMark/>
          </w:tcPr>
          <w:p w14:paraId="2F6DCD0E"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25,54</w:t>
            </w:r>
          </w:p>
        </w:tc>
      </w:tr>
      <w:tr w:rsidR="00F4724C" w14:paraId="2B617817" w14:textId="77777777" w:rsidTr="004B1300">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63B2677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038" w:type="dxa"/>
            <w:tcBorders>
              <w:top w:val="nil"/>
              <w:left w:val="nil"/>
              <w:bottom w:val="single" w:sz="4" w:space="0" w:color="auto"/>
              <w:right w:val="single" w:sz="4" w:space="0" w:color="auto"/>
            </w:tcBorders>
            <w:noWrap/>
            <w:vAlign w:val="bottom"/>
            <w:hideMark/>
          </w:tcPr>
          <w:p w14:paraId="4E381DD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92,18</w:t>
            </w:r>
          </w:p>
        </w:tc>
        <w:tc>
          <w:tcPr>
            <w:tcW w:w="663" w:type="dxa"/>
            <w:tcBorders>
              <w:top w:val="nil"/>
              <w:left w:val="nil"/>
              <w:bottom w:val="single" w:sz="4" w:space="0" w:color="auto"/>
              <w:right w:val="single" w:sz="4" w:space="0" w:color="auto"/>
            </w:tcBorders>
            <w:noWrap/>
            <w:vAlign w:val="bottom"/>
            <w:hideMark/>
          </w:tcPr>
          <w:p w14:paraId="59DCAFBE"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737" w:type="dxa"/>
            <w:tcBorders>
              <w:top w:val="nil"/>
              <w:left w:val="nil"/>
              <w:bottom w:val="single" w:sz="4" w:space="0" w:color="auto"/>
              <w:right w:val="single" w:sz="4" w:space="0" w:color="auto"/>
            </w:tcBorders>
            <w:noWrap/>
            <w:vAlign w:val="bottom"/>
            <w:hideMark/>
          </w:tcPr>
          <w:p w14:paraId="024EFD8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10,43</w:t>
            </w:r>
          </w:p>
        </w:tc>
      </w:tr>
      <w:tr w:rsidR="00F4724C" w14:paraId="6A3D69E2" w14:textId="77777777" w:rsidTr="004B1300">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5548E5D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038" w:type="dxa"/>
            <w:tcBorders>
              <w:top w:val="nil"/>
              <w:left w:val="nil"/>
              <w:bottom w:val="single" w:sz="4" w:space="0" w:color="auto"/>
              <w:right w:val="single" w:sz="4" w:space="0" w:color="auto"/>
            </w:tcBorders>
            <w:noWrap/>
            <w:vAlign w:val="bottom"/>
            <w:hideMark/>
          </w:tcPr>
          <w:p w14:paraId="68A677FE"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94,82</w:t>
            </w:r>
          </w:p>
        </w:tc>
        <w:tc>
          <w:tcPr>
            <w:tcW w:w="663" w:type="dxa"/>
            <w:tcBorders>
              <w:top w:val="nil"/>
              <w:left w:val="nil"/>
              <w:bottom w:val="single" w:sz="4" w:space="0" w:color="auto"/>
              <w:right w:val="single" w:sz="4" w:space="0" w:color="auto"/>
            </w:tcBorders>
            <w:noWrap/>
            <w:vAlign w:val="bottom"/>
            <w:hideMark/>
          </w:tcPr>
          <w:p w14:paraId="5556340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737" w:type="dxa"/>
            <w:tcBorders>
              <w:top w:val="nil"/>
              <w:left w:val="nil"/>
              <w:bottom w:val="single" w:sz="4" w:space="0" w:color="auto"/>
              <w:right w:val="single" w:sz="4" w:space="0" w:color="auto"/>
            </w:tcBorders>
            <w:noWrap/>
            <w:vAlign w:val="bottom"/>
            <w:hideMark/>
          </w:tcPr>
          <w:p w14:paraId="6716A17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7,7</w:t>
            </w:r>
          </w:p>
        </w:tc>
      </w:tr>
      <w:tr w:rsidR="00F4724C" w14:paraId="7C24977B" w14:textId="77777777" w:rsidTr="004B1300">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5113F58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038" w:type="dxa"/>
            <w:tcBorders>
              <w:top w:val="nil"/>
              <w:left w:val="nil"/>
              <w:bottom w:val="single" w:sz="4" w:space="0" w:color="auto"/>
              <w:right w:val="single" w:sz="4" w:space="0" w:color="auto"/>
            </w:tcBorders>
            <w:noWrap/>
            <w:vAlign w:val="bottom"/>
            <w:hideMark/>
          </w:tcPr>
          <w:p w14:paraId="05BEB0C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107,15</w:t>
            </w:r>
          </w:p>
        </w:tc>
        <w:tc>
          <w:tcPr>
            <w:tcW w:w="663" w:type="dxa"/>
            <w:tcBorders>
              <w:top w:val="nil"/>
              <w:left w:val="nil"/>
              <w:bottom w:val="single" w:sz="4" w:space="0" w:color="auto"/>
              <w:right w:val="single" w:sz="4" w:space="0" w:color="auto"/>
            </w:tcBorders>
            <w:noWrap/>
            <w:vAlign w:val="bottom"/>
            <w:hideMark/>
          </w:tcPr>
          <w:p w14:paraId="7F919F3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737" w:type="dxa"/>
            <w:tcBorders>
              <w:top w:val="nil"/>
              <w:left w:val="nil"/>
              <w:bottom w:val="single" w:sz="4" w:space="0" w:color="auto"/>
              <w:right w:val="single" w:sz="4" w:space="0" w:color="auto"/>
            </w:tcBorders>
            <w:noWrap/>
            <w:vAlign w:val="bottom"/>
            <w:hideMark/>
          </w:tcPr>
          <w:p w14:paraId="109696D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w:t>
            </w:r>
          </w:p>
        </w:tc>
      </w:tr>
      <w:tr w:rsidR="00F4724C" w14:paraId="6451EAB1" w14:textId="77777777" w:rsidTr="004B1300">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22D4356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038" w:type="dxa"/>
            <w:tcBorders>
              <w:top w:val="nil"/>
              <w:left w:val="nil"/>
              <w:bottom w:val="single" w:sz="4" w:space="0" w:color="auto"/>
              <w:right w:val="single" w:sz="4" w:space="0" w:color="auto"/>
            </w:tcBorders>
            <w:noWrap/>
            <w:vAlign w:val="bottom"/>
            <w:hideMark/>
          </w:tcPr>
          <w:p w14:paraId="42129E9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114,08</w:t>
            </w:r>
          </w:p>
        </w:tc>
        <w:tc>
          <w:tcPr>
            <w:tcW w:w="663" w:type="dxa"/>
            <w:tcBorders>
              <w:top w:val="nil"/>
              <w:left w:val="nil"/>
              <w:bottom w:val="single" w:sz="4" w:space="0" w:color="auto"/>
              <w:right w:val="single" w:sz="4" w:space="0" w:color="auto"/>
            </w:tcBorders>
            <w:noWrap/>
            <w:vAlign w:val="bottom"/>
            <w:hideMark/>
          </w:tcPr>
          <w:p w14:paraId="5F5AFAB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37" w:type="dxa"/>
            <w:tcBorders>
              <w:top w:val="nil"/>
              <w:left w:val="nil"/>
              <w:bottom w:val="single" w:sz="4" w:space="0" w:color="auto"/>
              <w:right w:val="single" w:sz="4" w:space="0" w:color="auto"/>
            </w:tcBorders>
            <w:noWrap/>
            <w:vAlign w:val="bottom"/>
            <w:hideMark/>
          </w:tcPr>
          <w:p w14:paraId="4050517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7,43</w:t>
            </w:r>
          </w:p>
        </w:tc>
      </w:tr>
      <w:tr w:rsidR="00F4724C" w14:paraId="50FAEE53" w14:textId="77777777" w:rsidTr="004B1300">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35A5657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038" w:type="dxa"/>
            <w:tcBorders>
              <w:top w:val="nil"/>
              <w:left w:val="nil"/>
              <w:bottom w:val="single" w:sz="4" w:space="0" w:color="auto"/>
              <w:right w:val="single" w:sz="4" w:space="0" w:color="auto"/>
            </w:tcBorders>
            <w:noWrap/>
            <w:vAlign w:val="bottom"/>
            <w:hideMark/>
          </w:tcPr>
          <w:p w14:paraId="25314B1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128,77</w:t>
            </w:r>
          </w:p>
        </w:tc>
        <w:tc>
          <w:tcPr>
            <w:tcW w:w="663" w:type="dxa"/>
            <w:tcBorders>
              <w:top w:val="nil"/>
              <w:left w:val="nil"/>
              <w:bottom w:val="single" w:sz="4" w:space="0" w:color="auto"/>
              <w:right w:val="single" w:sz="4" w:space="0" w:color="auto"/>
            </w:tcBorders>
            <w:noWrap/>
            <w:vAlign w:val="bottom"/>
            <w:hideMark/>
          </w:tcPr>
          <w:p w14:paraId="6F196253"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737" w:type="dxa"/>
            <w:tcBorders>
              <w:top w:val="nil"/>
              <w:left w:val="nil"/>
              <w:bottom w:val="single" w:sz="4" w:space="0" w:color="auto"/>
              <w:right w:val="single" w:sz="4" w:space="0" w:color="auto"/>
            </w:tcBorders>
            <w:noWrap/>
            <w:vAlign w:val="bottom"/>
            <w:hideMark/>
          </w:tcPr>
          <w:p w14:paraId="3BDE0F3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6,55</w:t>
            </w:r>
          </w:p>
        </w:tc>
      </w:tr>
    </w:tbl>
    <w:p w14:paraId="2F415165" w14:textId="77777777" w:rsidR="00271A39" w:rsidRDefault="00F4724C" w:rsidP="00271A39">
      <w:pPr>
        <w:autoSpaceDE w:val="0"/>
        <w:autoSpaceDN w:val="0"/>
        <w:adjustRightInd w:val="0"/>
        <w:spacing w:before="360" w:after="0" w:line="360" w:lineRule="auto"/>
        <w:rPr>
          <w:rFonts w:cs="Times New Roman"/>
          <w:szCs w:val="24"/>
        </w:rPr>
      </w:pPr>
      <w:r>
        <w:rPr>
          <w:rFonts w:cs="Times New Roman"/>
          <w:szCs w:val="24"/>
        </w:rPr>
        <w:t xml:space="preserve">No se distingue una relación directa entre la dosis de potasio empleadas y el promedio ya que aún sin la presencia del elemento, la media es superior que cuando se han aplicado 5, 50 o </w:t>
      </w:r>
      <w:r w:rsidR="00077513">
        <w:rPr>
          <w:rFonts w:cs="Times New Roman"/>
          <w:szCs w:val="24"/>
        </w:rPr>
        <w:t>30 medidas del elemento potasio</w:t>
      </w:r>
      <w:bookmarkStart w:id="1573" w:name="_Toc79314062"/>
    </w:p>
    <w:p w14:paraId="0CBA39CE" w14:textId="6B4FBF8A" w:rsidR="00077513" w:rsidRPr="00271A39" w:rsidRDefault="00077513" w:rsidP="00271A39">
      <w:pPr>
        <w:autoSpaceDE w:val="0"/>
        <w:autoSpaceDN w:val="0"/>
        <w:adjustRightInd w:val="0"/>
        <w:spacing w:before="360" w:after="0" w:line="360" w:lineRule="auto"/>
        <w:rPr>
          <w:rFonts w:cs="Times New Roman"/>
          <w:szCs w:val="24"/>
        </w:rPr>
      </w:pPr>
      <w:r w:rsidRPr="00077513">
        <w:rPr>
          <w:rFonts w:cs="Times New Roman"/>
          <w:b/>
          <w:szCs w:val="24"/>
        </w:rPr>
        <w:t xml:space="preserve">Cuadro </w:t>
      </w:r>
      <w:r w:rsidRPr="00077513">
        <w:rPr>
          <w:rFonts w:cs="Times New Roman"/>
          <w:b/>
          <w:i/>
          <w:iCs/>
          <w:szCs w:val="24"/>
        </w:rPr>
        <w:fldChar w:fldCharType="begin"/>
      </w:r>
      <w:r w:rsidRPr="00077513">
        <w:rPr>
          <w:rFonts w:cs="Times New Roman"/>
          <w:b/>
          <w:szCs w:val="24"/>
        </w:rPr>
        <w:instrText xml:space="preserve"> SEQ Cuadro \* ARABIC </w:instrText>
      </w:r>
      <w:r w:rsidRPr="00077513">
        <w:rPr>
          <w:rFonts w:cs="Times New Roman"/>
          <w:b/>
          <w:i/>
          <w:iCs/>
          <w:szCs w:val="24"/>
        </w:rPr>
        <w:fldChar w:fldCharType="separate"/>
      </w:r>
      <w:r w:rsidR="000D1F55">
        <w:rPr>
          <w:rFonts w:cs="Times New Roman"/>
          <w:b/>
          <w:noProof/>
          <w:szCs w:val="24"/>
        </w:rPr>
        <w:t>70</w:t>
      </w:r>
      <w:r w:rsidRPr="00077513">
        <w:rPr>
          <w:rFonts w:cs="Times New Roman"/>
          <w:b/>
          <w:i/>
          <w:iCs/>
          <w:szCs w:val="24"/>
        </w:rPr>
        <w:fldChar w:fldCharType="end"/>
      </w:r>
      <w:r w:rsidRPr="00077513">
        <w:rPr>
          <w:rFonts w:cs="Times New Roman"/>
          <w:b/>
          <w:szCs w:val="24"/>
        </w:rPr>
        <w:t>.</w:t>
      </w:r>
      <w:r w:rsidRPr="00077513">
        <w:rPr>
          <w:rFonts w:cs="Times New Roman"/>
          <w:szCs w:val="24"/>
        </w:rPr>
        <w:t xml:space="preserve"> Absorción total de nitrógeno para diversas dosis de azufre evaluadas evaluado en la provincia de Chimborazo 2012-2014.</w:t>
      </w:r>
      <w:bookmarkEnd w:id="1573"/>
    </w:p>
    <w:tbl>
      <w:tblPr>
        <w:tblW w:w="5560" w:type="dxa"/>
        <w:jc w:val="center"/>
        <w:tblCellMar>
          <w:left w:w="70" w:type="dxa"/>
          <w:right w:w="70" w:type="dxa"/>
        </w:tblCellMar>
        <w:tblLook w:val="04A0" w:firstRow="1" w:lastRow="0" w:firstColumn="1" w:lastColumn="0" w:noHBand="0" w:noVBand="1"/>
      </w:tblPr>
      <w:tblGrid>
        <w:gridCol w:w="1960"/>
        <w:gridCol w:w="1200"/>
        <w:gridCol w:w="663"/>
        <w:gridCol w:w="1737"/>
      </w:tblGrid>
      <w:tr w:rsidR="00F4724C" w14:paraId="53A75603" w14:textId="77777777" w:rsidTr="004B1300">
        <w:trPr>
          <w:trHeight w:val="30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60575C2B"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200" w:type="dxa"/>
            <w:tcBorders>
              <w:top w:val="single" w:sz="4" w:space="0" w:color="auto"/>
              <w:left w:val="nil"/>
              <w:bottom w:val="single" w:sz="4" w:space="0" w:color="auto"/>
              <w:right w:val="single" w:sz="4" w:space="0" w:color="auto"/>
            </w:tcBorders>
            <w:noWrap/>
            <w:vAlign w:val="bottom"/>
            <w:hideMark/>
          </w:tcPr>
          <w:p w14:paraId="1277C52D"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63" w:type="dxa"/>
            <w:tcBorders>
              <w:top w:val="single" w:sz="4" w:space="0" w:color="auto"/>
              <w:left w:val="nil"/>
              <w:bottom w:val="single" w:sz="4" w:space="0" w:color="auto"/>
              <w:right w:val="single" w:sz="4" w:space="0" w:color="auto"/>
            </w:tcBorders>
            <w:noWrap/>
            <w:vAlign w:val="bottom"/>
            <w:hideMark/>
          </w:tcPr>
          <w:p w14:paraId="17D403E0"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37" w:type="dxa"/>
            <w:tcBorders>
              <w:top w:val="single" w:sz="4" w:space="0" w:color="auto"/>
              <w:left w:val="nil"/>
              <w:bottom w:val="single" w:sz="4" w:space="0" w:color="auto"/>
              <w:right w:val="single" w:sz="4" w:space="0" w:color="auto"/>
            </w:tcBorders>
            <w:noWrap/>
            <w:vAlign w:val="bottom"/>
            <w:hideMark/>
          </w:tcPr>
          <w:p w14:paraId="3BA56884" w14:textId="77777777" w:rsidR="00F4724C" w:rsidRDefault="00F4724C" w:rsidP="00271A3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0A8EFAA4" w14:textId="77777777" w:rsidTr="004B1300">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559B848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200" w:type="dxa"/>
            <w:tcBorders>
              <w:top w:val="nil"/>
              <w:left w:val="nil"/>
              <w:bottom w:val="single" w:sz="4" w:space="0" w:color="auto"/>
              <w:right w:val="single" w:sz="4" w:space="0" w:color="auto"/>
            </w:tcBorders>
            <w:noWrap/>
            <w:vAlign w:val="bottom"/>
            <w:hideMark/>
          </w:tcPr>
          <w:p w14:paraId="4A394920"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96,38</w:t>
            </w:r>
          </w:p>
        </w:tc>
        <w:tc>
          <w:tcPr>
            <w:tcW w:w="663" w:type="dxa"/>
            <w:tcBorders>
              <w:top w:val="nil"/>
              <w:left w:val="nil"/>
              <w:bottom w:val="single" w:sz="4" w:space="0" w:color="auto"/>
              <w:right w:val="single" w:sz="4" w:space="0" w:color="auto"/>
            </w:tcBorders>
            <w:noWrap/>
            <w:vAlign w:val="bottom"/>
            <w:hideMark/>
          </w:tcPr>
          <w:p w14:paraId="12B72F0A"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737" w:type="dxa"/>
            <w:tcBorders>
              <w:top w:val="nil"/>
              <w:left w:val="nil"/>
              <w:bottom w:val="single" w:sz="4" w:space="0" w:color="auto"/>
              <w:right w:val="single" w:sz="4" w:space="0" w:color="auto"/>
            </w:tcBorders>
            <w:noWrap/>
            <w:vAlign w:val="bottom"/>
            <w:hideMark/>
          </w:tcPr>
          <w:p w14:paraId="18944104"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7,7</w:t>
            </w:r>
          </w:p>
        </w:tc>
      </w:tr>
      <w:tr w:rsidR="00F4724C" w14:paraId="164D967B" w14:textId="77777777" w:rsidTr="004B1300">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2A32244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200" w:type="dxa"/>
            <w:tcBorders>
              <w:top w:val="nil"/>
              <w:left w:val="nil"/>
              <w:bottom w:val="single" w:sz="4" w:space="0" w:color="auto"/>
              <w:right w:val="single" w:sz="4" w:space="0" w:color="auto"/>
            </w:tcBorders>
            <w:noWrap/>
            <w:vAlign w:val="bottom"/>
            <w:hideMark/>
          </w:tcPr>
          <w:p w14:paraId="60A72C5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101,24</w:t>
            </w:r>
          </w:p>
        </w:tc>
        <w:tc>
          <w:tcPr>
            <w:tcW w:w="663" w:type="dxa"/>
            <w:tcBorders>
              <w:top w:val="nil"/>
              <w:left w:val="nil"/>
              <w:bottom w:val="single" w:sz="4" w:space="0" w:color="auto"/>
              <w:right w:val="single" w:sz="4" w:space="0" w:color="auto"/>
            </w:tcBorders>
            <w:noWrap/>
            <w:vAlign w:val="bottom"/>
            <w:hideMark/>
          </w:tcPr>
          <w:p w14:paraId="085D9A7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w:t>
            </w:r>
          </w:p>
        </w:tc>
        <w:tc>
          <w:tcPr>
            <w:tcW w:w="1737" w:type="dxa"/>
            <w:tcBorders>
              <w:top w:val="nil"/>
              <w:left w:val="nil"/>
              <w:bottom w:val="single" w:sz="4" w:space="0" w:color="auto"/>
              <w:right w:val="single" w:sz="4" w:space="0" w:color="auto"/>
            </w:tcBorders>
            <w:noWrap/>
            <w:vAlign w:val="bottom"/>
            <w:hideMark/>
          </w:tcPr>
          <w:p w14:paraId="09FBA74B"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4,44</w:t>
            </w:r>
          </w:p>
        </w:tc>
      </w:tr>
      <w:tr w:rsidR="00F4724C" w14:paraId="0658AFD4" w14:textId="77777777" w:rsidTr="004B1300">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3992A2EF"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200" w:type="dxa"/>
            <w:tcBorders>
              <w:top w:val="nil"/>
              <w:left w:val="nil"/>
              <w:bottom w:val="single" w:sz="4" w:space="0" w:color="auto"/>
              <w:right w:val="single" w:sz="4" w:space="0" w:color="auto"/>
            </w:tcBorders>
            <w:noWrap/>
            <w:vAlign w:val="bottom"/>
            <w:hideMark/>
          </w:tcPr>
          <w:p w14:paraId="498171C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116,18</w:t>
            </w:r>
          </w:p>
        </w:tc>
        <w:tc>
          <w:tcPr>
            <w:tcW w:w="663" w:type="dxa"/>
            <w:tcBorders>
              <w:top w:val="nil"/>
              <w:left w:val="nil"/>
              <w:bottom w:val="single" w:sz="4" w:space="0" w:color="auto"/>
              <w:right w:val="single" w:sz="4" w:space="0" w:color="auto"/>
            </w:tcBorders>
            <w:noWrap/>
            <w:vAlign w:val="bottom"/>
            <w:hideMark/>
          </w:tcPr>
          <w:p w14:paraId="05F6E006"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37" w:type="dxa"/>
            <w:tcBorders>
              <w:top w:val="nil"/>
              <w:left w:val="nil"/>
              <w:bottom w:val="single" w:sz="4" w:space="0" w:color="auto"/>
              <w:right w:val="single" w:sz="4" w:space="0" w:color="auto"/>
            </w:tcBorders>
            <w:noWrap/>
            <w:vAlign w:val="bottom"/>
            <w:hideMark/>
          </w:tcPr>
          <w:p w14:paraId="6AFCFBE7"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7,43</w:t>
            </w:r>
          </w:p>
        </w:tc>
      </w:tr>
      <w:tr w:rsidR="00F4724C" w14:paraId="2A166E4A" w14:textId="77777777" w:rsidTr="004B1300">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135E0281"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200" w:type="dxa"/>
            <w:tcBorders>
              <w:top w:val="nil"/>
              <w:left w:val="nil"/>
              <w:bottom w:val="single" w:sz="4" w:space="0" w:color="auto"/>
              <w:right w:val="single" w:sz="4" w:space="0" w:color="auto"/>
            </w:tcBorders>
            <w:noWrap/>
            <w:vAlign w:val="bottom"/>
            <w:hideMark/>
          </w:tcPr>
          <w:p w14:paraId="1892C1F8"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121,26</w:t>
            </w:r>
          </w:p>
        </w:tc>
        <w:tc>
          <w:tcPr>
            <w:tcW w:w="663" w:type="dxa"/>
            <w:tcBorders>
              <w:top w:val="nil"/>
              <w:left w:val="nil"/>
              <w:bottom w:val="single" w:sz="4" w:space="0" w:color="auto"/>
              <w:right w:val="single" w:sz="4" w:space="0" w:color="auto"/>
            </w:tcBorders>
            <w:noWrap/>
            <w:vAlign w:val="bottom"/>
            <w:hideMark/>
          </w:tcPr>
          <w:p w14:paraId="5127F5E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737" w:type="dxa"/>
            <w:tcBorders>
              <w:top w:val="nil"/>
              <w:left w:val="nil"/>
              <w:bottom w:val="single" w:sz="4" w:space="0" w:color="auto"/>
              <w:right w:val="single" w:sz="4" w:space="0" w:color="auto"/>
            </w:tcBorders>
            <w:noWrap/>
            <w:vAlign w:val="bottom"/>
            <w:hideMark/>
          </w:tcPr>
          <w:p w14:paraId="05124CBC" w14:textId="77777777" w:rsidR="00F4724C" w:rsidRDefault="00F4724C" w:rsidP="00271A3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5,66</w:t>
            </w:r>
          </w:p>
        </w:tc>
      </w:tr>
    </w:tbl>
    <w:p w14:paraId="027042D2" w14:textId="77777777" w:rsidR="0063774F" w:rsidRDefault="0063774F" w:rsidP="00271A39">
      <w:pPr>
        <w:spacing w:before="360" w:after="120" w:line="360" w:lineRule="auto"/>
        <w:rPr>
          <w:rFonts w:cs="Times New Roman"/>
          <w:b/>
          <w:szCs w:val="24"/>
        </w:rPr>
      </w:pPr>
      <w:bookmarkStart w:id="1574" w:name="_Toc79314063"/>
      <w:r>
        <w:rPr>
          <w:rFonts w:cs="Times New Roman"/>
          <w:b/>
          <w:szCs w:val="24"/>
        </w:rPr>
        <w:br w:type="page"/>
      </w:r>
    </w:p>
    <w:p w14:paraId="789111D5" w14:textId="45004B23" w:rsidR="00077513" w:rsidRPr="00077513" w:rsidRDefault="00077513" w:rsidP="00271A39">
      <w:pPr>
        <w:spacing w:before="360" w:after="120" w:line="360" w:lineRule="auto"/>
        <w:rPr>
          <w:rFonts w:cs="Times New Roman"/>
          <w:szCs w:val="24"/>
        </w:rPr>
      </w:pPr>
      <w:r w:rsidRPr="00077513">
        <w:rPr>
          <w:rFonts w:cs="Times New Roman"/>
          <w:b/>
          <w:szCs w:val="24"/>
        </w:rPr>
        <w:lastRenderedPageBreak/>
        <w:t xml:space="preserve">Cuadro </w:t>
      </w:r>
      <w:r w:rsidRPr="00077513">
        <w:rPr>
          <w:rFonts w:cs="Times New Roman"/>
          <w:b/>
          <w:szCs w:val="24"/>
        </w:rPr>
        <w:fldChar w:fldCharType="begin"/>
      </w:r>
      <w:r w:rsidRPr="00077513">
        <w:rPr>
          <w:rFonts w:cs="Times New Roman"/>
          <w:b/>
          <w:szCs w:val="24"/>
        </w:rPr>
        <w:instrText xml:space="preserve"> SEQ Cuadro \* ARABIC </w:instrText>
      </w:r>
      <w:r w:rsidRPr="00077513">
        <w:rPr>
          <w:rFonts w:cs="Times New Roman"/>
          <w:b/>
          <w:szCs w:val="24"/>
        </w:rPr>
        <w:fldChar w:fldCharType="separate"/>
      </w:r>
      <w:r w:rsidR="000D1F55">
        <w:rPr>
          <w:rFonts w:cs="Times New Roman"/>
          <w:b/>
          <w:noProof/>
          <w:szCs w:val="24"/>
        </w:rPr>
        <w:t>71</w:t>
      </w:r>
      <w:r w:rsidRPr="00077513">
        <w:rPr>
          <w:rFonts w:cs="Times New Roman"/>
          <w:b/>
          <w:szCs w:val="24"/>
        </w:rPr>
        <w:fldChar w:fldCharType="end"/>
      </w:r>
      <w:r w:rsidRPr="00077513">
        <w:rPr>
          <w:rFonts w:cs="Times New Roman"/>
          <w:b/>
          <w:szCs w:val="24"/>
        </w:rPr>
        <w:t xml:space="preserve">. </w:t>
      </w:r>
      <w:r w:rsidRPr="00077513">
        <w:rPr>
          <w:rFonts w:cs="Times New Roman"/>
          <w:szCs w:val="24"/>
        </w:rPr>
        <w:t>Absorción total de nitrógeno para diversas dosis de magnesio evaluadas evaluado en la provincia de Chimborazo 2012-2014.</w:t>
      </w:r>
      <w:bookmarkEnd w:id="1574"/>
    </w:p>
    <w:tbl>
      <w:tblPr>
        <w:tblW w:w="5000" w:type="pct"/>
        <w:tblCellMar>
          <w:left w:w="70" w:type="dxa"/>
          <w:right w:w="70" w:type="dxa"/>
        </w:tblCellMar>
        <w:tblLook w:val="04A0" w:firstRow="1" w:lastRow="0" w:firstColumn="1" w:lastColumn="0" w:noHBand="0" w:noVBand="1"/>
      </w:tblPr>
      <w:tblGrid>
        <w:gridCol w:w="1981"/>
        <w:gridCol w:w="991"/>
        <w:gridCol w:w="425"/>
        <w:gridCol w:w="1985"/>
        <w:gridCol w:w="563"/>
        <w:gridCol w:w="1007"/>
        <w:gridCol w:w="975"/>
      </w:tblGrid>
      <w:tr w:rsidR="00F4724C" w14:paraId="6ECE6BF0" w14:textId="77777777" w:rsidTr="00077513">
        <w:trPr>
          <w:trHeight w:val="300"/>
        </w:trPr>
        <w:tc>
          <w:tcPr>
            <w:tcW w:w="1249" w:type="pct"/>
            <w:tcBorders>
              <w:top w:val="single" w:sz="4" w:space="0" w:color="auto"/>
              <w:left w:val="single" w:sz="4" w:space="0" w:color="auto"/>
              <w:bottom w:val="single" w:sz="4" w:space="0" w:color="auto"/>
              <w:right w:val="single" w:sz="4" w:space="0" w:color="auto"/>
            </w:tcBorders>
            <w:noWrap/>
            <w:vAlign w:val="bottom"/>
            <w:hideMark/>
          </w:tcPr>
          <w:p w14:paraId="33D9F1F8"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625" w:type="pct"/>
            <w:tcBorders>
              <w:top w:val="single" w:sz="4" w:space="0" w:color="auto"/>
              <w:left w:val="nil"/>
              <w:bottom w:val="single" w:sz="4" w:space="0" w:color="auto"/>
              <w:right w:val="single" w:sz="4" w:space="0" w:color="auto"/>
            </w:tcBorders>
            <w:noWrap/>
            <w:vAlign w:val="bottom"/>
            <w:hideMark/>
          </w:tcPr>
          <w:p w14:paraId="4B2496ED"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268" w:type="pct"/>
            <w:tcBorders>
              <w:top w:val="single" w:sz="4" w:space="0" w:color="auto"/>
              <w:left w:val="nil"/>
              <w:bottom w:val="single" w:sz="4" w:space="0" w:color="auto"/>
              <w:right w:val="single" w:sz="4" w:space="0" w:color="auto"/>
            </w:tcBorders>
            <w:noWrap/>
            <w:vAlign w:val="bottom"/>
            <w:hideMark/>
          </w:tcPr>
          <w:p w14:paraId="55BEE826"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252" w:type="pct"/>
            <w:tcBorders>
              <w:top w:val="single" w:sz="4" w:space="0" w:color="auto"/>
              <w:left w:val="nil"/>
              <w:bottom w:val="single" w:sz="4" w:space="0" w:color="auto"/>
              <w:right w:val="single" w:sz="4" w:space="0" w:color="auto"/>
            </w:tcBorders>
            <w:noWrap/>
            <w:vAlign w:val="bottom"/>
            <w:hideMark/>
          </w:tcPr>
          <w:p w14:paraId="17DCE2C8"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55" w:type="pct"/>
            <w:tcBorders>
              <w:top w:val="single" w:sz="4" w:space="0" w:color="auto"/>
              <w:left w:val="single" w:sz="4" w:space="0" w:color="auto"/>
              <w:bottom w:val="single" w:sz="4" w:space="0" w:color="auto"/>
              <w:right w:val="nil"/>
            </w:tcBorders>
            <w:noWrap/>
            <w:vAlign w:val="bottom"/>
            <w:hideMark/>
          </w:tcPr>
          <w:p w14:paraId="0FF4D87E"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635" w:type="pct"/>
            <w:tcBorders>
              <w:top w:val="single" w:sz="4" w:space="0" w:color="auto"/>
              <w:left w:val="nil"/>
              <w:bottom w:val="single" w:sz="4" w:space="0" w:color="auto"/>
              <w:right w:val="nil"/>
            </w:tcBorders>
            <w:noWrap/>
            <w:vAlign w:val="bottom"/>
            <w:hideMark/>
          </w:tcPr>
          <w:p w14:paraId="3F221857"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Lsd 0,05  </w:t>
            </w:r>
          </w:p>
        </w:tc>
        <w:tc>
          <w:tcPr>
            <w:tcW w:w="615" w:type="pct"/>
            <w:tcBorders>
              <w:top w:val="single" w:sz="4" w:space="0" w:color="auto"/>
              <w:left w:val="nil"/>
              <w:bottom w:val="single" w:sz="4" w:space="0" w:color="auto"/>
              <w:right w:val="single" w:sz="4" w:space="0" w:color="auto"/>
            </w:tcBorders>
            <w:noWrap/>
            <w:vAlign w:val="bottom"/>
            <w:hideMark/>
          </w:tcPr>
          <w:p w14:paraId="1A0C8EC9"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F4724C" w14:paraId="22C50B18" w14:textId="77777777" w:rsidTr="00077513">
        <w:trPr>
          <w:trHeight w:val="300"/>
        </w:trPr>
        <w:tc>
          <w:tcPr>
            <w:tcW w:w="1249" w:type="pct"/>
            <w:tcBorders>
              <w:top w:val="nil"/>
              <w:left w:val="single" w:sz="4" w:space="0" w:color="auto"/>
              <w:bottom w:val="single" w:sz="4" w:space="0" w:color="auto"/>
              <w:right w:val="single" w:sz="4" w:space="0" w:color="auto"/>
            </w:tcBorders>
            <w:noWrap/>
            <w:vAlign w:val="bottom"/>
            <w:hideMark/>
          </w:tcPr>
          <w:p w14:paraId="000FDBDD"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625" w:type="pct"/>
            <w:tcBorders>
              <w:top w:val="nil"/>
              <w:left w:val="nil"/>
              <w:bottom w:val="single" w:sz="4" w:space="0" w:color="auto"/>
              <w:right w:val="single" w:sz="4" w:space="0" w:color="auto"/>
            </w:tcBorders>
            <w:noWrap/>
            <w:vAlign w:val="bottom"/>
            <w:hideMark/>
          </w:tcPr>
          <w:p w14:paraId="7B72628E"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68,45</w:t>
            </w:r>
          </w:p>
        </w:tc>
        <w:tc>
          <w:tcPr>
            <w:tcW w:w="268" w:type="pct"/>
            <w:tcBorders>
              <w:top w:val="nil"/>
              <w:left w:val="nil"/>
              <w:bottom w:val="single" w:sz="4" w:space="0" w:color="auto"/>
              <w:right w:val="single" w:sz="4" w:space="0" w:color="auto"/>
            </w:tcBorders>
            <w:noWrap/>
            <w:vAlign w:val="bottom"/>
            <w:hideMark/>
          </w:tcPr>
          <w:p w14:paraId="6E3BE768"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252" w:type="pct"/>
            <w:tcBorders>
              <w:top w:val="nil"/>
              <w:left w:val="nil"/>
              <w:bottom w:val="single" w:sz="4" w:space="0" w:color="auto"/>
              <w:right w:val="single" w:sz="4" w:space="0" w:color="auto"/>
            </w:tcBorders>
            <w:noWrap/>
            <w:vAlign w:val="bottom"/>
            <w:hideMark/>
          </w:tcPr>
          <w:p w14:paraId="0B297825"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9,03</w:t>
            </w:r>
          </w:p>
        </w:tc>
        <w:tc>
          <w:tcPr>
            <w:tcW w:w="355" w:type="pct"/>
            <w:tcBorders>
              <w:top w:val="single" w:sz="4" w:space="0" w:color="auto"/>
              <w:left w:val="nil"/>
              <w:bottom w:val="single" w:sz="4" w:space="0" w:color="auto"/>
              <w:right w:val="single" w:sz="4" w:space="0" w:color="auto"/>
            </w:tcBorders>
            <w:noWrap/>
            <w:vAlign w:val="bottom"/>
            <w:hideMark/>
          </w:tcPr>
          <w:p w14:paraId="50F2E48E"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35" w:type="pct"/>
            <w:tcBorders>
              <w:top w:val="single" w:sz="4" w:space="0" w:color="auto"/>
              <w:left w:val="nil"/>
              <w:bottom w:val="single" w:sz="4" w:space="0" w:color="auto"/>
              <w:right w:val="single" w:sz="4" w:space="0" w:color="auto"/>
            </w:tcBorders>
            <w:noWrap/>
            <w:vAlign w:val="bottom"/>
            <w:hideMark/>
          </w:tcPr>
          <w:p w14:paraId="1136EF82"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15" w:type="pct"/>
            <w:tcBorders>
              <w:top w:val="single" w:sz="4" w:space="0" w:color="auto"/>
              <w:left w:val="nil"/>
              <w:bottom w:val="single" w:sz="4" w:space="0" w:color="auto"/>
              <w:right w:val="single" w:sz="4" w:space="0" w:color="auto"/>
            </w:tcBorders>
            <w:noWrap/>
            <w:vAlign w:val="bottom"/>
            <w:hideMark/>
          </w:tcPr>
          <w:p w14:paraId="038F127E"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2203F40F" w14:textId="77777777" w:rsidTr="00077513">
        <w:trPr>
          <w:trHeight w:val="300"/>
        </w:trPr>
        <w:tc>
          <w:tcPr>
            <w:tcW w:w="1249" w:type="pct"/>
            <w:tcBorders>
              <w:top w:val="nil"/>
              <w:left w:val="single" w:sz="4" w:space="0" w:color="auto"/>
              <w:bottom w:val="single" w:sz="4" w:space="0" w:color="auto"/>
              <w:right w:val="single" w:sz="4" w:space="0" w:color="auto"/>
            </w:tcBorders>
            <w:noWrap/>
            <w:vAlign w:val="bottom"/>
            <w:hideMark/>
          </w:tcPr>
          <w:p w14:paraId="7C476EB5"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625" w:type="pct"/>
            <w:tcBorders>
              <w:top w:val="nil"/>
              <w:left w:val="nil"/>
              <w:bottom w:val="single" w:sz="4" w:space="0" w:color="auto"/>
              <w:right w:val="single" w:sz="4" w:space="0" w:color="auto"/>
            </w:tcBorders>
            <w:noWrap/>
            <w:vAlign w:val="bottom"/>
            <w:hideMark/>
          </w:tcPr>
          <w:p w14:paraId="5B6F1189"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90,92</w:t>
            </w:r>
          </w:p>
        </w:tc>
        <w:tc>
          <w:tcPr>
            <w:tcW w:w="268" w:type="pct"/>
            <w:tcBorders>
              <w:top w:val="nil"/>
              <w:left w:val="nil"/>
              <w:bottom w:val="single" w:sz="4" w:space="0" w:color="auto"/>
              <w:right w:val="single" w:sz="4" w:space="0" w:color="auto"/>
            </w:tcBorders>
            <w:noWrap/>
            <w:vAlign w:val="bottom"/>
            <w:hideMark/>
          </w:tcPr>
          <w:p w14:paraId="4F00914E"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252" w:type="pct"/>
            <w:tcBorders>
              <w:top w:val="nil"/>
              <w:left w:val="nil"/>
              <w:bottom w:val="single" w:sz="4" w:space="0" w:color="auto"/>
              <w:right w:val="single" w:sz="4" w:space="0" w:color="auto"/>
            </w:tcBorders>
            <w:noWrap/>
            <w:vAlign w:val="bottom"/>
            <w:hideMark/>
          </w:tcPr>
          <w:p w14:paraId="63D343B0"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11,42</w:t>
            </w:r>
          </w:p>
        </w:tc>
        <w:tc>
          <w:tcPr>
            <w:tcW w:w="355" w:type="pct"/>
            <w:tcBorders>
              <w:top w:val="nil"/>
              <w:left w:val="nil"/>
              <w:bottom w:val="single" w:sz="4" w:space="0" w:color="auto"/>
              <w:right w:val="single" w:sz="4" w:space="0" w:color="auto"/>
            </w:tcBorders>
            <w:noWrap/>
            <w:vAlign w:val="bottom"/>
            <w:hideMark/>
          </w:tcPr>
          <w:p w14:paraId="3AD8956C"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35" w:type="pct"/>
            <w:tcBorders>
              <w:top w:val="nil"/>
              <w:left w:val="nil"/>
              <w:bottom w:val="single" w:sz="4" w:space="0" w:color="auto"/>
              <w:right w:val="single" w:sz="4" w:space="0" w:color="auto"/>
            </w:tcBorders>
            <w:noWrap/>
            <w:vAlign w:val="bottom"/>
            <w:hideMark/>
          </w:tcPr>
          <w:p w14:paraId="21E92BF3"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615" w:type="pct"/>
            <w:tcBorders>
              <w:top w:val="nil"/>
              <w:left w:val="nil"/>
              <w:bottom w:val="single" w:sz="4" w:space="0" w:color="auto"/>
              <w:right w:val="single" w:sz="4" w:space="0" w:color="auto"/>
            </w:tcBorders>
            <w:noWrap/>
            <w:vAlign w:val="bottom"/>
            <w:hideMark/>
          </w:tcPr>
          <w:p w14:paraId="0947C958"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16330F2" w14:textId="77777777" w:rsidTr="00077513">
        <w:trPr>
          <w:trHeight w:val="300"/>
        </w:trPr>
        <w:tc>
          <w:tcPr>
            <w:tcW w:w="1249" w:type="pct"/>
            <w:tcBorders>
              <w:top w:val="nil"/>
              <w:left w:val="single" w:sz="4" w:space="0" w:color="auto"/>
              <w:bottom w:val="single" w:sz="4" w:space="0" w:color="auto"/>
              <w:right w:val="single" w:sz="4" w:space="0" w:color="auto"/>
            </w:tcBorders>
            <w:noWrap/>
            <w:vAlign w:val="bottom"/>
            <w:hideMark/>
          </w:tcPr>
          <w:p w14:paraId="0CB6BB0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625" w:type="pct"/>
            <w:tcBorders>
              <w:top w:val="nil"/>
              <w:left w:val="nil"/>
              <w:bottom w:val="single" w:sz="4" w:space="0" w:color="auto"/>
              <w:right w:val="single" w:sz="4" w:space="0" w:color="auto"/>
            </w:tcBorders>
            <w:noWrap/>
            <w:vAlign w:val="bottom"/>
            <w:hideMark/>
          </w:tcPr>
          <w:p w14:paraId="5932556F"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113,57</w:t>
            </w:r>
          </w:p>
        </w:tc>
        <w:tc>
          <w:tcPr>
            <w:tcW w:w="268" w:type="pct"/>
            <w:tcBorders>
              <w:top w:val="nil"/>
              <w:left w:val="nil"/>
              <w:bottom w:val="single" w:sz="4" w:space="0" w:color="auto"/>
              <w:right w:val="single" w:sz="4" w:space="0" w:color="auto"/>
            </w:tcBorders>
            <w:noWrap/>
            <w:vAlign w:val="bottom"/>
            <w:hideMark/>
          </w:tcPr>
          <w:p w14:paraId="7B046541"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w:t>
            </w:r>
          </w:p>
        </w:tc>
        <w:tc>
          <w:tcPr>
            <w:tcW w:w="1252" w:type="pct"/>
            <w:tcBorders>
              <w:top w:val="nil"/>
              <w:left w:val="nil"/>
              <w:bottom w:val="single" w:sz="4" w:space="0" w:color="auto"/>
              <w:right w:val="single" w:sz="4" w:space="0" w:color="auto"/>
            </w:tcBorders>
            <w:noWrap/>
            <w:vAlign w:val="bottom"/>
            <w:hideMark/>
          </w:tcPr>
          <w:p w14:paraId="72AD57F6"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3,24</w:t>
            </w:r>
          </w:p>
        </w:tc>
        <w:tc>
          <w:tcPr>
            <w:tcW w:w="355" w:type="pct"/>
            <w:tcBorders>
              <w:top w:val="nil"/>
              <w:left w:val="nil"/>
              <w:bottom w:val="single" w:sz="4" w:space="0" w:color="auto"/>
              <w:right w:val="single" w:sz="4" w:space="0" w:color="auto"/>
            </w:tcBorders>
            <w:noWrap/>
            <w:vAlign w:val="bottom"/>
            <w:hideMark/>
          </w:tcPr>
          <w:p w14:paraId="7F146130"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35" w:type="pct"/>
            <w:tcBorders>
              <w:top w:val="nil"/>
              <w:left w:val="nil"/>
              <w:bottom w:val="single" w:sz="4" w:space="0" w:color="auto"/>
              <w:right w:val="single" w:sz="4" w:space="0" w:color="auto"/>
            </w:tcBorders>
            <w:noWrap/>
            <w:vAlign w:val="bottom"/>
            <w:hideMark/>
          </w:tcPr>
          <w:p w14:paraId="4BE17323"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615" w:type="pct"/>
            <w:tcBorders>
              <w:top w:val="nil"/>
              <w:left w:val="nil"/>
              <w:bottom w:val="single" w:sz="4" w:space="0" w:color="auto"/>
              <w:right w:val="single" w:sz="4" w:space="0" w:color="auto"/>
            </w:tcBorders>
            <w:noWrap/>
            <w:vAlign w:val="bottom"/>
            <w:hideMark/>
          </w:tcPr>
          <w:p w14:paraId="230AD391"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F4724C" w14:paraId="69482C1B" w14:textId="77777777" w:rsidTr="00077513">
        <w:trPr>
          <w:trHeight w:val="300"/>
        </w:trPr>
        <w:tc>
          <w:tcPr>
            <w:tcW w:w="1249" w:type="pct"/>
            <w:tcBorders>
              <w:top w:val="nil"/>
              <w:left w:val="single" w:sz="4" w:space="0" w:color="auto"/>
              <w:bottom w:val="single" w:sz="4" w:space="0" w:color="auto"/>
              <w:right w:val="single" w:sz="4" w:space="0" w:color="auto"/>
            </w:tcBorders>
            <w:noWrap/>
            <w:vAlign w:val="bottom"/>
            <w:hideMark/>
          </w:tcPr>
          <w:p w14:paraId="0559BADD"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625" w:type="pct"/>
            <w:tcBorders>
              <w:top w:val="nil"/>
              <w:left w:val="nil"/>
              <w:bottom w:val="single" w:sz="4" w:space="0" w:color="auto"/>
              <w:right w:val="single" w:sz="4" w:space="0" w:color="auto"/>
            </w:tcBorders>
            <w:noWrap/>
            <w:vAlign w:val="bottom"/>
            <w:hideMark/>
          </w:tcPr>
          <w:p w14:paraId="5E626901"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138,94</w:t>
            </w:r>
          </w:p>
        </w:tc>
        <w:tc>
          <w:tcPr>
            <w:tcW w:w="268" w:type="pct"/>
            <w:tcBorders>
              <w:top w:val="nil"/>
              <w:left w:val="nil"/>
              <w:bottom w:val="single" w:sz="4" w:space="0" w:color="auto"/>
              <w:right w:val="single" w:sz="4" w:space="0" w:color="auto"/>
            </w:tcBorders>
            <w:noWrap/>
            <w:vAlign w:val="bottom"/>
            <w:hideMark/>
          </w:tcPr>
          <w:p w14:paraId="00633877"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252" w:type="pct"/>
            <w:tcBorders>
              <w:top w:val="nil"/>
              <w:left w:val="nil"/>
              <w:bottom w:val="single" w:sz="4" w:space="0" w:color="auto"/>
              <w:right w:val="single" w:sz="4" w:space="0" w:color="auto"/>
            </w:tcBorders>
            <w:noWrap/>
            <w:vAlign w:val="bottom"/>
            <w:hideMark/>
          </w:tcPr>
          <w:p w14:paraId="7979CC53"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12,77</w:t>
            </w:r>
          </w:p>
        </w:tc>
        <w:tc>
          <w:tcPr>
            <w:tcW w:w="355" w:type="pct"/>
            <w:tcBorders>
              <w:top w:val="nil"/>
              <w:left w:val="nil"/>
              <w:bottom w:val="single" w:sz="4" w:space="0" w:color="auto"/>
              <w:right w:val="single" w:sz="4" w:space="0" w:color="auto"/>
            </w:tcBorders>
            <w:noWrap/>
            <w:vAlign w:val="bottom"/>
            <w:hideMark/>
          </w:tcPr>
          <w:p w14:paraId="50A0749A"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35" w:type="pct"/>
            <w:tcBorders>
              <w:top w:val="nil"/>
              <w:left w:val="nil"/>
              <w:bottom w:val="single" w:sz="4" w:space="0" w:color="auto"/>
              <w:right w:val="single" w:sz="4" w:space="0" w:color="auto"/>
            </w:tcBorders>
            <w:noWrap/>
            <w:vAlign w:val="bottom"/>
            <w:hideMark/>
          </w:tcPr>
          <w:p w14:paraId="36A6281D"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15" w:type="pct"/>
            <w:tcBorders>
              <w:top w:val="nil"/>
              <w:left w:val="nil"/>
              <w:bottom w:val="single" w:sz="4" w:space="0" w:color="auto"/>
              <w:right w:val="single" w:sz="4" w:space="0" w:color="auto"/>
            </w:tcBorders>
            <w:noWrap/>
            <w:vAlign w:val="bottom"/>
            <w:hideMark/>
          </w:tcPr>
          <w:p w14:paraId="1F5DB728"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47BD6919" w14:textId="77777777" w:rsidR="00EA3391" w:rsidRDefault="00F4724C" w:rsidP="00EA3391">
      <w:pPr>
        <w:spacing w:line="360" w:lineRule="auto"/>
        <w:rPr>
          <w:rFonts w:cs="Times New Roman"/>
          <w:szCs w:val="24"/>
        </w:rPr>
      </w:pPr>
      <w:r>
        <w:rPr>
          <w:rFonts w:cs="Times New Roman"/>
          <w:szCs w:val="24"/>
        </w:rPr>
        <w:t xml:space="preserve">Medias con una letra común no son significativamente diferentes (p &gt; 0,05) </w:t>
      </w:r>
    </w:p>
    <w:p w14:paraId="40D45F9F" w14:textId="4875B2C2" w:rsidR="00EA3391" w:rsidRPr="00EA3391" w:rsidRDefault="00F4724C" w:rsidP="00EA3391">
      <w:pPr>
        <w:spacing w:line="360" w:lineRule="auto"/>
      </w:pPr>
      <w:r w:rsidRPr="00EA3391">
        <w:rPr>
          <w:rFonts w:cs="Times New Roman"/>
          <w:bCs/>
          <w:szCs w:val="24"/>
        </w:rPr>
        <w:t>El efecto de los nutrientes que fueron significativos</w:t>
      </w:r>
      <w:r w:rsidR="00FC53D5" w:rsidRPr="00EA3391">
        <w:rPr>
          <w:rFonts w:cs="Times New Roman"/>
          <w:bCs/>
          <w:szCs w:val="24"/>
        </w:rPr>
        <w:t xml:space="preserve"> (p&lt;0,001)</w:t>
      </w:r>
      <w:r w:rsidRPr="00EA3391">
        <w:rPr>
          <w:rFonts w:cs="Times New Roman"/>
          <w:bCs/>
          <w:szCs w:val="24"/>
        </w:rPr>
        <w:t xml:space="preserve"> sobre la absorción de nitrógeno en la provincia de Chimborazo se observa en </w:t>
      </w:r>
      <w:r w:rsidR="00185D16" w:rsidRPr="00EA3391">
        <w:rPr>
          <w:rFonts w:cs="Times New Roman"/>
          <w:bCs/>
          <w:szCs w:val="24"/>
        </w:rPr>
        <w:t>la</w:t>
      </w:r>
      <w:r w:rsidRPr="00EA3391">
        <w:rPr>
          <w:rFonts w:cs="Times New Roman"/>
          <w:bCs/>
          <w:szCs w:val="24"/>
        </w:rPr>
        <w:t xml:space="preserve"> siguiente </w:t>
      </w:r>
      <w:r w:rsidR="00185D16" w:rsidRPr="00EA3391">
        <w:rPr>
          <w:rFonts w:cs="Times New Roman"/>
          <w:bCs/>
          <w:szCs w:val="24"/>
        </w:rPr>
        <w:t>figura</w:t>
      </w:r>
      <w:r w:rsidR="00EA3391" w:rsidRPr="00EA3391">
        <w:rPr>
          <w:rFonts w:cs="Times New Roman"/>
          <w:bCs/>
          <w:szCs w:val="24"/>
        </w:rPr>
        <w:t xml:space="preserve">. </w:t>
      </w:r>
      <w:bookmarkStart w:id="1575" w:name="_Toc72704062"/>
      <w:bookmarkStart w:id="1576" w:name="_Toc72704586"/>
      <w:bookmarkStart w:id="1577" w:name="_Toc72705651"/>
      <w:bookmarkStart w:id="1578" w:name="_Toc72706290"/>
      <w:bookmarkStart w:id="1579" w:name="_Toc72741240"/>
      <w:bookmarkStart w:id="1580" w:name="_Toc72742836"/>
      <w:bookmarkStart w:id="1581" w:name="_Toc72881201"/>
      <w:bookmarkStart w:id="1582" w:name="_Toc72881572"/>
    </w:p>
    <w:p w14:paraId="0ACBF4FC" w14:textId="01D0A1F4" w:rsidR="00F4724C" w:rsidRPr="00A434EA" w:rsidRDefault="00276387" w:rsidP="00135DE8">
      <w:pPr>
        <w:pStyle w:val="Prrafodelista"/>
        <w:numPr>
          <w:ilvl w:val="0"/>
          <w:numId w:val="36"/>
        </w:numPr>
        <w:autoSpaceDE w:val="0"/>
        <w:autoSpaceDN w:val="0"/>
        <w:adjustRightInd w:val="0"/>
        <w:spacing w:after="0" w:line="360" w:lineRule="auto"/>
      </w:pPr>
      <w:r w:rsidRPr="00276387">
        <w:t>Nitrógeno</w:t>
      </w:r>
      <w:bookmarkEnd w:id="1575"/>
      <w:bookmarkEnd w:id="1576"/>
      <w:bookmarkEnd w:id="1577"/>
      <w:bookmarkEnd w:id="1578"/>
      <w:bookmarkEnd w:id="1579"/>
      <w:bookmarkEnd w:id="1580"/>
      <w:bookmarkEnd w:id="1581"/>
      <w:bookmarkEnd w:id="1582"/>
    </w:p>
    <w:p w14:paraId="4D820B96" w14:textId="72FF2ABC" w:rsidR="00F4724C" w:rsidRDefault="00F4724C" w:rsidP="00F4724C">
      <w:pPr>
        <w:spacing w:line="360" w:lineRule="auto"/>
        <w:jc w:val="center"/>
        <w:rPr>
          <w:rFonts w:cs="Times New Roman"/>
          <w:szCs w:val="24"/>
        </w:rPr>
      </w:pPr>
      <w:r>
        <w:rPr>
          <w:rFonts w:cs="Times New Roman"/>
          <w:noProof/>
          <w:szCs w:val="24"/>
          <w:lang w:eastAsia="es-EC"/>
        </w:rPr>
        <w:drawing>
          <wp:inline distT="0" distB="0" distL="0" distR="0" wp14:anchorId="00038DD2" wp14:editId="668B0EAD">
            <wp:extent cx="4019550" cy="2114550"/>
            <wp:effectExtent l="0" t="0" r="0" b="0"/>
            <wp:docPr id="43" name="Gráfico 43">
              <a:extLst xmlns:a="http://schemas.openxmlformats.org/drawingml/2006/main">
                <a:ext uri="{FF2B5EF4-FFF2-40B4-BE49-F238E27FC236}">
                  <a16:creationId xmlns:a16="http://schemas.microsoft.com/office/drawing/2014/main" id="{0D468FFF-BEBE-47C3-BF98-E5BA42F07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8C4CD1" w14:textId="625F1CF0" w:rsidR="00276387" w:rsidRPr="00276387" w:rsidRDefault="00D50442" w:rsidP="00135DE8">
      <w:pPr>
        <w:pStyle w:val="Ttulo1"/>
        <w:numPr>
          <w:ilvl w:val="0"/>
          <w:numId w:val="36"/>
        </w:numPr>
        <w:spacing w:after="0"/>
        <w:rPr>
          <w:b w:val="0"/>
          <w:bCs w:val="0"/>
        </w:rPr>
      </w:pPr>
      <w:bookmarkStart w:id="1583" w:name="_Toc72704063"/>
      <w:bookmarkStart w:id="1584" w:name="_Toc72704587"/>
      <w:bookmarkStart w:id="1585" w:name="_Toc72705652"/>
      <w:bookmarkStart w:id="1586" w:name="_Toc72706291"/>
      <w:bookmarkStart w:id="1587" w:name="_Toc72741241"/>
      <w:bookmarkStart w:id="1588" w:name="_Toc72742837"/>
      <w:bookmarkStart w:id="1589" w:name="_Toc72881202"/>
      <w:bookmarkStart w:id="1590" w:name="_Toc72881573"/>
      <w:bookmarkStart w:id="1591" w:name="_Toc75606443"/>
      <w:bookmarkStart w:id="1592" w:name="_Toc75611922"/>
      <w:bookmarkStart w:id="1593" w:name="_Toc75612768"/>
      <w:bookmarkStart w:id="1594" w:name="_Toc75679924"/>
      <w:bookmarkStart w:id="1595" w:name="_Toc75702532"/>
      <w:bookmarkStart w:id="1596" w:name="_Toc79313225"/>
      <w:bookmarkStart w:id="1597" w:name="_Toc80008430"/>
      <w:bookmarkStart w:id="1598" w:name="_Toc80312323"/>
      <w:r>
        <w:rPr>
          <w:b w:val="0"/>
          <w:bCs w:val="0"/>
        </w:rPr>
        <w:t>Fósforo</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655DE8F2" w14:textId="6952DA20" w:rsidR="00F4724C" w:rsidRPr="00EA3391" w:rsidRDefault="00F4724C" w:rsidP="004B66F2">
      <w:pPr>
        <w:spacing w:line="360" w:lineRule="auto"/>
        <w:jc w:val="center"/>
        <w:rPr>
          <w:rFonts w:cs="Times New Roman"/>
          <w:noProof/>
          <w:szCs w:val="24"/>
        </w:rPr>
      </w:pPr>
      <w:r>
        <w:rPr>
          <w:rFonts w:cs="Times New Roman"/>
          <w:noProof/>
          <w:szCs w:val="24"/>
          <w:lang w:eastAsia="es-EC"/>
        </w:rPr>
        <w:drawing>
          <wp:inline distT="0" distB="0" distL="0" distR="0" wp14:anchorId="236473E7" wp14:editId="13FCB865">
            <wp:extent cx="4019550" cy="2171700"/>
            <wp:effectExtent l="0" t="0" r="0" b="0"/>
            <wp:docPr id="44" name="Gráfico 44">
              <a:extLst xmlns:a="http://schemas.openxmlformats.org/drawingml/2006/main">
                <a:ext uri="{FF2B5EF4-FFF2-40B4-BE49-F238E27FC236}">
                  <a16:creationId xmlns:a16="http://schemas.microsoft.com/office/drawing/2014/main" id="{05F715C1-9F3B-4761-BB7F-4A9064536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B7709A" w14:textId="77777777" w:rsidR="004455F1" w:rsidRDefault="00F4724C" w:rsidP="004455F1">
      <w:pPr>
        <w:autoSpaceDE w:val="0"/>
        <w:autoSpaceDN w:val="0"/>
        <w:adjustRightInd w:val="0"/>
        <w:spacing w:after="0" w:line="360" w:lineRule="auto"/>
        <w:rPr>
          <w:rFonts w:cs="Times New Roman"/>
          <w:szCs w:val="24"/>
        </w:rPr>
      </w:pPr>
      <w:r w:rsidRPr="008A1EC1">
        <w:rPr>
          <w:rFonts w:cs="Times New Roman"/>
          <w:szCs w:val="24"/>
        </w:rPr>
        <w:t xml:space="preserve">Efecto de los macronutrientes </w:t>
      </w:r>
      <w:r w:rsidR="00D50442">
        <w:rPr>
          <w:rFonts w:cs="Times New Roman"/>
          <w:szCs w:val="24"/>
        </w:rPr>
        <w:t xml:space="preserve">a) nitrógeno y b) fósforo </w:t>
      </w:r>
      <w:r w:rsidRPr="008A1EC1">
        <w:rPr>
          <w:rFonts w:cs="Times New Roman"/>
          <w:szCs w:val="24"/>
        </w:rPr>
        <w:t>sobre la a</w:t>
      </w:r>
      <w:r w:rsidR="0005222C">
        <w:rPr>
          <w:rFonts w:cs="Times New Roman"/>
          <w:szCs w:val="24"/>
        </w:rPr>
        <w:t>b</w:t>
      </w:r>
      <w:r w:rsidRPr="008A1EC1">
        <w:rPr>
          <w:rFonts w:cs="Times New Roman"/>
          <w:szCs w:val="24"/>
        </w:rPr>
        <w:t>sorción de nitrógeno en maíz suave en la provincia de Chimborazo (2012-2014).</w:t>
      </w:r>
    </w:p>
    <w:p w14:paraId="6E5618BC" w14:textId="2DFA0EC9" w:rsidR="00F4724C" w:rsidRPr="004455F1" w:rsidRDefault="00F4724C" w:rsidP="0063774F">
      <w:pPr>
        <w:pStyle w:val="Ttulo3"/>
      </w:pPr>
      <w:bookmarkStart w:id="1599" w:name="_Toc80312324"/>
      <w:r>
        <w:lastRenderedPageBreak/>
        <w:t>A</w:t>
      </w:r>
      <w:r w:rsidR="0005222C">
        <w:t>b</w:t>
      </w:r>
      <w:r>
        <w:t>sorción de</w:t>
      </w:r>
      <w:r w:rsidR="00DC4FC3">
        <w:t>l</w:t>
      </w:r>
      <w:r w:rsidR="005A6120">
        <w:t xml:space="preserve"> f</w:t>
      </w:r>
      <w:r>
        <w:t>ósforo (Kg</w:t>
      </w:r>
      <w:r>
        <w:rPr>
          <w:rFonts w:eastAsia="Times New Roman"/>
          <w:color w:val="000000"/>
          <w:lang w:eastAsia="es-EC"/>
        </w:rPr>
        <w:t>/</w:t>
      </w:r>
      <w:r>
        <w:t>ha</w:t>
      </w:r>
      <w:r>
        <w:rPr>
          <w:vertAlign w:val="superscript"/>
        </w:rPr>
        <w:t>-1</w:t>
      </w:r>
      <w:r>
        <w:t>)</w:t>
      </w:r>
      <w:bookmarkEnd w:id="1599"/>
    </w:p>
    <w:p w14:paraId="0CF84A50" w14:textId="77777777" w:rsidR="0063774F" w:rsidRDefault="00F4724C" w:rsidP="0063774F">
      <w:pPr>
        <w:autoSpaceDE w:val="0"/>
        <w:autoSpaceDN w:val="0"/>
        <w:adjustRightInd w:val="0"/>
        <w:spacing w:before="360" w:after="0" w:line="360" w:lineRule="auto"/>
        <w:rPr>
          <w:rFonts w:cs="Times New Roman"/>
          <w:szCs w:val="24"/>
        </w:rPr>
      </w:pPr>
      <w:r>
        <w:rPr>
          <w:rFonts w:cs="Times New Roman"/>
          <w:szCs w:val="24"/>
        </w:rPr>
        <w:t>Al utilizar el modelo estadístico para a</w:t>
      </w:r>
      <w:r w:rsidR="0005222C">
        <w:rPr>
          <w:rFonts w:cs="Times New Roman"/>
          <w:szCs w:val="24"/>
        </w:rPr>
        <w:t>b</w:t>
      </w:r>
      <w:r>
        <w:rPr>
          <w:rFonts w:cs="Times New Roman"/>
          <w:szCs w:val="24"/>
        </w:rPr>
        <w:t xml:space="preserve">sorción total de fósforo, se detectaron diferencias estadísticas significativas (p &lt;0,05) para las fuentes de variación de </w:t>
      </w:r>
      <w:r w:rsidR="002C2C34">
        <w:rPr>
          <w:rFonts w:cs="Times New Roman"/>
          <w:szCs w:val="24"/>
        </w:rPr>
        <w:t xml:space="preserve">dosis de </w:t>
      </w:r>
      <w:r>
        <w:rPr>
          <w:rFonts w:cs="Times New Roman"/>
          <w:szCs w:val="24"/>
        </w:rPr>
        <w:t>nitrógeno y magnesio; mientras que no fueron significativos para Parroquia, Dosis de fósforo, potasio y azufre (</w:t>
      </w:r>
      <w:r w:rsidR="00BA248F">
        <w:rPr>
          <w:rFonts w:cs="Times New Roman"/>
          <w:szCs w:val="24"/>
        </w:rPr>
        <w:t>Cuadro</w:t>
      </w:r>
      <w:r>
        <w:rPr>
          <w:rFonts w:cs="Times New Roman"/>
          <w:szCs w:val="24"/>
        </w:rPr>
        <w:t xml:space="preserve"> </w:t>
      </w:r>
      <w:r w:rsidR="00BA248F">
        <w:rPr>
          <w:rFonts w:cs="Times New Roman"/>
          <w:szCs w:val="24"/>
        </w:rPr>
        <w:t>7</w:t>
      </w:r>
      <w:r>
        <w:rPr>
          <w:rFonts w:cs="Times New Roman"/>
          <w:szCs w:val="24"/>
        </w:rPr>
        <w:t xml:space="preserve">2). Por lo tanto, las dosis de los fertilizantes con nitrógeno y magnesio afectaron a esta variable. El promedio general de </w:t>
      </w:r>
      <w:r w:rsidR="001E7468">
        <w:rPr>
          <w:rFonts w:cs="Times New Roman"/>
          <w:szCs w:val="24"/>
        </w:rPr>
        <w:t>absorción</w:t>
      </w:r>
      <w:r w:rsidR="002C2C34">
        <w:rPr>
          <w:rFonts w:cs="Times New Roman"/>
          <w:szCs w:val="24"/>
        </w:rPr>
        <w:t xml:space="preserve"> de fósforo</w:t>
      </w:r>
      <w:r>
        <w:rPr>
          <w:rFonts w:cs="Times New Roman"/>
          <w:szCs w:val="24"/>
        </w:rPr>
        <w:t xml:space="preserve"> fue 26,42 Kg/ha</w:t>
      </w:r>
      <w:r>
        <w:rPr>
          <w:rFonts w:cs="Times New Roman"/>
          <w:szCs w:val="24"/>
          <w:vertAlign w:val="superscript"/>
        </w:rPr>
        <w:t>-1</w:t>
      </w:r>
      <w:r>
        <w:rPr>
          <w:rFonts w:cs="Times New Roman"/>
          <w:szCs w:val="24"/>
        </w:rPr>
        <w:t>; con un R</w:t>
      </w:r>
      <w:r>
        <w:rPr>
          <w:rFonts w:cs="Times New Roman"/>
          <w:szCs w:val="24"/>
          <w:vertAlign w:val="superscript"/>
        </w:rPr>
        <w:t xml:space="preserve">2 </w:t>
      </w:r>
      <w:r>
        <w:rPr>
          <w:rFonts w:cs="Times New Roman"/>
          <w:szCs w:val="24"/>
        </w:rPr>
        <w:t>de 0,42 y un coeficiente de variación fue de 22,53%.</w:t>
      </w:r>
      <w:bookmarkStart w:id="1600" w:name="_Toc79314064"/>
    </w:p>
    <w:p w14:paraId="174252FD" w14:textId="5C9B46E5" w:rsidR="00D35FEF" w:rsidRPr="0063774F" w:rsidRDefault="00D35FEF" w:rsidP="0063774F">
      <w:pPr>
        <w:autoSpaceDE w:val="0"/>
        <w:autoSpaceDN w:val="0"/>
        <w:adjustRightInd w:val="0"/>
        <w:spacing w:before="360" w:after="0" w:line="360" w:lineRule="auto"/>
        <w:rPr>
          <w:rFonts w:cs="Times New Roman"/>
          <w:szCs w:val="24"/>
        </w:rPr>
      </w:pPr>
      <w:r w:rsidRPr="00D35FEF">
        <w:rPr>
          <w:rFonts w:cs="Times New Roman"/>
          <w:b/>
          <w:szCs w:val="24"/>
        </w:rPr>
        <w:t xml:space="preserve">Cuadro </w:t>
      </w:r>
      <w:r w:rsidRPr="00D35FEF">
        <w:rPr>
          <w:rFonts w:cs="Times New Roman"/>
          <w:b/>
          <w:i/>
          <w:iCs/>
          <w:szCs w:val="24"/>
        </w:rPr>
        <w:fldChar w:fldCharType="begin"/>
      </w:r>
      <w:r w:rsidRPr="00D35FEF">
        <w:rPr>
          <w:rFonts w:cs="Times New Roman"/>
          <w:b/>
          <w:szCs w:val="24"/>
        </w:rPr>
        <w:instrText xml:space="preserve"> SEQ Cuadro \* ARABIC </w:instrText>
      </w:r>
      <w:r w:rsidRPr="00D35FEF">
        <w:rPr>
          <w:rFonts w:cs="Times New Roman"/>
          <w:b/>
          <w:i/>
          <w:iCs/>
          <w:szCs w:val="24"/>
        </w:rPr>
        <w:fldChar w:fldCharType="separate"/>
      </w:r>
      <w:r w:rsidR="000D1F55">
        <w:rPr>
          <w:rFonts w:cs="Times New Roman"/>
          <w:b/>
          <w:noProof/>
          <w:szCs w:val="24"/>
        </w:rPr>
        <w:t>72</w:t>
      </w:r>
      <w:r w:rsidRPr="00D35FEF">
        <w:rPr>
          <w:rFonts w:cs="Times New Roman"/>
          <w:b/>
          <w:i/>
          <w:iCs/>
          <w:szCs w:val="24"/>
        </w:rPr>
        <w:fldChar w:fldCharType="end"/>
      </w:r>
      <w:r w:rsidRPr="00D35FEF">
        <w:rPr>
          <w:rFonts w:cs="Times New Roman"/>
          <w:b/>
          <w:szCs w:val="24"/>
        </w:rPr>
        <w:t>.</w:t>
      </w:r>
      <w:r w:rsidRPr="00D35FEF">
        <w:rPr>
          <w:rFonts w:cs="Times New Roman"/>
          <w:szCs w:val="24"/>
        </w:rPr>
        <w:t xml:space="preserve"> Análisis de la Varianza (SC tipo I) y porcentaje de varianza para absorción de fósforo de maíz suave en grano seco, evaluado en la provincia de Chimborazo (2012-2014)</w:t>
      </w:r>
      <w:bookmarkEnd w:id="1600"/>
    </w:p>
    <w:tbl>
      <w:tblPr>
        <w:tblW w:w="8075" w:type="dxa"/>
        <w:tblCellMar>
          <w:left w:w="70" w:type="dxa"/>
          <w:right w:w="70" w:type="dxa"/>
        </w:tblCellMar>
        <w:tblLook w:val="04A0" w:firstRow="1" w:lastRow="0" w:firstColumn="1" w:lastColumn="0" w:noHBand="0" w:noVBand="1"/>
      </w:tblPr>
      <w:tblGrid>
        <w:gridCol w:w="1192"/>
        <w:gridCol w:w="146"/>
        <w:gridCol w:w="1192"/>
        <w:gridCol w:w="726"/>
        <w:gridCol w:w="1134"/>
        <w:gridCol w:w="850"/>
        <w:gridCol w:w="1418"/>
        <w:gridCol w:w="1417"/>
      </w:tblGrid>
      <w:tr w:rsidR="00F4724C" w14:paraId="0D666BBD" w14:textId="77777777" w:rsidTr="0063774F">
        <w:trPr>
          <w:trHeight w:val="300"/>
        </w:trPr>
        <w:tc>
          <w:tcPr>
            <w:tcW w:w="1192" w:type="dxa"/>
            <w:tcBorders>
              <w:top w:val="single" w:sz="4" w:space="0" w:color="auto"/>
              <w:left w:val="single" w:sz="4" w:space="0" w:color="auto"/>
              <w:bottom w:val="single" w:sz="4" w:space="0" w:color="auto"/>
              <w:right w:val="single" w:sz="4" w:space="0" w:color="auto"/>
            </w:tcBorders>
            <w:noWrap/>
            <w:vAlign w:val="bottom"/>
            <w:hideMark/>
          </w:tcPr>
          <w:p w14:paraId="1BC427A0"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146" w:type="dxa"/>
            <w:tcBorders>
              <w:top w:val="single" w:sz="4" w:space="0" w:color="auto"/>
              <w:left w:val="nil"/>
              <w:bottom w:val="single" w:sz="4" w:space="0" w:color="auto"/>
              <w:right w:val="nil"/>
            </w:tcBorders>
          </w:tcPr>
          <w:p w14:paraId="4F30E0B1" w14:textId="77777777" w:rsidR="00F4724C" w:rsidRDefault="00F4724C" w:rsidP="0063774F">
            <w:pPr>
              <w:spacing w:after="0" w:line="240" w:lineRule="auto"/>
              <w:jc w:val="center"/>
              <w:rPr>
                <w:rFonts w:eastAsia="Times New Roman" w:cs="Times New Roman"/>
                <w:b/>
                <w:bCs/>
                <w:color w:val="000000"/>
                <w:szCs w:val="24"/>
                <w:lang w:eastAsia="es-EC"/>
              </w:rPr>
            </w:pPr>
          </w:p>
        </w:tc>
        <w:tc>
          <w:tcPr>
            <w:tcW w:w="1192" w:type="dxa"/>
            <w:tcBorders>
              <w:top w:val="single" w:sz="4" w:space="0" w:color="auto"/>
              <w:left w:val="nil"/>
              <w:bottom w:val="single" w:sz="4" w:space="0" w:color="auto"/>
              <w:right w:val="single" w:sz="4" w:space="0" w:color="auto"/>
            </w:tcBorders>
            <w:noWrap/>
            <w:vAlign w:val="bottom"/>
            <w:hideMark/>
          </w:tcPr>
          <w:p w14:paraId="2128CFA7"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726" w:type="dxa"/>
            <w:tcBorders>
              <w:top w:val="single" w:sz="4" w:space="0" w:color="auto"/>
              <w:left w:val="nil"/>
              <w:bottom w:val="single" w:sz="4" w:space="0" w:color="auto"/>
              <w:right w:val="single" w:sz="4" w:space="0" w:color="auto"/>
            </w:tcBorders>
            <w:noWrap/>
            <w:vAlign w:val="bottom"/>
            <w:hideMark/>
          </w:tcPr>
          <w:p w14:paraId="35B2FBFB"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Gl</w:t>
            </w:r>
          </w:p>
        </w:tc>
        <w:tc>
          <w:tcPr>
            <w:tcW w:w="1134" w:type="dxa"/>
            <w:tcBorders>
              <w:top w:val="single" w:sz="4" w:space="0" w:color="auto"/>
              <w:left w:val="nil"/>
              <w:bottom w:val="single" w:sz="4" w:space="0" w:color="auto"/>
              <w:right w:val="single" w:sz="4" w:space="0" w:color="auto"/>
            </w:tcBorders>
            <w:noWrap/>
            <w:vAlign w:val="bottom"/>
            <w:hideMark/>
          </w:tcPr>
          <w:p w14:paraId="2E799C82"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850" w:type="dxa"/>
            <w:tcBorders>
              <w:top w:val="single" w:sz="4" w:space="0" w:color="auto"/>
              <w:left w:val="nil"/>
              <w:bottom w:val="single" w:sz="4" w:space="0" w:color="auto"/>
              <w:right w:val="single" w:sz="4" w:space="0" w:color="auto"/>
            </w:tcBorders>
            <w:noWrap/>
            <w:vAlign w:val="bottom"/>
            <w:hideMark/>
          </w:tcPr>
          <w:p w14:paraId="0A75F648"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1418" w:type="dxa"/>
            <w:tcBorders>
              <w:top w:val="single" w:sz="4" w:space="0" w:color="auto"/>
              <w:left w:val="nil"/>
              <w:bottom w:val="single" w:sz="4" w:space="0" w:color="auto"/>
              <w:right w:val="single" w:sz="4" w:space="0" w:color="auto"/>
            </w:tcBorders>
            <w:noWrap/>
            <w:vAlign w:val="bottom"/>
            <w:hideMark/>
          </w:tcPr>
          <w:p w14:paraId="6A75CD78"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1417" w:type="dxa"/>
            <w:tcBorders>
              <w:top w:val="single" w:sz="4" w:space="0" w:color="auto"/>
              <w:left w:val="nil"/>
              <w:bottom w:val="single" w:sz="4" w:space="0" w:color="auto"/>
              <w:right w:val="single" w:sz="4" w:space="0" w:color="auto"/>
            </w:tcBorders>
            <w:noWrap/>
            <w:vAlign w:val="bottom"/>
            <w:hideMark/>
          </w:tcPr>
          <w:p w14:paraId="44585FF7" w14:textId="77777777" w:rsidR="00F4724C" w:rsidRDefault="00F4724C" w:rsidP="006377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Variable %</w:t>
            </w:r>
          </w:p>
        </w:tc>
      </w:tr>
      <w:tr w:rsidR="00F4724C" w14:paraId="77262ECC"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2D3FDF71"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146" w:type="dxa"/>
            <w:tcBorders>
              <w:top w:val="nil"/>
              <w:left w:val="nil"/>
              <w:bottom w:val="single" w:sz="4" w:space="0" w:color="auto"/>
              <w:right w:val="nil"/>
            </w:tcBorders>
          </w:tcPr>
          <w:p w14:paraId="066BCB38"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705FDCA9"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1516,94</w:t>
            </w:r>
          </w:p>
        </w:tc>
        <w:tc>
          <w:tcPr>
            <w:tcW w:w="726" w:type="dxa"/>
            <w:tcBorders>
              <w:top w:val="nil"/>
              <w:left w:val="nil"/>
              <w:bottom w:val="single" w:sz="4" w:space="0" w:color="auto"/>
              <w:right w:val="single" w:sz="4" w:space="0" w:color="auto"/>
            </w:tcBorders>
            <w:noWrap/>
            <w:vAlign w:val="bottom"/>
            <w:hideMark/>
          </w:tcPr>
          <w:p w14:paraId="28A13DE0"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1134" w:type="dxa"/>
            <w:tcBorders>
              <w:top w:val="nil"/>
              <w:left w:val="nil"/>
              <w:bottom w:val="single" w:sz="4" w:space="0" w:color="auto"/>
              <w:right w:val="single" w:sz="4" w:space="0" w:color="auto"/>
            </w:tcBorders>
            <w:noWrap/>
            <w:vAlign w:val="bottom"/>
            <w:hideMark/>
          </w:tcPr>
          <w:p w14:paraId="4CCF853A"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68,95</w:t>
            </w:r>
          </w:p>
        </w:tc>
        <w:tc>
          <w:tcPr>
            <w:tcW w:w="850" w:type="dxa"/>
            <w:tcBorders>
              <w:top w:val="nil"/>
              <w:left w:val="nil"/>
              <w:bottom w:val="single" w:sz="4" w:space="0" w:color="auto"/>
              <w:right w:val="single" w:sz="4" w:space="0" w:color="auto"/>
            </w:tcBorders>
            <w:noWrap/>
            <w:vAlign w:val="bottom"/>
            <w:hideMark/>
          </w:tcPr>
          <w:p w14:paraId="5036ED84"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1,95</w:t>
            </w:r>
          </w:p>
        </w:tc>
        <w:tc>
          <w:tcPr>
            <w:tcW w:w="1418" w:type="dxa"/>
            <w:tcBorders>
              <w:top w:val="nil"/>
              <w:left w:val="nil"/>
              <w:bottom w:val="single" w:sz="4" w:space="0" w:color="auto"/>
              <w:right w:val="single" w:sz="4" w:space="0" w:color="auto"/>
            </w:tcBorders>
            <w:noWrap/>
            <w:vAlign w:val="bottom"/>
            <w:hideMark/>
          </w:tcPr>
          <w:p w14:paraId="6642CCEC"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0,0222</w:t>
            </w:r>
          </w:p>
        </w:tc>
        <w:tc>
          <w:tcPr>
            <w:tcW w:w="1417" w:type="dxa"/>
            <w:tcBorders>
              <w:top w:val="nil"/>
              <w:left w:val="nil"/>
              <w:bottom w:val="single" w:sz="4" w:space="0" w:color="auto"/>
              <w:right w:val="single" w:sz="4" w:space="0" w:color="auto"/>
            </w:tcBorders>
            <w:noWrap/>
            <w:vAlign w:val="bottom"/>
            <w:hideMark/>
          </w:tcPr>
          <w:p w14:paraId="2BBC701F"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42,06</w:t>
            </w:r>
          </w:p>
        </w:tc>
      </w:tr>
      <w:tr w:rsidR="00F4724C" w14:paraId="356B5283"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0EDE4AA3"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146" w:type="dxa"/>
            <w:tcBorders>
              <w:top w:val="nil"/>
              <w:left w:val="nil"/>
              <w:bottom w:val="single" w:sz="4" w:space="0" w:color="auto"/>
              <w:right w:val="nil"/>
            </w:tcBorders>
          </w:tcPr>
          <w:p w14:paraId="00E212E1"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7BFAF609"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71,36</w:t>
            </w:r>
          </w:p>
        </w:tc>
        <w:tc>
          <w:tcPr>
            <w:tcW w:w="726" w:type="dxa"/>
            <w:tcBorders>
              <w:top w:val="nil"/>
              <w:left w:val="nil"/>
              <w:bottom w:val="single" w:sz="4" w:space="0" w:color="auto"/>
              <w:right w:val="single" w:sz="4" w:space="0" w:color="auto"/>
            </w:tcBorders>
            <w:noWrap/>
            <w:vAlign w:val="bottom"/>
            <w:hideMark/>
          </w:tcPr>
          <w:p w14:paraId="65BDAF3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1134" w:type="dxa"/>
            <w:tcBorders>
              <w:top w:val="nil"/>
              <w:left w:val="nil"/>
              <w:bottom w:val="single" w:sz="4" w:space="0" w:color="auto"/>
              <w:right w:val="single" w:sz="4" w:space="0" w:color="auto"/>
            </w:tcBorders>
            <w:noWrap/>
            <w:vAlign w:val="bottom"/>
            <w:hideMark/>
          </w:tcPr>
          <w:p w14:paraId="38F84878"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35,68</w:t>
            </w:r>
          </w:p>
        </w:tc>
        <w:tc>
          <w:tcPr>
            <w:tcW w:w="850" w:type="dxa"/>
            <w:tcBorders>
              <w:top w:val="nil"/>
              <w:left w:val="nil"/>
              <w:bottom w:val="single" w:sz="4" w:space="0" w:color="auto"/>
              <w:right w:val="single" w:sz="4" w:space="0" w:color="auto"/>
            </w:tcBorders>
            <w:noWrap/>
            <w:vAlign w:val="bottom"/>
            <w:hideMark/>
          </w:tcPr>
          <w:p w14:paraId="2800FBDC"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1,01</w:t>
            </w:r>
          </w:p>
        </w:tc>
        <w:tc>
          <w:tcPr>
            <w:tcW w:w="1418" w:type="dxa"/>
            <w:tcBorders>
              <w:top w:val="nil"/>
              <w:left w:val="nil"/>
              <w:bottom w:val="single" w:sz="4" w:space="0" w:color="auto"/>
              <w:right w:val="single" w:sz="4" w:space="0" w:color="auto"/>
            </w:tcBorders>
            <w:noWrap/>
            <w:vAlign w:val="bottom"/>
            <w:hideMark/>
          </w:tcPr>
          <w:p w14:paraId="48CAFFB6"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0,3714</w:t>
            </w:r>
          </w:p>
        </w:tc>
        <w:tc>
          <w:tcPr>
            <w:tcW w:w="1417" w:type="dxa"/>
            <w:tcBorders>
              <w:top w:val="nil"/>
              <w:left w:val="nil"/>
              <w:bottom w:val="single" w:sz="4" w:space="0" w:color="auto"/>
              <w:right w:val="single" w:sz="4" w:space="0" w:color="auto"/>
            </w:tcBorders>
            <w:noWrap/>
            <w:vAlign w:val="bottom"/>
            <w:hideMark/>
          </w:tcPr>
          <w:p w14:paraId="2EC0CC53"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1,98</w:t>
            </w:r>
          </w:p>
        </w:tc>
      </w:tr>
      <w:tr w:rsidR="00F4724C" w14:paraId="06610640"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71493491"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146" w:type="dxa"/>
            <w:tcBorders>
              <w:top w:val="nil"/>
              <w:left w:val="nil"/>
              <w:bottom w:val="single" w:sz="4" w:space="0" w:color="auto"/>
              <w:right w:val="nil"/>
            </w:tcBorders>
          </w:tcPr>
          <w:p w14:paraId="20729BBC"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67CD34EA"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561,26</w:t>
            </w:r>
          </w:p>
        </w:tc>
        <w:tc>
          <w:tcPr>
            <w:tcW w:w="726" w:type="dxa"/>
            <w:tcBorders>
              <w:top w:val="nil"/>
              <w:left w:val="nil"/>
              <w:bottom w:val="single" w:sz="4" w:space="0" w:color="auto"/>
              <w:right w:val="single" w:sz="4" w:space="0" w:color="auto"/>
            </w:tcBorders>
            <w:noWrap/>
            <w:vAlign w:val="bottom"/>
            <w:hideMark/>
          </w:tcPr>
          <w:p w14:paraId="4673E8FF"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w:t>
            </w:r>
          </w:p>
        </w:tc>
        <w:tc>
          <w:tcPr>
            <w:tcW w:w="1134" w:type="dxa"/>
            <w:tcBorders>
              <w:top w:val="nil"/>
              <w:left w:val="nil"/>
              <w:bottom w:val="single" w:sz="4" w:space="0" w:color="auto"/>
              <w:right w:val="single" w:sz="4" w:space="0" w:color="auto"/>
            </w:tcBorders>
            <w:noWrap/>
            <w:vAlign w:val="bottom"/>
            <w:hideMark/>
          </w:tcPr>
          <w:p w14:paraId="67BE5F5E"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80,18</w:t>
            </w:r>
          </w:p>
        </w:tc>
        <w:tc>
          <w:tcPr>
            <w:tcW w:w="850" w:type="dxa"/>
            <w:tcBorders>
              <w:top w:val="nil"/>
              <w:left w:val="nil"/>
              <w:bottom w:val="single" w:sz="4" w:space="0" w:color="auto"/>
              <w:right w:val="single" w:sz="4" w:space="0" w:color="auto"/>
            </w:tcBorders>
            <w:noWrap/>
            <w:vAlign w:val="bottom"/>
            <w:hideMark/>
          </w:tcPr>
          <w:p w14:paraId="0D5D8619"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2,26</w:t>
            </w:r>
          </w:p>
        </w:tc>
        <w:tc>
          <w:tcPr>
            <w:tcW w:w="1418" w:type="dxa"/>
            <w:tcBorders>
              <w:top w:val="nil"/>
              <w:left w:val="nil"/>
              <w:bottom w:val="single" w:sz="4" w:space="0" w:color="auto"/>
              <w:right w:val="single" w:sz="4" w:space="0" w:color="auto"/>
            </w:tcBorders>
            <w:noWrap/>
            <w:vAlign w:val="bottom"/>
            <w:hideMark/>
          </w:tcPr>
          <w:p w14:paraId="57EE249A"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0,0413</w:t>
            </w:r>
          </w:p>
        </w:tc>
        <w:tc>
          <w:tcPr>
            <w:tcW w:w="1417" w:type="dxa"/>
            <w:tcBorders>
              <w:top w:val="nil"/>
              <w:left w:val="nil"/>
              <w:bottom w:val="single" w:sz="4" w:space="0" w:color="auto"/>
              <w:right w:val="single" w:sz="4" w:space="0" w:color="auto"/>
            </w:tcBorders>
            <w:noWrap/>
            <w:vAlign w:val="bottom"/>
            <w:hideMark/>
          </w:tcPr>
          <w:p w14:paraId="65FF18A3"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15,56</w:t>
            </w:r>
          </w:p>
        </w:tc>
      </w:tr>
      <w:tr w:rsidR="00F4724C" w14:paraId="3371DC27"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53398157"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146" w:type="dxa"/>
            <w:tcBorders>
              <w:top w:val="nil"/>
              <w:left w:val="nil"/>
              <w:bottom w:val="single" w:sz="4" w:space="0" w:color="auto"/>
              <w:right w:val="nil"/>
            </w:tcBorders>
          </w:tcPr>
          <w:p w14:paraId="6023DA5E"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5A7D3A56"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291,05</w:t>
            </w:r>
          </w:p>
        </w:tc>
        <w:tc>
          <w:tcPr>
            <w:tcW w:w="726" w:type="dxa"/>
            <w:tcBorders>
              <w:top w:val="nil"/>
              <w:left w:val="nil"/>
              <w:bottom w:val="single" w:sz="4" w:space="0" w:color="auto"/>
              <w:right w:val="single" w:sz="4" w:space="0" w:color="auto"/>
            </w:tcBorders>
            <w:noWrap/>
            <w:vAlign w:val="bottom"/>
            <w:hideMark/>
          </w:tcPr>
          <w:p w14:paraId="1133EE8E"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134" w:type="dxa"/>
            <w:tcBorders>
              <w:top w:val="nil"/>
              <w:left w:val="nil"/>
              <w:bottom w:val="single" w:sz="4" w:space="0" w:color="auto"/>
              <w:right w:val="single" w:sz="4" w:space="0" w:color="auto"/>
            </w:tcBorders>
            <w:noWrap/>
            <w:vAlign w:val="bottom"/>
            <w:hideMark/>
          </w:tcPr>
          <w:p w14:paraId="105373FD"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72,76</w:t>
            </w:r>
          </w:p>
        </w:tc>
        <w:tc>
          <w:tcPr>
            <w:tcW w:w="850" w:type="dxa"/>
            <w:tcBorders>
              <w:top w:val="nil"/>
              <w:left w:val="nil"/>
              <w:bottom w:val="single" w:sz="4" w:space="0" w:color="auto"/>
              <w:right w:val="single" w:sz="4" w:space="0" w:color="auto"/>
            </w:tcBorders>
            <w:noWrap/>
            <w:vAlign w:val="bottom"/>
            <w:hideMark/>
          </w:tcPr>
          <w:p w14:paraId="6C955F70"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2,05</w:t>
            </w:r>
          </w:p>
        </w:tc>
        <w:tc>
          <w:tcPr>
            <w:tcW w:w="1418" w:type="dxa"/>
            <w:tcBorders>
              <w:top w:val="nil"/>
              <w:left w:val="nil"/>
              <w:bottom w:val="single" w:sz="4" w:space="0" w:color="auto"/>
              <w:right w:val="single" w:sz="4" w:space="0" w:color="auto"/>
            </w:tcBorders>
            <w:noWrap/>
            <w:vAlign w:val="bottom"/>
            <w:hideMark/>
          </w:tcPr>
          <w:p w14:paraId="397B442C"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0,0984</w:t>
            </w:r>
          </w:p>
        </w:tc>
        <w:tc>
          <w:tcPr>
            <w:tcW w:w="1417" w:type="dxa"/>
            <w:tcBorders>
              <w:top w:val="nil"/>
              <w:left w:val="nil"/>
              <w:bottom w:val="single" w:sz="4" w:space="0" w:color="auto"/>
              <w:right w:val="single" w:sz="4" w:space="0" w:color="auto"/>
            </w:tcBorders>
            <w:noWrap/>
            <w:vAlign w:val="bottom"/>
            <w:hideMark/>
          </w:tcPr>
          <w:p w14:paraId="48F328D2"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8,07</w:t>
            </w:r>
          </w:p>
        </w:tc>
      </w:tr>
      <w:tr w:rsidR="00F4724C" w14:paraId="0CD4AE5E"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3217922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146" w:type="dxa"/>
            <w:tcBorders>
              <w:top w:val="nil"/>
              <w:left w:val="nil"/>
              <w:bottom w:val="single" w:sz="4" w:space="0" w:color="auto"/>
              <w:right w:val="nil"/>
            </w:tcBorders>
          </w:tcPr>
          <w:p w14:paraId="4D4F58D5"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780FBBB7"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93,07</w:t>
            </w:r>
          </w:p>
        </w:tc>
        <w:tc>
          <w:tcPr>
            <w:tcW w:w="726" w:type="dxa"/>
            <w:tcBorders>
              <w:top w:val="nil"/>
              <w:left w:val="nil"/>
              <w:bottom w:val="single" w:sz="4" w:space="0" w:color="auto"/>
              <w:right w:val="single" w:sz="4" w:space="0" w:color="auto"/>
            </w:tcBorders>
            <w:noWrap/>
            <w:vAlign w:val="bottom"/>
            <w:hideMark/>
          </w:tcPr>
          <w:p w14:paraId="0EA1619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134" w:type="dxa"/>
            <w:tcBorders>
              <w:top w:val="nil"/>
              <w:left w:val="nil"/>
              <w:bottom w:val="single" w:sz="4" w:space="0" w:color="auto"/>
              <w:right w:val="single" w:sz="4" w:space="0" w:color="auto"/>
            </w:tcBorders>
            <w:noWrap/>
            <w:vAlign w:val="bottom"/>
            <w:hideMark/>
          </w:tcPr>
          <w:p w14:paraId="602A302D"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23,27</w:t>
            </w:r>
          </w:p>
        </w:tc>
        <w:tc>
          <w:tcPr>
            <w:tcW w:w="850" w:type="dxa"/>
            <w:tcBorders>
              <w:top w:val="nil"/>
              <w:left w:val="nil"/>
              <w:bottom w:val="single" w:sz="4" w:space="0" w:color="auto"/>
              <w:right w:val="single" w:sz="4" w:space="0" w:color="auto"/>
            </w:tcBorders>
            <w:noWrap/>
            <w:vAlign w:val="bottom"/>
            <w:hideMark/>
          </w:tcPr>
          <w:p w14:paraId="4D872961"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0,66</w:t>
            </w:r>
          </w:p>
        </w:tc>
        <w:tc>
          <w:tcPr>
            <w:tcW w:w="1418" w:type="dxa"/>
            <w:tcBorders>
              <w:top w:val="nil"/>
              <w:left w:val="nil"/>
              <w:bottom w:val="single" w:sz="4" w:space="0" w:color="auto"/>
              <w:right w:val="single" w:sz="4" w:space="0" w:color="auto"/>
            </w:tcBorders>
            <w:noWrap/>
            <w:vAlign w:val="bottom"/>
            <w:hideMark/>
          </w:tcPr>
          <w:p w14:paraId="554B51D1"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0,6244</w:t>
            </w:r>
          </w:p>
        </w:tc>
        <w:tc>
          <w:tcPr>
            <w:tcW w:w="1417" w:type="dxa"/>
            <w:tcBorders>
              <w:top w:val="nil"/>
              <w:left w:val="nil"/>
              <w:bottom w:val="single" w:sz="4" w:space="0" w:color="auto"/>
              <w:right w:val="single" w:sz="4" w:space="0" w:color="auto"/>
            </w:tcBorders>
            <w:noWrap/>
            <w:vAlign w:val="bottom"/>
            <w:hideMark/>
          </w:tcPr>
          <w:p w14:paraId="458EA820"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2,58</w:t>
            </w:r>
          </w:p>
        </w:tc>
      </w:tr>
      <w:tr w:rsidR="00F4724C" w14:paraId="56D0D082"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5631FE59"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146" w:type="dxa"/>
            <w:tcBorders>
              <w:top w:val="nil"/>
              <w:left w:val="nil"/>
              <w:bottom w:val="single" w:sz="4" w:space="0" w:color="auto"/>
              <w:right w:val="nil"/>
            </w:tcBorders>
          </w:tcPr>
          <w:p w14:paraId="56F790FF"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7282595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53,44</w:t>
            </w:r>
          </w:p>
        </w:tc>
        <w:tc>
          <w:tcPr>
            <w:tcW w:w="726" w:type="dxa"/>
            <w:tcBorders>
              <w:top w:val="nil"/>
              <w:left w:val="nil"/>
              <w:bottom w:val="single" w:sz="4" w:space="0" w:color="auto"/>
              <w:right w:val="single" w:sz="4" w:space="0" w:color="auto"/>
            </w:tcBorders>
            <w:noWrap/>
            <w:vAlign w:val="bottom"/>
            <w:hideMark/>
          </w:tcPr>
          <w:p w14:paraId="0DAAE648"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134" w:type="dxa"/>
            <w:tcBorders>
              <w:top w:val="nil"/>
              <w:left w:val="nil"/>
              <w:bottom w:val="single" w:sz="4" w:space="0" w:color="auto"/>
              <w:right w:val="single" w:sz="4" w:space="0" w:color="auto"/>
            </w:tcBorders>
            <w:noWrap/>
            <w:vAlign w:val="bottom"/>
            <w:hideMark/>
          </w:tcPr>
          <w:p w14:paraId="7051131F"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17,81</w:t>
            </w:r>
          </w:p>
        </w:tc>
        <w:tc>
          <w:tcPr>
            <w:tcW w:w="850" w:type="dxa"/>
            <w:tcBorders>
              <w:top w:val="nil"/>
              <w:left w:val="nil"/>
              <w:bottom w:val="single" w:sz="4" w:space="0" w:color="auto"/>
              <w:right w:val="single" w:sz="4" w:space="0" w:color="auto"/>
            </w:tcBorders>
            <w:noWrap/>
            <w:vAlign w:val="bottom"/>
            <w:hideMark/>
          </w:tcPr>
          <w:p w14:paraId="71578A97"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c>
          <w:tcPr>
            <w:tcW w:w="1418" w:type="dxa"/>
            <w:tcBorders>
              <w:top w:val="nil"/>
              <w:left w:val="nil"/>
              <w:bottom w:val="single" w:sz="4" w:space="0" w:color="auto"/>
              <w:right w:val="single" w:sz="4" w:space="0" w:color="auto"/>
            </w:tcBorders>
            <w:noWrap/>
            <w:vAlign w:val="bottom"/>
            <w:hideMark/>
          </w:tcPr>
          <w:p w14:paraId="466CA649"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0,6817</w:t>
            </w:r>
          </w:p>
        </w:tc>
        <w:tc>
          <w:tcPr>
            <w:tcW w:w="1417" w:type="dxa"/>
            <w:tcBorders>
              <w:top w:val="nil"/>
              <w:left w:val="nil"/>
              <w:bottom w:val="single" w:sz="4" w:space="0" w:color="auto"/>
              <w:right w:val="single" w:sz="4" w:space="0" w:color="auto"/>
            </w:tcBorders>
            <w:noWrap/>
            <w:vAlign w:val="bottom"/>
            <w:hideMark/>
          </w:tcPr>
          <w:p w14:paraId="513419D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1,48</w:t>
            </w:r>
          </w:p>
        </w:tc>
      </w:tr>
      <w:tr w:rsidR="00F4724C" w14:paraId="6C360910"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23DBDEEC"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146" w:type="dxa"/>
            <w:tcBorders>
              <w:top w:val="nil"/>
              <w:left w:val="nil"/>
              <w:bottom w:val="single" w:sz="4" w:space="0" w:color="auto"/>
              <w:right w:val="nil"/>
            </w:tcBorders>
          </w:tcPr>
          <w:p w14:paraId="4503D974"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3FBA0930"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446,75</w:t>
            </w:r>
          </w:p>
        </w:tc>
        <w:tc>
          <w:tcPr>
            <w:tcW w:w="726" w:type="dxa"/>
            <w:tcBorders>
              <w:top w:val="nil"/>
              <w:left w:val="nil"/>
              <w:bottom w:val="single" w:sz="4" w:space="0" w:color="auto"/>
              <w:right w:val="single" w:sz="4" w:space="0" w:color="auto"/>
            </w:tcBorders>
            <w:noWrap/>
            <w:vAlign w:val="bottom"/>
            <w:hideMark/>
          </w:tcPr>
          <w:p w14:paraId="5EFF4C4E"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1134" w:type="dxa"/>
            <w:tcBorders>
              <w:top w:val="nil"/>
              <w:left w:val="nil"/>
              <w:bottom w:val="single" w:sz="4" w:space="0" w:color="auto"/>
              <w:right w:val="single" w:sz="4" w:space="0" w:color="auto"/>
            </w:tcBorders>
            <w:noWrap/>
            <w:vAlign w:val="bottom"/>
            <w:hideMark/>
          </w:tcPr>
          <w:p w14:paraId="031F2C53"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223,38</w:t>
            </w:r>
          </w:p>
        </w:tc>
        <w:tc>
          <w:tcPr>
            <w:tcW w:w="850" w:type="dxa"/>
            <w:tcBorders>
              <w:top w:val="nil"/>
              <w:left w:val="nil"/>
              <w:bottom w:val="single" w:sz="4" w:space="0" w:color="auto"/>
              <w:right w:val="single" w:sz="4" w:space="0" w:color="auto"/>
            </w:tcBorders>
            <w:noWrap/>
            <w:vAlign w:val="bottom"/>
            <w:hideMark/>
          </w:tcPr>
          <w:p w14:paraId="5DF4136A"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6,31</w:t>
            </w:r>
          </w:p>
        </w:tc>
        <w:tc>
          <w:tcPr>
            <w:tcW w:w="1418" w:type="dxa"/>
            <w:tcBorders>
              <w:top w:val="nil"/>
              <w:left w:val="nil"/>
              <w:bottom w:val="single" w:sz="4" w:space="0" w:color="auto"/>
              <w:right w:val="single" w:sz="4" w:space="0" w:color="auto"/>
            </w:tcBorders>
            <w:noWrap/>
            <w:vAlign w:val="bottom"/>
            <w:hideMark/>
          </w:tcPr>
          <w:p w14:paraId="7799AA3D"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0,0033</w:t>
            </w:r>
          </w:p>
        </w:tc>
        <w:tc>
          <w:tcPr>
            <w:tcW w:w="1417" w:type="dxa"/>
            <w:tcBorders>
              <w:top w:val="nil"/>
              <w:left w:val="nil"/>
              <w:bottom w:val="single" w:sz="4" w:space="0" w:color="auto"/>
              <w:right w:val="single" w:sz="4" w:space="0" w:color="auto"/>
            </w:tcBorders>
            <w:noWrap/>
            <w:vAlign w:val="bottom"/>
            <w:hideMark/>
          </w:tcPr>
          <w:p w14:paraId="5D24EA1C"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12,39</w:t>
            </w:r>
          </w:p>
        </w:tc>
      </w:tr>
      <w:tr w:rsidR="00F4724C" w14:paraId="209FFCEC"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7006A34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146" w:type="dxa"/>
            <w:tcBorders>
              <w:top w:val="nil"/>
              <w:left w:val="nil"/>
              <w:bottom w:val="single" w:sz="4" w:space="0" w:color="auto"/>
              <w:right w:val="nil"/>
            </w:tcBorders>
          </w:tcPr>
          <w:p w14:paraId="49B37772"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04FA2C5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2089,88</w:t>
            </w:r>
          </w:p>
        </w:tc>
        <w:tc>
          <w:tcPr>
            <w:tcW w:w="726" w:type="dxa"/>
            <w:tcBorders>
              <w:top w:val="nil"/>
              <w:left w:val="nil"/>
              <w:bottom w:val="single" w:sz="4" w:space="0" w:color="auto"/>
              <w:right w:val="single" w:sz="4" w:space="0" w:color="auto"/>
            </w:tcBorders>
            <w:noWrap/>
            <w:vAlign w:val="bottom"/>
            <w:hideMark/>
          </w:tcPr>
          <w:p w14:paraId="0C844DA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59</w:t>
            </w:r>
          </w:p>
        </w:tc>
        <w:tc>
          <w:tcPr>
            <w:tcW w:w="1134" w:type="dxa"/>
            <w:tcBorders>
              <w:top w:val="nil"/>
              <w:left w:val="nil"/>
              <w:bottom w:val="single" w:sz="4" w:space="0" w:color="auto"/>
              <w:right w:val="single" w:sz="4" w:space="0" w:color="auto"/>
            </w:tcBorders>
            <w:noWrap/>
            <w:vAlign w:val="bottom"/>
            <w:hideMark/>
          </w:tcPr>
          <w:p w14:paraId="4AA44BD9"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35,42</w:t>
            </w:r>
          </w:p>
        </w:tc>
        <w:tc>
          <w:tcPr>
            <w:tcW w:w="850" w:type="dxa"/>
            <w:tcBorders>
              <w:top w:val="nil"/>
              <w:left w:val="nil"/>
              <w:bottom w:val="single" w:sz="4" w:space="0" w:color="auto"/>
              <w:right w:val="single" w:sz="4" w:space="0" w:color="auto"/>
            </w:tcBorders>
            <w:noWrap/>
            <w:vAlign w:val="bottom"/>
            <w:hideMark/>
          </w:tcPr>
          <w:p w14:paraId="1BFE9C8D"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8" w:type="dxa"/>
            <w:tcBorders>
              <w:top w:val="nil"/>
              <w:left w:val="nil"/>
              <w:bottom w:val="single" w:sz="4" w:space="0" w:color="auto"/>
              <w:right w:val="single" w:sz="4" w:space="0" w:color="auto"/>
            </w:tcBorders>
            <w:noWrap/>
            <w:vAlign w:val="bottom"/>
            <w:hideMark/>
          </w:tcPr>
          <w:p w14:paraId="11C88319"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7" w:type="dxa"/>
            <w:tcBorders>
              <w:top w:val="nil"/>
              <w:left w:val="nil"/>
              <w:bottom w:val="single" w:sz="4" w:space="0" w:color="auto"/>
              <w:right w:val="single" w:sz="4" w:space="0" w:color="auto"/>
            </w:tcBorders>
            <w:noWrap/>
            <w:vAlign w:val="bottom"/>
            <w:hideMark/>
          </w:tcPr>
          <w:p w14:paraId="545A208F"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57,94</w:t>
            </w:r>
          </w:p>
        </w:tc>
      </w:tr>
      <w:tr w:rsidR="00F4724C" w14:paraId="551FB060" w14:textId="77777777" w:rsidTr="0063774F">
        <w:trPr>
          <w:trHeight w:val="300"/>
        </w:trPr>
        <w:tc>
          <w:tcPr>
            <w:tcW w:w="1192" w:type="dxa"/>
            <w:tcBorders>
              <w:top w:val="nil"/>
              <w:left w:val="single" w:sz="4" w:space="0" w:color="auto"/>
              <w:bottom w:val="single" w:sz="4" w:space="0" w:color="auto"/>
              <w:right w:val="single" w:sz="4" w:space="0" w:color="auto"/>
            </w:tcBorders>
            <w:noWrap/>
            <w:vAlign w:val="bottom"/>
            <w:hideMark/>
          </w:tcPr>
          <w:p w14:paraId="34B69D96"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146" w:type="dxa"/>
            <w:tcBorders>
              <w:top w:val="nil"/>
              <w:left w:val="nil"/>
              <w:bottom w:val="single" w:sz="4" w:space="0" w:color="auto"/>
              <w:right w:val="nil"/>
            </w:tcBorders>
          </w:tcPr>
          <w:p w14:paraId="5CC851A4" w14:textId="77777777" w:rsidR="00F4724C" w:rsidRDefault="00F4724C" w:rsidP="0063774F">
            <w:pPr>
              <w:spacing w:after="0" w:line="240" w:lineRule="auto"/>
              <w:jc w:val="center"/>
              <w:rPr>
                <w:rFonts w:eastAsia="Times New Roman" w:cs="Times New Roman"/>
                <w:color w:val="000000"/>
                <w:szCs w:val="24"/>
                <w:lang w:eastAsia="es-EC"/>
              </w:rPr>
            </w:pPr>
          </w:p>
        </w:tc>
        <w:tc>
          <w:tcPr>
            <w:tcW w:w="1192" w:type="dxa"/>
            <w:tcBorders>
              <w:top w:val="nil"/>
              <w:left w:val="nil"/>
              <w:bottom w:val="single" w:sz="4" w:space="0" w:color="auto"/>
              <w:right w:val="single" w:sz="4" w:space="0" w:color="auto"/>
            </w:tcBorders>
            <w:noWrap/>
            <w:vAlign w:val="bottom"/>
            <w:hideMark/>
          </w:tcPr>
          <w:p w14:paraId="0BF0EBB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3606,82</w:t>
            </w:r>
          </w:p>
        </w:tc>
        <w:tc>
          <w:tcPr>
            <w:tcW w:w="726" w:type="dxa"/>
            <w:tcBorders>
              <w:top w:val="nil"/>
              <w:left w:val="nil"/>
              <w:bottom w:val="single" w:sz="4" w:space="0" w:color="auto"/>
              <w:right w:val="single" w:sz="4" w:space="0" w:color="auto"/>
            </w:tcBorders>
            <w:noWrap/>
            <w:vAlign w:val="bottom"/>
            <w:hideMark/>
          </w:tcPr>
          <w:p w14:paraId="34900EAB"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w:t>
            </w:r>
          </w:p>
        </w:tc>
        <w:tc>
          <w:tcPr>
            <w:tcW w:w="1134" w:type="dxa"/>
            <w:tcBorders>
              <w:top w:val="nil"/>
              <w:left w:val="nil"/>
              <w:bottom w:val="single" w:sz="4" w:space="0" w:color="auto"/>
              <w:right w:val="single" w:sz="4" w:space="0" w:color="auto"/>
            </w:tcBorders>
            <w:noWrap/>
            <w:vAlign w:val="bottom"/>
            <w:hideMark/>
          </w:tcPr>
          <w:p w14:paraId="158F96A2"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50" w:type="dxa"/>
            <w:tcBorders>
              <w:top w:val="nil"/>
              <w:left w:val="nil"/>
              <w:bottom w:val="single" w:sz="4" w:space="0" w:color="auto"/>
              <w:right w:val="single" w:sz="4" w:space="0" w:color="auto"/>
            </w:tcBorders>
            <w:noWrap/>
            <w:vAlign w:val="bottom"/>
            <w:hideMark/>
          </w:tcPr>
          <w:p w14:paraId="40927688"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8" w:type="dxa"/>
            <w:tcBorders>
              <w:top w:val="nil"/>
              <w:left w:val="nil"/>
              <w:bottom w:val="single" w:sz="4" w:space="0" w:color="auto"/>
              <w:right w:val="single" w:sz="4" w:space="0" w:color="auto"/>
            </w:tcBorders>
            <w:noWrap/>
            <w:vAlign w:val="bottom"/>
            <w:hideMark/>
          </w:tcPr>
          <w:p w14:paraId="4DDA034A"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7" w:type="dxa"/>
            <w:tcBorders>
              <w:top w:val="nil"/>
              <w:left w:val="nil"/>
              <w:bottom w:val="single" w:sz="4" w:space="0" w:color="auto"/>
              <w:right w:val="single" w:sz="4" w:space="0" w:color="auto"/>
            </w:tcBorders>
            <w:noWrap/>
            <w:vAlign w:val="bottom"/>
            <w:hideMark/>
          </w:tcPr>
          <w:p w14:paraId="3FBD1D74" w14:textId="77777777" w:rsidR="00F4724C" w:rsidRDefault="00F4724C" w:rsidP="006377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08D4C505" w14:textId="00EAB4A2" w:rsidR="00F4724C" w:rsidRDefault="00F4724C" w:rsidP="0063774F">
      <w:pPr>
        <w:autoSpaceDE w:val="0"/>
        <w:autoSpaceDN w:val="0"/>
        <w:adjustRightInd w:val="0"/>
        <w:spacing w:before="360" w:after="360" w:line="360" w:lineRule="auto"/>
        <w:rPr>
          <w:rFonts w:cs="Times New Roman"/>
          <w:bCs/>
          <w:szCs w:val="24"/>
        </w:rPr>
      </w:pPr>
      <w:r>
        <w:rPr>
          <w:rFonts w:cs="Times New Roman"/>
          <w:bCs/>
          <w:szCs w:val="24"/>
        </w:rPr>
        <w:t>El modelo estadístico establecido explica el 42,06% de la variación observada en los datos; siendo el fósforo 8,07% de la variación observada. Un 57,94 % de la variación se les atribuyó a efectos aleatorios que el modelo no pudo explicar (error).</w:t>
      </w:r>
      <w:r w:rsidR="00DC4FC3">
        <w:rPr>
          <w:rFonts w:cs="Times New Roman"/>
          <w:bCs/>
          <w:szCs w:val="24"/>
        </w:rPr>
        <w:t xml:space="preserve"> </w:t>
      </w:r>
      <w:r>
        <w:rPr>
          <w:rFonts w:cs="Times New Roman"/>
          <w:bCs/>
          <w:szCs w:val="24"/>
        </w:rPr>
        <w:t>El nitrógeno y el magnesio explicaron el 15.56% y 12,39% de a</w:t>
      </w:r>
      <w:r w:rsidR="0005222C">
        <w:rPr>
          <w:rFonts w:cs="Times New Roman"/>
          <w:bCs/>
          <w:szCs w:val="24"/>
        </w:rPr>
        <w:t>b</w:t>
      </w:r>
      <w:r>
        <w:rPr>
          <w:rFonts w:cs="Times New Roman"/>
          <w:bCs/>
          <w:szCs w:val="24"/>
        </w:rPr>
        <w:t>sorción de fósforo, respectivamente. El resto de nutrientes potasio y azufre explicaron menos del 5% de absorción de fósforo (</w:t>
      </w:r>
      <w:r w:rsidR="00BA248F">
        <w:rPr>
          <w:rFonts w:cs="Times New Roman"/>
          <w:bCs/>
          <w:szCs w:val="24"/>
        </w:rPr>
        <w:t>Cuadro</w:t>
      </w:r>
      <w:r>
        <w:rPr>
          <w:rFonts w:cs="Times New Roman"/>
          <w:bCs/>
          <w:szCs w:val="24"/>
        </w:rPr>
        <w:t xml:space="preserve"> </w:t>
      </w:r>
      <w:r w:rsidR="00BA248F">
        <w:rPr>
          <w:rFonts w:cs="Times New Roman"/>
          <w:bCs/>
          <w:szCs w:val="24"/>
        </w:rPr>
        <w:t>7</w:t>
      </w:r>
      <w:r w:rsidR="00D35FEF">
        <w:rPr>
          <w:rFonts w:cs="Times New Roman"/>
          <w:bCs/>
          <w:szCs w:val="24"/>
        </w:rPr>
        <w:t>3</w:t>
      </w:r>
      <w:r>
        <w:rPr>
          <w:rFonts w:cs="Times New Roman"/>
          <w:bCs/>
          <w:szCs w:val="24"/>
        </w:rPr>
        <w:t xml:space="preserve">).  </w:t>
      </w:r>
    </w:p>
    <w:p w14:paraId="6F15CA5B" w14:textId="629E8F05" w:rsidR="00F4724C" w:rsidRDefault="00F4724C" w:rsidP="00D35FEF">
      <w:pPr>
        <w:autoSpaceDE w:val="0"/>
        <w:autoSpaceDN w:val="0"/>
        <w:adjustRightInd w:val="0"/>
        <w:spacing w:after="0" w:line="360" w:lineRule="auto"/>
        <w:rPr>
          <w:rFonts w:cs="Times New Roman"/>
          <w:bCs/>
          <w:szCs w:val="24"/>
        </w:rPr>
      </w:pPr>
      <w:r>
        <w:rPr>
          <w:rFonts w:cs="Times New Roman"/>
          <w:bCs/>
          <w:szCs w:val="24"/>
        </w:rPr>
        <w:t>En los cuadros 7</w:t>
      </w:r>
      <w:r w:rsidR="0039325D">
        <w:rPr>
          <w:rFonts w:cs="Times New Roman"/>
          <w:bCs/>
          <w:szCs w:val="24"/>
        </w:rPr>
        <w:t xml:space="preserve">2, 73,74,75,76 y 77 </w:t>
      </w:r>
      <w:r>
        <w:rPr>
          <w:rFonts w:cs="Times New Roman"/>
          <w:bCs/>
          <w:szCs w:val="24"/>
        </w:rPr>
        <w:t>se presentan los promedios y el error estándar de a</w:t>
      </w:r>
      <w:r w:rsidR="0005222C">
        <w:rPr>
          <w:rFonts w:cs="Times New Roman"/>
          <w:bCs/>
          <w:szCs w:val="24"/>
        </w:rPr>
        <w:t>b</w:t>
      </w:r>
      <w:r>
        <w:rPr>
          <w:rFonts w:cs="Times New Roman"/>
          <w:bCs/>
          <w:szCs w:val="24"/>
        </w:rPr>
        <w:t>sorción de fósforo por efecto de las localidades (parroquia) y los niveles de</w:t>
      </w:r>
    </w:p>
    <w:p w14:paraId="77E195DE" w14:textId="19A6AE1C" w:rsidR="00D35FEF" w:rsidRDefault="00D35FEF" w:rsidP="00D35FEF">
      <w:pPr>
        <w:autoSpaceDE w:val="0"/>
        <w:autoSpaceDN w:val="0"/>
        <w:adjustRightInd w:val="0"/>
        <w:spacing w:after="0" w:line="360" w:lineRule="auto"/>
        <w:rPr>
          <w:rFonts w:cs="Times New Roman"/>
          <w:bCs/>
          <w:szCs w:val="24"/>
        </w:rPr>
      </w:pPr>
    </w:p>
    <w:p w14:paraId="2A721D4C" w14:textId="77777777" w:rsidR="00D35FEF" w:rsidRPr="00D35FEF" w:rsidRDefault="00D35FEF" w:rsidP="00D35FEF">
      <w:pPr>
        <w:autoSpaceDE w:val="0"/>
        <w:autoSpaceDN w:val="0"/>
        <w:adjustRightInd w:val="0"/>
        <w:spacing w:after="0" w:line="360" w:lineRule="auto"/>
        <w:rPr>
          <w:rFonts w:cs="Times New Roman"/>
          <w:szCs w:val="24"/>
          <w:u w:val="single"/>
        </w:rPr>
      </w:pPr>
    </w:p>
    <w:p w14:paraId="3E3A3037" w14:textId="536414FD" w:rsidR="00D35FEF" w:rsidRPr="00D35FEF" w:rsidRDefault="00D35FEF" w:rsidP="00D35FEF">
      <w:pPr>
        <w:pStyle w:val="Descripcin"/>
        <w:keepNext/>
        <w:rPr>
          <w:rFonts w:cs="Times New Roman"/>
          <w:bCs/>
          <w:i w:val="0"/>
          <w:iCs w:val="0"/>
          <w:color w:val="auto"/>
          <w:sz w:val="24"/>
          <w:szCs w:val="24"/>
          <w:lang w:eastAsia="en-US"/>
        </w:rPr>
      </w:pPr>
      <w:bookmarkStart w:id="1601" w:name="_Toc79314065"/>
      <w:r w:rsidRPr="00D35FEF">
        <w:rPr>
          <w:rFonts w:cs="Times New Roman"/>
          <w:b/>
          <w:bCs/>
          <w:i w:val="0"/>
          <w:iCs w:val="0"/>
          <w:color w:val="auto"/>
          <w:sz w:val="24"/>
          <w:szCs w:val="24"/>
          <w:lang w:eastAsia="en-US"/>
        </w:rPr>
        <w:lastRenderedPageBreak/>
        <w:t xml:space="preserve">Cuadro </w:t>
      </w:r>
      <w:r w:rsidRPr="00D35FEF">
        <w:rPr>
          <w:rFonts w:cs="Times New Roman"/>
          <w:b/>
          <w:bCs/>
          <w:i w:val="0"/>
          <w:iCs w:val="0"/>
          <w:color w:val="auto"/>
          <w:sz w:val="24"/>
          <w:szCs w:val="24"/>
          <w:lang w:eastAsia="en-US"/>
        </w:rPr>
        <w:fldChar w:fldCharType="begin"/>
      </w:r>
      <w:r w:rsidRPr="00D35FEF">
        <w:rPr>
          <w:rFonts w:cs="Times New Roman"/>
          <w:b/>
          <w:bCs/>
          <w:i w:val="0"/>
          <w:iCs w:val="0"/>
          <w:color w:val="auto"/>
          <w:sz w:val="24"/>
          <w:szCs w:val="24"/>
          <w:lang w:eastAsia="en-US"/>
        </w:rPr>
        <w:instrText xml:space="preserve"> SEQ Cuadro \* ARABIC </w:instrText>
      </w:r>
      <w:r w:rsidRPr="00D35FEF">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73</w:t>
      </w:r>
      <w:r w:rsidRPr="00D35FEF">
        <w:rPr>
          <w:rFonts w:cs="Times New Roman"/>
          <w:b/>
          <w:bCs/>
          <w:i w:val="0"/>
          <w:iCs w:val="0"/>
          <w:color w:val="auto"/>
          <w:sz w:val="24"/>
          <w:szCs w:val="24"/>
          <w:lang w:eastAsia="en-US"/>
        </w:rPr>
        <w:fldChar w:fldCharType="end"/>
      </w:r>
      <w:r w:rsidRPr="00D35FEF">
        <w:rPr>
          <w:rFonts w:cs="Times New Roman"/>
          <w:b/>
          <w:bCs/>
          <w:i w:val="0"/>
          <w:iCs w:val="0"/>
          <w:color w:val="auto"/>
          <w:sz w:val="24"/>
          <w:szCs w:val="24"/>
          <w:lang w:eastAsia="en-US"/>
        </w:rPr>
        <w:t xml:space="preserve">. </w:t>
      </w:r>
      <w:r w:rsidRPr="00D35FEF">
        <w:rPr>
          <w:rFonts w:cs="Times New Roman"/>
          <w:bCs/>
          <w:i w:val="0"/>
          <w:iCs w:val="0"/>
          <w:color w:val="auto"/>
          <w:sz w:val="24"/>
          <w:szCs w:val="24"/>
          <w:lang w:eastAsia="en-US"/>
        </w:rPr>
        <w:t>Absorción total de fósforo, evaluado por localidades (parroquia) en la provincia de Chimborazo 2012-2014</w:t>
      </w:r>
      <w:bookmarkEnd w:id="1601"/>
    </w:p>
    <w:tbl>
      <w:tblPr>
        <w:tblW w:w="7083" w:type="dxa"/>
        <w:jc w:val="center"/>
        <w:tblCellMar>
          <w:left w:w="0" w:type="dxa"/>
          <w:right w:w="0" w:type="dxa"/>
        </w:tblCellMar>
        <w:tblLook w:val="04A0" w:firstRow="1" w:lastRow="0" w:firstColumn="1" w:lastColumn="0" w:noHBand="0" w:noVBand="1"/>
      </w:tblPr>
      <w:tblGrid>
        <w:gridCol w:w="2694"/>
        <w:gridCol w:w="1270"/>
        <w:gridCol w:w="998"/>
        <w:gridCol w:w="2121"/>
      </w:tblGrid>
      <w:tr w:rsidR="006227BB" w14:paraId="6D5E2F0A" w14:textId="77777777" w:rsidTr="0063774F">
        <w:trPr>
          <w:trHeight w:val="276"/>
          <w:jc w:val="center"/>
        </w:trPr>
        <w:tc>
          <w:tcPr>
            <w:tcW w:w="26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00E904" w14:textId="77777777" w:rsidR="006227BB" w:rsidRPr="0063774F" w:rsidRDefault="006227BB" w:rsidP="00A97679">
            <w:pPr>
              <w:pStyle w:val="Sinespaciado"/>
              <w:rPr>
                <w:rFonts w:ascii="Times New Roman" w:hAnsi="Times New Roman" w:cs="Times New Roman"/>
                <w:b/>
                <w:bCs/>
                <w:sz w:val="24"/>
                <w:szCs w:val="24"/>
              </w:rPr>
            </w:pPr>
            <w:r w:rsidRPr="0063774F">
              <w:rPr>
                <w:rFonts w:ascii="Times New Roman" w:hAnsi="Times New Roman" w:cs="Times New Roman"/>
                <w:b/>
                <w:bCs/>
                <w:sz w:val="24"/>
                <w:szCs w:val="24"/>
              </w:rPr>
              <w:t>Parroquia</w:t>
            </w:r>
          </w:p>
        </w:tc>
        <w:tc>
          <w:tcPr>
            <w:tcW w:w="12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7F7FDEA" w14:textId="77777777" w:rsidR="006227BB" w:rsidRPr="0063774F" w:rsidRDefault="006227BB" w:rsidP="00A97679">
            <w:pPr>
              <w:pStyle w:val="Sinespaciado"/>
              <w:rPr>
                <w:rFonts w:ascii="Times New Roman" w:hAnsi="Times New Roman" w:cs="Times New Roman"/>
                <w:b/>
                <w:bCs/>
                <w:sz w:val="24"/>
                <w:szCs w:val="24"/>
              </w:rPr>
            </w:pPr>
            <w:r w:rsidRPr="0063774F">
              <w:rPr>
                <w:rFonts w:ascii="Times New Roman" w:hAnsi="Times New Roman" w:cs="Times New Roman"/>
                <w:b/>
                <w:bCs/>
                <w:sz w:val="24"/>
                <w:szCs w:val="24"/>
              </w:rPr>
              <w:t>Medias</w:t>
            </w:r>
          </w:p>
        </w:tc>
        <w:tc>
          <w:tcPr>
            <w:tcW w:w="99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FD4F471" w14:textId="77777777" w:rsidR="006227BB" w:rsidRPr="0063774F" w:rsidRDefault="006227BB" w:rsidP="00A97679">
            <w:pPr>
              <w:pStyle w:val="Sinespaciado"/>
              <w:rPr>
                <w:rFonts w:ascii="Times New Roman" w:hAnsi="Times New Roman" w:cs="Times New Roman"/>
                <w:b/>
                <w:bCs/>
                <w:sz w:val="24"/>
                <w:szCs w:val="24"/>
              </w:rPr>
            </w:pPr>
            <w:r w:rsidRPr="0063774F">
              <w:rPr>
                <w:rFonts w:ascii="Times New Roman" w:hAnsi="Times New Roman" w:cs="Times New Roman"/>
                <w:b/>
                <w:bCs/>
                <w:sz w:val="24"/>
                <w:szCs w:val="24"/>
              </w:rPr>
              <w:t xml:space="preserve">n </w:t>
            </w:r>
          </w:p>
        </w:tc>
        <w:tc>
          <w:tcPr>
            <w:tcW w:w="21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7B26540" w14:textId="77777777" w:rsidR="006227BB" w:rsidRPr="0063774F" w:rsidRDefault="006227BB" w:rsidP="00A97679">
            <w:pPr>
              <w:pStyle w:val="Sinespaciado"/>
              <w:rPr>
                <w:rFonts w:ascii="Times New Roman" w:hAnsi="Times New Roman" w:cs="Times New Roman"/>
                <w:b/>
                <w:bCs/>
                <w:sz w:val="24"/>
                <w:szCs w:val="24"/>
              </w:rPr>
            </w:pPr>
            <w:r w:rsidRPr="0063774F">
              <w:rPr>
                <w:rFonts w:ascii="Times New Roman" w:eastAsia="Times New Roman" w:hAnsi="Times New Roman" w:cs="Times New Roman"/>
                <w:b/>
                <w:bCs/>
                <w:sz w:val="24"/>
                <w:szCs w:val="24"/>
                <w:lang w:eastAsia="es-EC"/>
              </w:rPr>
              <w:t>Error estándar</w:t>
            </w:r>
          </w:p>
        </w:tc>
      </w:tr>
      <w:tr w:rsidR="006227BB" w14:paraId="30A3BF2D" w14:textId="77777777" w:rsidTr="0063774F">
        <w:trPr>
          <w:trHeight w:val="222"/>
          <w:jc w:val="center"/>
        </w:trPr>
        <w:tc>
          <w:tcPr>
            <w:tcW w:w="269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3F875F"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 xml:space="preserve">Chazo    </w:t>
            </w:r>
          </w:p>
        </w:tc>
        <w:tc>
          <w:tcPr>
            <w:tcW w:w="12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39215B"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23,94</w:t>
            </w:r>
          </w:p>
        </w:tc>
        <w:tc>
          <w:tcPr>
            <w:tcW w:w="99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C14B5E"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12</w:t>
            </w:r>
          </w:p>
        </w:tc>
        <w:tc>
          <w:tcPr>
            <w:tcW w:w="212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752E8B"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1,77</w:t>
            </w:r>
          </w:p>
        </w:tc>
      </w:tr>
      <w:tr w:rsidR="006227BB" w14:paraId="5DD7138C" w14:textId="77777777" w:rsidTr="0063774F">
        <w:trPr>
          <w:trHeight w:val="300"/>
          <w:jc w:val="center"/>
        </w:trPr>
        <w:tc>
          <w:tcPr>
            <w:tcW w:w="269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E9ED67"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 xml:space="preserve">Licto    </w:t>
            </w:r>
          </w:p>
        </w:tc>
        <w:tc>
          <w:tcPr>
            <w:tcW w:w="12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4549E7"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26,4</w:t>
            </w:r>
          </w:p>
        </w:tc>
        <w:tc>
          <w:tcPr>
            <w:tcW w:w="99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3119AF"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23</w:t>
            </w:r>
          </w:p>
        </w:tc>
        <w:tc>
          <w:tcPr>
            <w:tcW w:w="212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B2FE4D"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1,29</w:t>
            </w:r>
          </w:p>
        </w:tc>
      </w:tr>
      <w:tr w:rsidR="006227BB" w14:paraId="63BA24B5" w14:textId="77777777" w:rsidTr="0063774F">
        <w:trPr>
          <w:trHeight w:val="250"/>
          <w:jc w:val="center"/>
        </w:trPr>
        <w:tc>
          <w:tcPr>
            <w:tcW w:w="269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15C3B8"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 xml:space="preserve">Quimiag  </w:t>
            </w:r>
          </w:p>
        </w:tc>
        <w:tc>
          <w:tcPr>
            <w:tcW w:w="12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0225DD"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27,07</w:t>
            </w:r>
          </w:p>
        </w:tc>
        <w:tc>
          <w:tcPr>
            <w:tcW w:w="99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7355B7"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47</w:t>
            </w:r>
          </w:p>
        </w:tc>
        <w:tc>
          <w:tcPr>
            <w:tcW w:w="212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AC43CA" w14:textId="77777777" w:rsidR="006227BB" w:rsidRPr="0063774F" w:rsidRDefault="006227BB" w:rsidP="00A97679">
            <w:pPr>
              <w:pStyle w:val="Sinespaciado"/>
              <w:rPr>
                <w:rFonts w:ascii="Times New Roman" w:hAnsi="Times New Roman" w:cs="Times New Roman"/>
                <w:sz w:val="24"/>
                <w:szCs w:val="24"/>
              </w:rPr>
            </w:pPr>
            <w:r w:rsidRPr="0063774F">
              <w:rPr>
                <w:rFonts w:ascii="Times New Roman" w:hAnsi="Times New Roman" w:cs="Times New Roman"/>
                <w:sz w:val="24"/>
                <w:szCs w:val="24"/>
              </w:rPr>
              <w:t>0,91</w:t>
            </w:r>
          </w:p>
        </w:tc>
      </w:tr>
    </w:tbl>
    <w:p w14:paraId="2828280A" w14:textId="759920C5" w:rsidR="00D35FEF" w:rsidRPr="005A484F" w:rsidRDefault="00D35FEF" w:rsidP="005A484F">
      <w:pPr>
        <w:autoSpaceDE w:val="0"/>
        <w:autoSpaceDN w:val="0"/>
        <w:adjustRightInd w:val="0"/>
        <w:spacing w:before="360" w:after="0" w:line="360" w:lineRule="auto"/>
        <w:rPr>
          <w:rFonts w:cs="Times New Roman"/>
          <w:szCs w:val="24"/>
        </w:rPr>
      </w:pPr>
      <w:bookmarkStart w:id="1602" w:name="_Toc79314066"/>
      <w:r w:rsidRPr="005A484F">
        <w:rPr>
          <w:rFonts w:cs="Times New Roman"/>
          <w:b/>
          <w:szCs w:val="24"/>
        </w:rPr>
        <w:t xml:space="preserve">Cuadro </w:t>
      </w:r>
      <w:r w:rsidRPr="005A484F">
        <w:rPr>
          <w:rFonts w:cs="Times New Roman"/>
          <w:b/>
          <w:i/>
          <w:iCs/>
          <w:szCs w:val="24"/>
        </w:rPr>
        <w:fldChar w:fldCharType="begin"/>
      </w:r>
      <w:r w:rsidRPr="005A484F">
        <w:rPr>
          <w:rFonts w:cs="Times New Roman"/>
          <w:b/>
          <w:szCs w:val="24"/>
        </w:rPr>
        <w:instrText xml:space="preserve"> SEQ Cuadro \* ARABIC </w:instrText>
      </w:r>
      <w:r w:rsidRPr="005A484F">
        <w:rPr>
          <w:rFonts w:cs="Times New Roman"/>
          <w:b/>
          <w:i/>
          <w:iCs/>
          <w:szCs w:val="24"/>
        </w:rPr>
        <w:fldChar w:fldCharType="separate"/>
      </w:r>
      <w:r w:rsidR="000D1F55">
        <w:rPr>
          <w:rFonts w:cs="Times New Roman"/>
          <w:b/>
          <w:noProof/>
          <w:szCs w:val="24"/>
        </w:rPr>
        <w:t>74</w:t>
      </w:r>
      <w:r w:rsidRPr="005A484F">
        <w:rPr>
          <w:rFonts w:cs="Times New Roman"/>
          <w:b/>
          <w:i/>
          <w:iCs/>
          <w:szCs w:val="24"/>
        </w:rPr>
        <w:fldChar w:fldCharType="end"/>
      </w:r>
      <w:r w:rsidRPr="005A484F">
        <w:rPr>
          <w:rFonts w:cs="Times New Roman"/>
          <w:b/>
          <w:szCs w:val="24"/>
        </w:rPr>
        <w:t>.</w:t>
      </w:r>
      <w:r w:rsidRPr="005A484F">
        <w:rPr>
          <w:rFonts w:cs="Times New Roman"/>
          <w:szCs w:val="24"/>
        </w:rPr>
        <w:t xml:space="preserve"> Absorción total de fósforo para diversas dosis de nitrógeno evaluadas en la provincia de Chimborazo 2012-2014.</w:t>
      </w:r>
      <w:bookmarkEnd w:id="1602"/>
    </w:p>
    <w:tbl>
      <w:tblPr>
        <w:tblW w:w="7801" w:type="dxa"/>
        <w:jc w:val="center"/>
        <w:tblLayout w:type="fixed"/>
        <w:tblCellMar>
          <w:left w:w="0" w:type="dxa"/>
          <w:right w:w="0" w:type="dxa"/>
        </w:tblCellMar>
        <w:tblLook w:val="04A0" w:firstRow="1" w:lastRow="0" w:firstColumn="1" w:lastColumn="0" w:noHBand="0" w:noVBand="1"/>
      </w:tblPr>
      <w:tblGrid>
        <w:gridCol w:w="1934"/>
        <w:gridCol w:w="806"/>
        <w:gridCol w:w="867"/>
        <w:gridCol w:w="1795"/>
        <w:gridCol w:w="1193"/>
        <w:gridCol w:w="1206"/>
      </w:tblGrid>
      <w:tr w:rsidR="00A97679" w:rsidRPr="005A484F" w14:paraId="46CBFED0" w14:textId="77777777" w:rsidTr="005A484F">
        <w:trPr>
          <w:trHeight w:val="314"/>
          <w:jc w:val="center"/>
        </w:trPr>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FF99E4" w14:textId="77777777" w:rsidR="00A97679" w:rsidRPr="005A484F" w:rsidRDefault="00A97679" w:rsidP="005A484F">
            <w:pPr>
              <w:pStyle w:val="Sinespaciado"/>
              <w:jc w:val="center"/>
              <w:rPr>
                <w:rFonts w:ascii="Times New Roman" w:hAnsi="Times New Roman" w:cs="Times New Roman"/>
                <w:b/>
                <w:bCs/>
                <w:sz w:val="24"/>
                <w:szCs w:val="24"/>
              </w:rPr>
            </w:pPr>
            <w:r w:rsidRPr="005A484F">
              <w:rPr>
                <w:rFonts w:ascii="Times New Roman" w:hAnsi="Times New Roman" w:cs="Times New Roman"/>
                <w:b/>
                <w:bCs/>
                <w:sz w:val="24"/>
                <w:szCs w:val="24"/>
              </w:rPr>
              <w:t>Dosis N (kg ha-1)</w:t>
            </w:r>
          </w:p>
        </w:tc>
        <w:tc>
          <w:tcPr>
            <w:tcW w:w="80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5BFADBF" w14:textId="77777777" w:rsidR="00A97679" w:rsidRPr="005A484F" w:rsidRDefault="00A97679" w:rsidP="005A484F">
            <w:pPr>
              <w:pStyle w:val="Sinespaciado"/>
              <w:jc w:val="center"/>
              <w:rPr>
                <w:rFonts w:ascii="Times New Roman" w:hAnsi="Times New Roman" w:cs="Times New Roman"/>
                <w:b/>
                <w:bCs/>
                <w:sz w:val="24"/>
                <w:szCs w:val="24"/>
              </w:rPr>
            </w:pPr>
            <w:r w:rsidRPr="005A484F">
              <w:rPr>
                <w:rFonts w:ascii="Times New Roman" w:hAnsi="Times New Roman" w:cs="Times New Roman"/>
                <w:b/>
                <w:bCs/>
                <w:sz w:val="24"/>
                <w:szCs w:val="24"/>
              </w:rPr>
              <w:t>Medias</w:t>
            </w:r>
          </w:p>
        </w:tc>
        <w:tc>
          <w:tcPr>
            <w:tcW w:w="8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5796435" w14:textId="38FFA49C" w:rsidR="00A97679" w:rsidRPr="005A484F" w:rsidRDefault="00A97679" w:rsidP="005A484F">
            <w:pPr>
              <w:pStyle w:val="Sinespaciado"/>
              <w:jc w:val="center"/>
              <w:rPr>
                <w:rFonts w:ascii="Times New Roman" w:hAnsi="Times New Roman" w:cs="Times New Roman"/>
                <w:b/>
                <w:bCs/>
                <w:sz w:val="24"/>
                <w:szCs w:val="24"/>
              </w:rPr>
            </w:pPr>
            <w:r w:rsidRPr="005A484F">
              <w:rPr>
                <w:rFonts w:ascii="Times New Roman" w:hAnsi="Times New Roman" w:cs="Times New Roman"/>
                <w:b/>
                <w:bCs/>
                <w:sz w:val="24"/>
                <w:szCs w:val="24"/>
              </w:rPr>
              <w:t>N</w:t>
            </w:r>
          </w:p>
        </w:tc>
        <w:tc>
          <w:tcPr>
            <w:tcW w:w="17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D062DC8" w14:textId="77777777" w:rsidR="00A97679" w:rsidRPr="005A484F" w:rsidRDefault="00A97679" w:rsidP="005A484F">
            <w:pPr>
              <w:pStyle w:val="Sinespaciado"/>
              <w:jc w:val="center"/>
              <w:rPr>
                <w:rFonts w:ascii="Times New Roman" w:hAnsi="Times New Roman" w:cs="Times New Roman"/>
                <w:b/>
                <w:bCs/>
                <w:sz w:val="24"/>
                <w:szCs w:val="24"/>
              </w:rPr>
            </w:pPr>
            <w:r w:rsidRPr="005A484F">
              <w:rPr>
                <w:rFonts w:ascii="Times New Roman" w:hAnsi="Times New Roman" w:cs="Times New Roman"/>
                <w:b/>
                <w:bCs/>
                <w:sz w:val="24"/>
                <w:szCs w:val="24"/>
              </w:rPr>
              <w:t>Error estándar</w:t>
            </w:r>
          </w:p>
        </w:tc>
        <w:tc>
          <w:tcPr>
            <w:tcW w:w="2399"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68C149" w14:textId="0D41EE8A" w:rsidR="00A97679" w:rsidRPr="005A484F" w:rsidRDefault="00A97679" w:rsidP="005A484F">
            <w:pPr>
              <w:pStyle w:val="Sinespaciado"/>
              <w:jc w:val="center"/>
              <w:rPr>
                <w:rFonts w:ascii="Times New Roman" w:hAnsi="Times New Roman" w:cs="Times New Roman"/>
                <w:b/>
                <w:bCs/>
                <w:sz w:val="24"/>
                <w:szCs w:val="24"/>
              </w:rPr>
            </w:pPr>
            <w:r w:rsidRPr="005A484F">
              <w:rPr>
                <w:rFonts w:ascii="Times New Roman" w:hAnsi="Times New Roman" w:cs="Times New Roman"/>
                <w:b/>
                <w:bCs/>
                <w:sz w:val="24"/>
                <w:szCs w:val="24"/>
              </w:rPr>
              <w:t>Lsd 0,05</w:t>
            </w:r>
          </w:p>
        </w:tc>
      </w:tr>
      <w:tr w:rsidR="00F4724C" w:rsidRPr="005A484F" w14:paraId="4539F8E2" w14:textId="77777777" w:rsidTr="005A484F">
        <w:trPr>
          <w:trHeight w:val="121"/>
          <w:jc w:val="center"/>
        </w:trPr>
        <w:tc>
          <w:tcPr>
            <w:tcW w:w="19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FB3D9E"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0</w:t>
            </w:r>
          </w:p>
        </w:tc>
        <w:tc>
          <w:tcPr>
            <w:tcW w:w="8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7797E3"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23,11</w:t>
            </w:r>
          </w:p>
        </w:tc>
        <w:tc>
          <w:tcPr>
            <w:tcW w:w="86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0AAFDE"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34</w:t>
            </w:r>
          </w:p>
        </w:tc>
        <w:tc>
          <w:tcPr>
            <w:tcW w:w="17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09874D"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1,08</w:t>
            </w:r>
          </w:p>
        </w:tc>
        <w:tc>
          <w:tcPr>
            <w:tcW w:w="11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79882E4"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A</w:t>
            </w:r>
          </w:p>
        </w:tc>
        <w:tc>
          <w:tcPr>
            <w:tcW w:w="120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0E25093" w14:textId="77777777" w:rsidR="00F4724C" w:rsidRPr="005A484F" w:rsidRDefault="00F4724C" w:rsidP="005A484F">
            <w:pPr>
              <w:pStyle w:val="Sinespaciado"/>
              <w:rPr>
                <w:rFonts w:ascii="Times New Roman" w:hAnsi="Times New Roman" w:cs="Times New Roman"/>
                <w:color w:val="000000"/>
                <w:sz w:val="24"/>
                <w:szCs w:val="24"/>
              </w:rPr>
            </w:pPr>
          </w:p>
        </w:tc>
      </w:tr>
      <w:tr w:rsidR="00F4724C" w:rsidRPr="005A484F" w14:paraId="61D477F2" w14:textId="77777777" w:rsidTr="005A484F">
        <w:trPr>
          <w:trHeight w:val="151"/>
          <w:jc w:val="center"/>
        </w:trPr>
        <w:tc>
          <w:tcPr>
            <w:tcW w:w="19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0DDC01"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27</w:t>
            </w:r>
          </w:p>
        </w:tc>
        <w:tc>
          <w:tcPr>
            <w:tcW w:w="8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BDED67"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23,79</w:t>
            </w:r>
          </w:p>
        </w:tc>
        <w:tc>
          <w:tcPr>
            <w:tcW w:w="86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9567F"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w:t>
            </w:r>
          </w:p>
        </w:tc>
        <w:tc>
          <w:tcPr>
            <w:tcW w:w="17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8803F4"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6,11</w:t>
            </w:r>
          </w:p>
        </w:tc>
        <w:tc>
          <w:tcPr>
            <w:tcW w:w="11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0C7BDE"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A</w:t>
            </w:r>
          </w:p>
        </w:tc>
        <w:tc>
          <w:tcPr>
            <w:tcW w:w="12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F89E0F"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B</w:t>
            </w:r>
          </w:p>
        </w:tc>
      </w:tr>
      <w:tr w:rsidR="00F4724C" w:rsidRPr="005A484F" w14:paraId="36A64203" w14:textId="77777777" w:rsidTr="005A484F">
        <w:trPr>
          <w:trHeight w:val="151"/>
          <w:jc w:val="center"/>
        </w:trPr>
        <w:tc>
          <w:tcPr>
            <w:tcW w:w="19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0A583B"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21</w:t>
            </w:r>
          </w:p>
        </w:tc>
        <w:tc>
          <w:tcPr>
            <w:tcW w:w="8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E796B1"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27,6</w:t>
            </w:r>
          </w:p>
        </w:tc>
        <w:tc>
          <w:tcPr>
            <w:tcW w:w="86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8CD42C"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w:t>
            </w:r>
          </w:p>
        </w:tc>
        <w:tc>
          <w:tcPr>
            <w:tcW w:w="17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B48DF3"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6,11</w:t>
            </w:r>
          </w:p>
        </w:tc>
        <w:tc>
          <w:tcPr>
            <w:tcW w:w="11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B687AF"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A</w:t>
            </w:r>
          </w:p>
        </w:tc>
        <w:tc>
          <w:tcPr>
            <w:tcW w:w="12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C800755"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B</w:t>
            </w:r>
          </w:p>
        </w:tc>
      </w:tr>
      <w:tr w:rsidR="00F4724C" w:rsidRPr="005A484F" w14:paraId="4D5CDB5B" w14:textId="77777777" w:rsidTr="005A484F">
        <w:trPr>
          <w:trHeight w:val="151"/>
          <w:jc w:val="center"/>
        </w:trPr>
        <w:tc>
          <w:tcPr>
            <w:tcW w:w="19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3F49C7"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120</w:t>
            </w:r>
          </w:p>
        </w:tc>
        <w:tc>
          <w:tcPr>
            <w:tcW w:w="8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FE2538"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27,99</w:t>
            </w:r>
          </w:p>
        </w:tc>
        <w:tc>
          <w:tcPr>
            <w:tcW w:w="86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E6AB96"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30</w:t>
            </w:r>
          </w:p>
        </w:tc>
        <w:tc>
          <w:tcPr>
            <w:tcW w:w="17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5175F5"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1,16</w:t>
            </w:r>
          </w:p>
        </w:tc>
        <w:tc>
          <w:tcPr>
            <w:tcW w:w="11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D26F105"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A</w:t>
            </w:r>
          </w:p>
        </w:tc>
        <w:tc>
          <w:tcPr>
            <w:tcW w:w="12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F955C9"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B</w:t>
            </w:r>
          </w:p>
        </w:tc>
      </w:tr>
      <w:tr w:rsidR="00F4724C" w:rsidRPr="005A484F" w14:paraId="67A62A27" w14:textId="77777777" w:rsidTr="005A484F">
        <w:trPr>
          <w:trHeight w:val="151"/>
          <w:jc w:val="center"/>
        </w:trPr>
        <w:tc>
          <w:tcPr>
            <w:tcW w:w="19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581C01"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100</w:t>
            </w:r>
          </w:p>
        </w:tc>
        <w:tc>
          <w:tcPr>
            <w:tcW w:w="8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374C6D"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28,69</w:t>
            </w:r>
          </w:p>
        </w:tc>
        <w:tc>
          <w:tcPr>
            <w:tcW w:w="86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7BA108"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13</w:t>
            </w:r>
          </w:p>
        </w:tc>
        <w:tc>
          <w:tcPr>
            <w:tcW w:w="17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DD628E"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1,69</w:t>
            </w:r>
          </w:p>
        </w:tc>
        <w:tc>
          <w:tcPr>
            <w:tcW w:w="11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21AD9B2"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A</w:t>
            </w:r>
          </w:p>
        </w:tc>
        <w:tc>
          <w:tcPr>
            <w:tcW w:w="12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1E6219"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B</w:t>
            </w:r>
          </w:p>
        </w:tc>
      </w:tr>
      <w:tr w:rsidR="00F4724C" w:rsidRPr="005A484F" w14:paraId="181F26C4" w14:textId="77777777" w:rsidTr="005A484F">
        <w:trPr>
          <w:trHeight w:val="151"/>
          <w:jc w:val="center"/>
        </w:trPr>
        <w:tc>
          <w:tcPr>
            <w:tcW w:w="19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AC0889"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50</w:t>
            </w:r>
          </w:p>
        </w:tc>
        <w:tc>
          <w:tcPr>
            <w:tcW w:w="8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D05EF7"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30,16</w:t>
            </w:r>
          </w:p>
        </w:tc>
        <w:tc>
          <w:tcPr>
            <w:tcW w:w="86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D7F27D"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w:t>
            </w:r>
          </w:p>
        </w:tc>
        <w:tc>
          <w:tcPr>
            <w:tcW w:w="17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97E6733"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6,11</w:t>
            </w:r>
          </w:p>
        </w:tc>
        <w:tc>
          <w:tcPr>
            <w:tcW w:w="11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49D56F"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A</w:t>
            </w:r>
          </w:p>
        </w:tc>
        <w:tc>
          <w:tcPr>
            <w:tcW w:w="12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8DEF39"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B</w:t>
            </w:r>
          </w:p>
        </w:tc>
      </w:tr>
      <w:tr w:rsidR="00F4724C" w:rsidRPr="005A484F" w14:paraId="400434A9" w14:textId="77777777" w:rsidTr="005A484F">
        <w:trPr>
          <w:trHeight w:val="151"/>
          <w:jc w:val="center"/>
        </w:trPr>
        <w:tc>
          <w:tcPr>
            <w:tcW w:w="19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1EE47F"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200</w:t>
            </w:r>
          </w:p>
        </w:tc>
        <w:tc>
          <w:tcPr>
            <w:tcW w:w="8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30DE4B"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35,08</w:t>
            </w:r>
          </w:p>
        </w:tc>
        <w:tc>
          <w:tcPr>
            <w:tcW w:w="86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7CC83FE"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w:t>
            </w:r>
          </w:p>
        </w:tc>
        <w:tc>
          <w:tcPr>
            <w:tcW w:w="17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F06936"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6,11</w:t>
            </w:r>
          </w:p>
        </w:tc>
        <w:tc>
          <w:tcPr>
            <w:tcW w:w="11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012778"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A</w:t>
            </w:r>
          </w:p>
        </w:tc>
        <w:tc>
          <w:tcPr>
            <w:tcW w:w="12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53DAF8"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B</w:t>
            </w:r>
          </w:p>
        </w:tc>
      </w:tr>
      <w:tr w:rsidR="00F4724C" w:rsidRPr="005A484F" w14:paraId="77140C69" w14:textId="77777777" w:rsidTr="005A484F">
        <w:trPr>
          <w:trHeight w:val="181"/>
          <w:jc w:val="center"/>
        </w:trPr>
        <w:tc>
          <w:tcPr>
            <w:tcW w:w="19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651131"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150</w:t>
            </w:r>
          </w:p>
        </w:tc>
        <w:tc>
          <w:tcPr>
            <w:tcW w:w="8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518C92"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36,47</w:t>
            </w:r>
          </w:p>
        </w:tc>
        <w:tc>
          <w:tcPr>
            <w:tcW w:w="86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8A9BF8"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1</w:t>
            </w:r>
          </w:p>
        </w:tc>
        <w:tc>
          <w:tcPr>
            <w:tcW w:w="179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8E7E9E"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6,11</w:t>
            </w:r>
          </w:p>
        </w:tc>
        <w:tc>
          <w:tcPr>
            <w:tcW w:w="11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9C413F" w14:textId="77777777" w:rsidR="00F4724C" w:rsidRPr="005A484F" w:rsidRDefault="00F4724C" w:rsidP="005A484F">
            <w:pPr>
              <w:pStyle w:val="Sinespaciado"/>
              <w:rPr>
                <w:rFonts w:ascii="Times New Roman" w:hAnsi="Times New Roman" w:cs="Times New Roman"/>
                <w:color w:val="000000"/>
                <w:sz w:val="24"/>
                <w:szCs w:val="24"/>
              </w:rPr>
            </w:pPr>
          </w:p>
        </w:tc>
        <w:tc>
          <w:tcPr>
            <w:tcW w:w="120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800387" w14:textId="77777777" w:rsidR="00F4724C" w:rsidRPr="005A484F" w:rsidRDefault="00F4724C" w:rsidP="005A484F">
            <w:pPr>
              <w:pStyle w:val="Sinespaciado"/>
              <w:rPr>
                <w:rFonts w:ascii="Times New Roman" w:hAnsi="Times New Roman" w:cs="Times New Roman"/>
                <w:color w:val="000000"/>
                <w:sz w:val="24"/>
                <w:szCs w:val="24"/>
              </w:rPr>
            </w:pPr>
            <w:r w:rsidRPr="005A484F">
              <w:rPr>
                <w:rFonts w:ascii="Times New Roman" w:hAnsi="Times New Roman" w:cs="Times New Roman"/>
                <w:color w:val="000000"/>
                <w:sz w:val="24"/>
                <w:szCs w:val="24"/>
              </w:rPr>
              <w:t>B</w:t>
            </w:r>
          </w:p>
        </w:tc>
      </w:tr>
    </w:tbl>
    <w:p w14:paraId="572D0517" w14:textId="77777777" w:rsidR="00F4724C" w:rsidRDefault="00F4724C" w:rsidP="006C4A75">
      <w:pPr>
        <w:autoSpaceDE w:val="0"/>
        <w:autoSpaceDN w:val="0"/>
        <w:adjustRightInd w:val="0"/>
        <w:spacing w:after="360" w:line="360" w:lineRule="auto"/>
        <w:rPr>
          <w:rFonts w:cs="Times New Roman"/>
          <w:szCs w:val="24"/>
        </w:rPr>
      </w:pPr>
      <w:r>
        <w:rPr>
          <w:rFonts w:cs="Times New Roman"/>
          <w:szCs w:val="24"/>
        </w:rPr>
        <w:t xml:space="preserve"> Medias con una letra común no son significativamente diferentes (p &gt; 0,05)</w:t>
      </w:r>
    </w:p>
    <w:p w14:paraId="2934F83D" w14:textId="34215494" w:rsidR="00D35FEF" w:rsidRPr="00D35FEF" w:rsidRDefault="00D35FEF" w:rsidP="005A484F">
      <w:pPr>
        <w:pStyle w:val="Descripcin"/>
        <w:keepNext/>
        <w:spacing w:before="360"/>
        <w:rPr>
          <w:rFonts w:cs="Times New Roman"/>
          <w:i w:val="0"/>
          <w:iCs w:val="0"/>
          <w:color w:val="auto"/>
          <w:sz w:val="24"/>
          <w:szCs w:val="24"/>
          <w:lang w:eastAsia="en-US"/>
        </w:rPr>
      </w:pPr>
      <w:bookmarkStart w:id="1603" w:name="_Toc79314067"/>
      <w:r w:rsidRPr="00D35FEF">
        <w:rPr>
          <w:rFonts w:cs="Times New Roman"/>
          <w:b/>
          <w:i w:val="0"/>
          <w:iCs w:val="0"/>
          <w:color w:val="auto"/>
          <w:sz w:val="24"/>
          <w:szCs w:val="24"/>
          <w:lang w:eastAsia="en-US"/>
        </w:rPr>
        <w:t xml:space="preserve">Cuadro </w:t>
      </w:r>
      <w:r w:rsidRPr="00D35FEF">
        <w:rPr>
          <w:rFonts w:cs="Times New Roman"/>
          <w:b/>
          <w:i w:val="0"/>
          <w:iCs w:val="0"/>
          <w:color w:val="auto"/>
          <w:sz w:val="24"/>
          <w:szCs w:val="24"/>
          <w:lang w:eastAsia="en-US"/>
        </w:rPr>
        <w:fldChar w:fldCharType="begin"/>
      </w:r>
      <w:r w:rsidRPr="00D35FEF">
        <w:rPr>
          <w:rFonts w:cs="Times New Roman"/>
          <w:b/>
          <w:i w:val="0"/>
          <w:iCs w:val="0"/>
          <w:color w:val="auto"/>
          <w:sz w:val="24"/>
          <w:szCs w:val="24"/>
          <w:lang w:eastAsia="en-US"/>
        </w:rPr>
        <w:instrText xml:space="preserve"> SEQ Cuadro \* ARABIC </w:instrText>
      </w:r>
      <w:r w:rsidRPr="00D35FEF">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75</w:t>
      </w:r>
      <w:r w:rsidRPr="00D35FEF">
        <w:rPr>
          <w:rFonts w:cs="Times New Roman"/>
          <w:b/>
          <w:i w:val="0"/>
          <w:iCs w:val="0"/>
          <w:color w:val="auto"/>
          <w:sz w:val="24"/>
          <w:szCs w:val="24"/>
          <w:lang w:eastAsia="en-US"/>
        </w:rPr>
        <w:fldChar w:fldCharType="end"/>
      </w:r>
      <w:r w:rsidRPr="00D35FEF">
        <w:rPr>
          <w:rFonts w:cs="Times New Roman"/>
          <w:b/>
          <w:i w:val="0"/>
          <w:iCs w:val="0"/>
          <w:color w:val="auto"/>
          <w:sz w:val="24"/>
          <w:szCs w:val="24"/>
          <w:lang w:eastAsia="en-US"/>
        </w:rPr>
        <w:t>.</w:t>
      </w:r>
      <w:r w:rsidRPr="00D35FEF">
        <w:rPr>
          <w:rFonts w:cs="Times New Roman"/>
          <w:i w:val="0"/>
          <w:iCs w:val="0"/>
          <w:color w:val="auto"/>
          <w:sz w:val="24"/>
          <w:szCs w:val="24"/>
          <w:lang w:eastAsia="en-US"/>
        </w:rPr>
        <w:t xml:space="preserve"> Absorción total de fósforo para diversas dosis de fósforo evaluadas en la provincia de Chimborazo 2012-2014.</w:t>
      </w:r>
      <w:bookmarkEnd w:id="1603"/>
    </w:p>
    <w:tbl>
      <w:tblPr>
        <w:tblW w:w="5015" w:type="dxa"/>
        <w:jc w:val="center"/>
        <w:tblCellMar>
          <w:left w:w="0" w:type="dxa"/>
          <w:right w:w="0" w:type="dxa"/>
        </w:tblCellMar>
        <w:tblLook w:val="04A0" w:firstRow="1" w:lastRow="0" w:firstColumn="1" w:lastColumn="0" w:noHBand="0" w:noVBand="1"/>
      </w:tblPr>
      <w:tblGrid>
        <w:gridCol w:w="1838"/>
        <w:gridCol w:w="777"/>
        <w:gridCol w:w="782"/>
        <w:gridCol w:w="1618"/>
      </w:tblGrid>
      <w:tr w:rsidR="00F4724C" w14:paraId="01553985" w14:textId="77777777" w:rsidTr="00BA248F">
        <w:trPr>
          <w:trHeight w:val="300"/>
          <w:jc w:val="center"/>
        </w:trPr>
        <w:tc>
          <w:tcPr>
            <w:tcW w:w="183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5F8D29" w14:textId="77777777" w:rsidR="00F4724C" w:rsidRDefault="00F4724C" w:rsidP="005A484F">
            <w:pPr>
              <w:spacing w:after="0" w:line="240" w:lineRule="auto"/>
              <w:jc w:val="center"/>
              <w:rPr>
                <w:rFonts w:cs="Times New Roman"/>
                <w:b/>
                <w:bCs/>
                <w:color w:val="000000"/>
                <w:szCs w:val="24"/>
              </w:rPr>
            </w:pPr>
            <w:r>
              <w:rPr>
                <w:rFonts w:cs="Times New Roman"/>
                <w:b/>
                <w:bCs/>
                <w:color w:val="000000"/>
                <w:szCs w:val="24"/>
              </w:rPr>
              <w:t xml:space="preserve">Dosis P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7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FB728AC" w14:textId="77777777" w:rsidR="00F4724C" w:rsidRDefault="00F4724C" w:rsidP="005A484F">
            <w:pPr>
              <w:spacing w:after="0" w:line="240" w:lineRule="auto"/>
              <w:jc w:val="center"/>
              <w:rPr>
                <w:rFonts w:cs="Times New Roman"/>
                <w:b/>
                <w:bCs/>
                <w:color w:val="000000"/>
                <w:szCs w:val="24"/>
              </w:rPr>
            </w:pPr>
            <w:r>
              <w:rPr>
                <w:rFonts w:cs="Times New Roman"/>
                <w:b/>
                <w:bCs/>
                <w:color w:val="000000"/>
                <w:szCs w:val="24"/>
              </w:rPr>
              <w:t>Medias</w:t>
            </w:r>
          </w:p>
        </w:tc>
        <w:tc>
          <w:tcPr>
            <w:tcW w:w="78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0A032F7" w14:textId="77777777" w:rsidR="00F4724C" w:rsidRDefault="00F4724C" w:rsidP="005A484F">
            <w:pPr>
              <w:spacing w:after="0" w:line="240" w:lineRule="auto"/>
              <w:jc w:val="center"/>
              <w:rPr>
                <w:rFonts w:cs="Times New Roman"/>
                <w:b/>
                <w:bCs/>
                <w:color w:val="000000"/>
                <w:szCs w:val="24"/>
              </w:rPr>
            </w:pPr>
            <w:r>
              <w:rPr>
                <w:rFonts w:cs="Times New Roman"/>
                <w:b/>
                <w:bCs/>
                <w:color w:val="000000"/>
                <w:szCs w:val="24"/>
              </w:rPr>
              <w:t xml:space="preserve">n </w:t>
            </w:r>
          </w:p>
        </w:tc>
        <w:tc>
          <w:tcPr>
            <w:tcW w:w="16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CCFF775" w14:textId="77777777" w:rsidR="00F4724C" w:rsidRDefault="00F4724C" w:rsidP="005A484F">
            <w:pPr>
              <w:spacing w:after="0" w:line="240" w:lineRule="auto"/>
              <w:jc w:val="center"/>
              <w:rPr>
                <w:rFonts w:cs="Times New Roman"/>
                <w:b/>
                <w:bCs/>
                <w:color w:val="000000"/>
                <w:szCs w:val="24"/>
              </w:rPr>
            </w:pPr>
            <w:r>
              <w:rPr>
                <w:rFonts w:eastAsia="Times New Roman" w:cs="Times New Roman"/>
                <w:b/>
                <w:bCs/>
                <w:color w:val="000000"/>
                <w:szCs w:val="24"/>
                <w:lang w:eastAsia="es-EC"/>
              </w:rPr>
              <w:t>Error estándar</w:t>
            </w:r>
          </w:p>
        </w:tc>
      </w:tr>
      <w:tr w:rsidR="00F4724C" w14:paraId="296D2503" w14:textId="77777777" w:rsidTr="00BA248F">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8C5A17" w14:textId="77777777" w:rsidR="00F4724C" w:rsidRDefault="00F4724C" w:rsidP="005A484F">
            <w:pPr>
              <w:spacing w:after="0" w:line="240" w:lineRule="auto"/>
              <w:jc w:val="center"/>
              <w:rPr>
                <w:rFonts w:cs="Times New Roman"/>
                <w:color w:val="000000"/>
                <w:szCs w:val="24"/>
              </w:rPr>
            </w:pPr>
            <w:r>
              <w:rPr>
                <w:rFonts w:cs="Times New Roman"/>
                <w:color w:val="000000"/>
                <w:szCs w:val="24"/>
              </w:rPr>
              <w:t>50</w:t>
            </w:r>
          </w:p>
        </w:tc>
        <w:tc>
          <w:tcPr>
            <w:tcW w:w="7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68F5BA" w14:textId="77777777" w:rsidR="00F4724C" w:rsidRDefault="00F4724C" w:rsidP="005A484F">
            <w:pPr>
              <w:spacing w:after="0" w:line="240" w:lineRule="auto"/>
              <w:jc w:val="center"/>
              <w:rPr>
                <w:rFonts w:cs="Times New Roman"/>
                <w:color w:val="000000"/>
                <w:szCs w:val="24"/>
              </w:rPr>
            </w:pPr>
            <w:r>
              <w:rPr>
                <w:rFonts w:cs="Times New Roman"/>
                <w:color w:val="000000"/>
                <w:szCs w:val="24"/>
              </w:rPr>
              <w:t>22,25</w:t>
            </w:r>
          </w:p>
        </w:tc>
        <w:tc>
          <w:tcPr>
            <w:tcW w:w="78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A7CFE9" w14:textId="77777777" w:rsidR="00F4724C" w:rsidRDefault="00F4724C" w:rsidP="005A484F">
            <w:pPr>
              <w:spacing w:after="0" w:line="240" w:lineRule="auto"/>
              <w:jc w:val="center"/>
              <w:rPr>
                <w:rFonts w:cs="Times New Roman"/>
                <w:color w:val="000000"/>
                <w:szCs w:val="24"/>
              </w:rPr>
            </w:pPr>
            <w:r>
              <w:rPr>
                <w:rFonts w:cs="Times New Roman"/>
                <w:color w:val="000000"/>
                <w:szCs w:val="24"/>
              </w:rPr>
              <w:t>8</w:t>
            </w:r>
          </w:p>
        </w:tc>
        <w:tc>
          <w:tcPr>
            <w:tcW w:w="16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E01AB3" w14:textId="77777777" w:rsidR="00F4724C" w:rsidRDefault="00F4724C" w:rsidP="005A484F">
            <w:pPr>
              <w:spacing w:after="0" w:line="240" w:lineRule="auto"/>
              <w:jc w:val="center"/>
              <w:rPr>
                <w:rFonts w:cs="Times New Roman"/>
                <w:color w:val="000000"/>
                <w:szCs w:val="24"/>
              </w:rPr>
            </w:pPr>
            <w:r>
              <w:rPr>
                <w:rFonts w:cs="Times New Roman"/>
                <w:color w:val="000000"/>
                <w:szCs w:val="24"/>
              </w:rPr>
              <w:t>2,16</w:t>
            </w:r>
          </w:p>
        </w:tc>
      </w:tr>
      <w:tr w:rsidR="00F4724C" w14:paraId="63B1FEDB" w14:textId="77777777" w:rsidTr="00BA248F">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31B1B7" w14:textId="77777777" w:rsidR="00F4724C" w:rsidRDefault="00F4724C" w:rsidP="005A484F">
            <w:pPr>
              <w:spacing w:after="0" w:line="240" w:lineRule="auto"/>
              <w:jc w:val="center"/>
              <w:rPr>
                <w:rFonts w:cs="Times New Roman"/>
                <w:color w:val="000000"/>
                <w:szCs w:val="24"/>
              </w:rPr>
            </w:pPr>
            <w:r>
              <w:rPr>
                <w:rFonts w:cs="Times New Roman"/>
                <w:color w:val="000000"/>
                <w:szCs w:val="24"/>
              </w:rPr>
              <w:t>0</w:t>
            </w:r>
          </w:p>
        </w:tc>
        <w:tc>
          <w:tcPr>
            <w:tcW w:w="7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7B9A37" w14:textId="77777777" w:rsidR="00F4724C" w:rsidRDefault="00F4724C" w:rsidP="005A484F">
            <w:pPr>
              <w:spacing w:after="0" w:line="240" w:lineRule="auto"/>
              <w:jc w:val="center"/>
              <w:rPr>
                <w:rFonts w:cs="Times New Roman"/>
                <w:color w:val="000000"/>
                <w:szCs w:val="24"/>
              </w:rPr>
            </w:pPr>
            <w:r>
              <w:rPr>
                <w:rFonts w:cs="Times New Roman"/>
                <w:color w:val="000000"/>
                <w:szCs w:val="24"/>
              </w:rPr>
              <w:t>25,48</w:t>
            </w:r>
          </w:p>
        </w:tc>
        <w:tc>
          <w:tcPr>
            <w:tcW w:w="78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D7F690" w14:textId="77777777" w:rsidR="00F4724C" w:rsidRDefault="00F4724C" w:rsidP="005A484F">
            <w:pPr>
              <w:spacing w:after="0" w:line="240" w:lineRule="auto"/>
              <w:jc w:val="center"/>
              <w:rPr>
                <w:rFonts w:cs="Times New Roman"/>
                <w:color w:val="000000"/>
                <w:szCs w:val="24"/>
              </w:rPr>
            </w:pPr>
            <w:r>
              <w:rPr>
                <w:rFonts w:cs="Times New Roman"/>
                <w:color w:val="000000"/>
                <w:szCs w:val="24"/>
              </w:rPr>
              <w:t>35</w:t>
            </w:r>
          </w:p>
        </w:tc>
        <w:tc>
          <w:tcPr>
            <w:tcW w:w="16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1AD033" w14:textId="77777777" w:rsidR="00F4724C" w:rsidRDefault="00F4724C" w:rsidP="005A484F">
            <w:pPr>
              <w:spacing w:after="0" w:line="240" w:lineRule="auto"/>
              <w:jc w:val="center"/>
              <w:rPr>
                <w:rFonts w:cs="Times New Roman"/>
                <w:color w:val="000000"/>
                <w:szCs w:val="24"/>
              </w:rPr>
            </w:pPr>
            <w:r>
              <w:rPr>
                <w:rFonts w:cs="Times New Roman"/>
                <w:color w:val="000000"/>
                <w:szCs w:val="24"/>
              </w:rPr>
              <w:t>1,08</w:t>
            </w:r>
          </w:p>
        </w:tc>
      </w:tr>
      <w:tr w:rsidR="00F4724C" w14:paraId="02F71058" w14:textId="77777777" w:rsidTr="00BA248F">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8AF897" w14:textId="77777777" w:rsidR="00F4724C" w:rsidRDefault="00F4724C" w:rsidP="005A484F">
            <w:pPr>
              <w:spacing w:after="0" w:line="240" w:lineRule="auto"/>
              <w:jc w:val="center"/>
              <w:rPr>
                <w:rFonts w:cs="Times New Roman"/>
                <w:color w:val="000000"/>
                <w:szCs w:val="24"/>
              </w:rPr>
            </w:pPr>
            <w:r>
              <w:rPr>
                <w:rFonts w:cs="Times New Roman"/>
                <w:color w:val="000000"/>
                <w:szCs w:val="24"/>
              </w:rPr>
              <w:t>30</w:t>
            </w:r>
          </w:p>
        </w:tc>
        <w:tc>
          <w:tcPr>
            <w:tcW w:w="7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6F9B4F" w14:textId="77777777" w:rsidR="00F4724C" w:rsidRDefault="00F4724C" w:rsidP="005A484F">
            <w:pPr>
              <w:spacing w:after="0" w:line="240" w:lineRule="auto"/>
              <w:jc w:val="center"/>
              <w:rPr>
                <w:rFonts w:cs="Times New Roman"/>
                <w:color w:val="000000"/>
                <w:szCs w:val="24"/>
              </w:rPr>
            </w:pPr>
            <w:r>
              <w:rPr>
                <w:rFonts w:cs="Times New Roman"/>
                <w:color w:val="000000"/>
                <w:szCs w:val="24"/>
              </w:rPr>
              <w:t>26,96</w:t>
            </w:r>
          </w:p>
        </w:tc>
        <w:tc>
          <w:tcPr>
            <w:tcW w:w="78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A61976" w14:textId="77777777" w:rsidR="00F4724C" w:rsidRDefault="00F4724C" w:rsidP="005A484F">
            <w:pPr>
              <w:spacing w:after="0" w:line="240" w:lineRule="auto"/>
              <w:jc w:val="center"/>
              <w:rPr>
                <w:rFonts w:cs="Times New Roman"/>
                <w:color w:val="000000"/>
                <w:szCs w:val="24"/>
              </w:rPr>
            </w:pPr>
            <w:r>
              <w:rPr>
                <w:rFonts w:cs="Times New Roman"/>
                <w:color w:val="000000"/>
                <w:szCs w:val="24"/>
              </w:rPr>
              <w:t>12</w:t>
            </w:r>
          </w:p>
        </w:tc>
        <w:tc>
          <w:tcPr>
            <w:tcW w:w="16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2BB623" w14:textId="77777777" w:rsidR="00F4724C" w:rsidRDefault="00F4724C" w:rsidP="005A484F">
            <w:pPr>
              <w:spacing w:after="0" w:line="240" w:lineRule="auto"/>
              <w:jc w:val="center"/>
              <w:rPr>
                <w:rFonts w:cs="Times New Roman"/>
                <w:color w:val="000000"/>
                <w:szCs w:val="24"/>
              </w:rPr>
            </w:pPr>
            <w:r>
              <w:rPr>
                <w:rFonts w:cs="Times New Roman"/>
                <w:color w:val="000000"/>
                <w:szCs w:val="24"/>
              </w:rPr>
              <w:t>1,78</w:t>
            </w:r>
          </w:p>
        </w:tc>
      </w:tr>
      <w:tr w:rsidR="00F4724C" w14:paraId="4D88507C" w14:textId="77777777" w:rsidTr="00BA248F">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3AB936" w14:textId="77777777" w:rsidR="00F4724C" w:rsidRDefault="00F4724C" w:rsidP="005A484F">
            <w:pPr>
              <w:spacing w:after="0" w:line="240" w:lineRule="auto"/>
              <w:jc w:val="center"/>
              <w:rPr>
                <w:rFonts w:cs="Times New Roman"/>
                <w:color w:val="000000"/>
                <w:szCs w:val="24"/>
              </w:rPr>
            </w:pPr>
            <w:r>
              <w:rPr>
                <w:rFonts w:cs="Times New Roman"/>
                <w:color w:val="000000"/>
                <w:szCs w:val="24"/>
              </w:rPr>
              <w:t>15</w:t>
            </w:r>
          </w:p>
        </w:tc>
        <w:tc>
          <w:tcPr>
            <w:tcW w:w="7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E04421" w14:textId="77777777" w:rsidR="00F4724C" w:rsidRDefault="00F4724C" w:rsidP="005A484F">
            <w:pPr>
              <w:spacing w:after="0" w:line="240" w:lineRule="auto"/>
              <w:jc w:val="center"/>
              <w:rPr>
                <w:rFonts w:cs="Times New Roman"/>
                <w:color w:val="000000"/>
                <w:szCs w:val="24"/>
              </w:rPr>
            </w:pPr>
            <w:r>
              <w:rPr>
                <w:rFonts w:cs="Times New Roman"/>
                <w:color w:val="000000"/>
                <w:szCs w:val="24"/>
              </w:rPr>
              <w:t>27,6</w:t>
            </w:r>
          </w:p>
        </w:tc>
        <w:tc>
          <w:tcPr>
            <w:tcW w:w="78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A28BF8" w14:textId="77777777" w:rsidR="00F4724C" w:rsidRDefault="00F4724C" w:rsidP="005A484F">
            <w:pPr>
              <w:spacing w:after="0" w:line="240" w:lineRule="auto"/>
              <w:jc w:val="center"/>
              <w:rPr>
                <w:rFonts w:cs="Times New Roman"/>
                <w:color w:val="000000"/>
                <w:szCs w:val="24"/>
              </w:rPr>
            </w:pPr>
            <w:r>
              <w:rPr>
                <w:rFonts w:cs="Times New Roman"/>
                <w:color w:val="000000"/>
                <w:szCs w:val="24"/>
              </w:rPr>
              <w:t>1</w:t>
            </w:r>
          </w:p>
        </w:tc>
        <w:tc>
          <w:tcPr>
            <w:tcW w:w="16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E064D0" w14:textId="77777777" w:rsidR="00F4724C" w:rsidRDefault="00F4724C" w:rsidP="005A484F">
            <w:pPr>
              <w:spacing w:after="0" w:line="240" w:lineRule="auto"/>
              <w:jc w:val="center"/>
              <w:rPr>
                <w:rFonts w:cs="Times New Roman"/>
                <w:color w:val="000000"/>
                <w:szCs w:val="24"/>
              </w:rPr>
            </w:pPr>
            <w:r>
              <w:rPr>
                <w:rFonts w:cs="Times New Roman"/>
                <w:color w:val="000000"/>
                <w:szCs w:val="24"/>
              </w:rPr>
              <w:t>6,11</w:t>
            </w:r>
          </w:p>
        </w:tc>
      </w:tr>
      <w:tr w:rsidR="00F4724C" w14:paraId="0B6F0FB6" w14:textId="77777777" w:rsidTr="00BA248F">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84857C" w14:textId="77777777" w:rsidR="00F4724C" w:rsidRDefault="00F4724C" w:rsidP="005A484F">
            <w:pPr>
              <w:spacing w:after="0" w:line="240" w:lineRule="auto"/>
              <w:jc w:val="center"/>
              <w:rPr>
                <w:rFonts w:cs="Times New Roman"/>
                <w:color w:val="000000"/>
                <w:szCs w:val="24"/>
              </w:rPr>
            </w:pPr>
            <w:r>
              <w:rPr>
                <w:rFonts w:cs="Times New Roman"/>
                <w:color w:val="000000"/>
                <w:szCs w:val="24"/>
              </w:rPr>
              <w:t>60</w:t>
            </w:r>
          </w:p>
        </w:tc>
        <w:tc>
          <w:tcPr>
            <w:tcW w:w="7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0190C1" w14:textId="77777777" w:rsidR="00F4724C" w:rsidRDefault="00F4724C" w:rsidP="005A484F">
            <w:pPr>
              <w:spacing w:after="0" w:line="240" w:lineRule="auto"/>
              <w:jc w:val="center"/>
              <w:rPr>
                <w:rFonts w:cs="Times New Roman"/>
                <w:color w:val="000000"/>
                <w:szCs w:val="24"/>
              </w:rPr>
            </w:pPr>
            <w:r>
              <w:rPr>
                <w:rFonts w:cs="Times New Roman"/>
                <w:color w:val="000000"/>
                <w:szCs w:val="24"/>
              </w:rPr>
              <w:t>28,01</w:t>
            </w:r>
          </w:p>
        </w:tc>
        <w:tc>
          <w:tcPr>
            <w:tcW w:w="78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1B2A7C" w14:textId="77777777" w:rsidR="00F4724C" w:rsidRDefault="00F4724C" w:rsidP="005A484F">
            <w:pPr>
              <w:spacing w:after="0" w:line="240" w:lineRule="auto"/>
              <w:jc w:val="center"/>
              <w:rPr>
                <w:rFonts w:cs="Times New Roman"/>
                <w:color w:val="000000"/>
                <w:szCs w:val="24"/>
              </w:rPr>
            </w:pPr>
            <w:r>
              <w:rPr>
                <w:rFonts w:cs="Times New Roman"/>
                <w:color w:val="000000"/>
                <w:szCs w:val="24"/>
              </w:rPr>
              <w:t>23</w:t>
            </w:r>
          </w:p>
        </w:tc>
        <w:tc>
          <w:tcPr>
            <w:tcW w:w="16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39AB57" w14:textId="77777777" w:rsidR="00F4724C" w:rsidRDefault="00F4724C" w:rsidP="005A484F">
            <w:pPr>
              <w:spacing w:after="0" w:line="240" w:lineRule="auto"/>
              <w:jc w:val="center"/>
              <w:rPr>
                <w:rFonts w:cs="Times New Roman"/>
                <w:color w:val="000000"/>
                <w:szCs w:val="24"/>
              </w:rPr>
            </w:pPr>
            <w:r>
              <w:rPr>
                <w:rFonts w:cs="Times New Roman"/>
                <w:color w:val="000000"/>
                <w:szCs w:val="24"/>
              </w:rPr>
              <w:t>1,35</w:t>
            </w:r>
          </w:p>
        </w:tc>
      </w:tr>
      <w:tr w:rsidR="00F4724C" w14:paraId="231D32FC" w14:textId="77777777" w:rsidTr="00BA248F">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BA6A32" w14:textId="77777777" w:rsidR="00F4724C" w:rsidRDefault="00F4724C" w:rsidP="005A484F">
            <w:pPr>
              <w:spacing w:after="0" w:line="240" w:lineRule="auto"/>
              <w:jc w:val="center"/>
              <w:rPr>
                <w:rFonts w:cs="Times New Roman"/>
                <w:color w:val="000000"/>
                <w:szCs w:val="24"/>
              </w:rPr>
            </w:pPr>
            <w:r>
              <w:rPr>
                <w:rFonts w:cs="Times New Roman"/>
                <w:color w:val="000000"/>
                <w:szCs w:val="24"/>
              </w:rPr>
              <w:t>40</w:t>
            </w:r>
          </w:p>
        </w:tc>
        <w:tc>
          <w:tcPr>
            <w:tcW w:w="7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88D908" w14:textId="77777777" w:rsidR="00F4724C" w:rsidRDefault="00F4724C" w:rsidP="005A484F">
            <w:pPr>
              <w:spacing w:after="0" w:line="240" w:lineRule="auto"/>
              <w:jc w:val="center"/>
              <w:rPr>
                <w:rFonts w:cs="Times New Roman"/>
                <w:color w:val="000000"/>
                <w:szCs w:val="24"/>
              </w:rPr>
            </w:pPr>
            <w:r>
              <w:rPr>
                <w:rFonts w:cs="Times New Roman"/>
                <w:color w:val="000000"/>
                <w:szCs w:val="24"/>
              </w:rPr>
              <w:t>33,63</w:t>
            </w:r>
          </w:p>
        </w:tc>
        <w:tc>
          <w:tcPr>
            <w:tcW w:w="78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FACBB7" w14:textId="77777777" w:rsidR="00F4724C" w:rsidRDefault="00F4724C" w:rsidP="005A484F">
            <w:pPr>
              <w:spacing w:after="0" w:line="240" w:lineRule="auto"/>
              <w:jc w:val="center"/>
              <w:rPr>
                <w:rFonts w:cs="Times New Roman"/>
                <w:color w:val="000000"/>
                <w:szCs w:val="24"/>
              </w:rPr>
            </w:pPr>
            <w:r>
              <w:rPr>
                <w:rFonts w:cs="Times New Roman"/>
                <w:color w:val="000000"/>
                <w:szCs w:val="24"/>
              </w:rPr>
              <w:t>3</w:t>
            </w:r>
          </w:p>
        </w:tc>
        <w:tc>
          <w:tcPr>
            <w:tcW w:w="161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661414" w14:textId="77777777" w:rsidR="00F4724C" w:rsidRDefault="00F4724C" w:rsidP="005A484F">
            <w:pPr>
              <w:spacing w:after="0" w:line="240" w:lineRule="auto"/>
              <w:jc w:val="center"/>
              <w:rPr>
                <w:rFonts w:cs="Times New Roman"/>
                <w:color w:val="000000"/>
                <w:szCs w:val="24"/>
              </w:rPr>
            </w:pPr>
            <w:r>
              <w:rPr>
                <w:rFonts w:cs="Times New Roman"/>
                <w:color w:val="000000"/>
                <w:szCs w:val="24"/>
              </w:rPr>
              <w:t>3,53</w:t>
            </w:r>
          </w:p>
        </w:tc>
      </w:tr>
    </w:tbl>
    <w:p w14:paraId="6CA5FE04" w14:textId="69CA93B2" w:rsidR="00F4724C" w:rsidRPr="008A1EC1" w:rsidRDefault="00F4724C" w:rsidP="006C4A75"/>
    <w:p w14:paraId="1C503B9D" w14:textId="4EF29FB9" w:rsidR="00D35FEF" w:rsidRPr="00D35FEF" w:rsidRDefault="00D35FEF" w:rsidP="00D35FEF">
      <w:pPr>
        <w:pStyle w:val="Descripcin"/>
        <w:keepNext/>
        <w:rPr>
          <w:rFonts w:cs="Times New Roman"/>
          <w:i w:val="0"/>
          <w:iCs w:val="0"/>
          <w:color w:val="auto"/>
          <w:sz w:val="24"/>
          <w:szCs w:val="24"/>
          <w:lang w:eastAsia="en-US"/>
        </w:rPr>
      </w:pPr>
      <w:bookmarkStart w:id="1604" w:name="_Toc79314068"/>
      <w:r w:rsidRPr="00D35FEF">
        <w:rPr>
          <w:rFonts w:cs="Times New Roman"/>
          <w:b/>
          <w:i w:val="0"/>
          <w:iCs w:val="0"/>
          <w:color w:val="auto"/>
          <w:sz w:val="24"/>
          <w:szCs w:val="24"/>
          <w:lang w:eastAsia="en-US"/>
        </w:rPr>
        <w:t xml:space="preserve">Cuadro </w:t>
      </w:r>
      <w:r w:rsidRPr="00D35FEF">
        <w:rPr>
          <w:rFonts w:cs="Times New Roman"/>
          <w:b/>
          <w:i w:val="0"/>
          <w:iCs w:val="0"/>
          <w:color w:val="auto"/>
          <w:sz w:val="24"/>
          <w:szCs w:val="24"/>
          <w:lang w:eastAsia="en-US"/>
        </w:rPr>
        <w:fldChar w:fldCharType="begin"/>
      </w:r>
      <w:r w:rsidRPr="00D35FEF">
        <w:rPr>
          <w:rFonts w:cs="Times New Roman"/>
          <w:b/>
          <w:i w:val="0"/>
          <w:iCs w:val="0"/>
          <w:color w:val="auto"/>
          <w:sz w:val="24"/>
          <w:szCs w:val="24"/>
          <w:lang w:eastAsia="en-US"/>
        </w:rPr>
        <w:instrText xml:space="preserve"> SEQ Cuadro \* ARABIC </w:instrText>
      </w:r>
      <w:r w:rsidRPr="00D35FEF">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76</w:t>
      </w:r>
      <w:r w:rsidRPr="00D35FEF">
        <w:rPr>
          <w:rFonts w:cs="Times New Roman"/>
          <w:b/>
          <w:i w:val="0"/>
          <w:iCs w:val="0"/>
          <w:color w:val="auto"/>
          <w:sz w:val="24"/>
          <w:szCs w:val="24"/>
          <w:lang w:eastAsia="en-US"/>
        </w:rPr>
        <w:fldChar w:fldCharType="end"/>
      </w:r>
      <w:r w:rsidRPr="00D35FEF">
        <w:rPr>
          <w:rFonts w:cs="Times New Roman"/>
          <w:b/>
          <w:i w:val="0"/>
          <w:iCs w:val="0"/>
          <w:color w:val="auto"/>
          <w:sz w:val="24"/>
          <w:szCs w:val="24"/>
          <w:lang w:eastAsia="en-US"/>
        </w:rPr>
        <w:t>.</w:t>
      </w:r>
      <w:r w:rsidRPr="00D35FEF">
        <w:rPr>
          <w:rFonts w:cs="Times New Roman"/>
          <w:i w:val="0"/>
          <w:iCs w:val="0"/>
          <w:color w:val="auto"/>
          <w:sz w:val="24"/>
          <w:szCs w:val="24"/>
          <w:lang w:eastAsia="en-US"/>
        </w:rPr>
        <w:t xml:space="preserve"> Absorción total de fósforo para diversas dosis de potasio evaluadas en la provincia de Chimborazo 2012-2014.</w:t>
      </w:r>
      <w:bookmarkEnd w:id="1604"/>
    </w:p>
    <w:tbl>
      <w:tblPr>
        <w:tblW w:w="5382" w:type="dxa"/>
        <w:jc w:val="center"/>
        <w:tblCellMar>
          <w:left w:w="70" w:type="dxa"/>
          <w:right w:w="70" w:type="dxa"/>
        </w:tblCellMar>
        <w:tblLook w:val="04A0" w:firstRow="1" w:lastRow="0" w:firstColumn="1" w:lastColumn="0" w:noHBand="0" w:noVBand="1"/>
      </w:tblPr>
      <w:tblGrid>
        <w:gridCol w:w="1980"/>
        <w:gridCol w:w="992"/>
        <w:gridCol w:w="628"/>
        <w:gridCol w:w="1782"/>
      </w:tblGrid>
      <w:tr w:rsidR="00F4724C" w14:paraId="3411339A" w14:textId="77777777" w:rsidTr="00BA248F">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70ECA3A"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992" w:type="dxa"/>
            <w:tcBorders>
              <w:top w:val="single" w:sz="4" w:space="0" w:color="auto"/>
              <w:left w:val="nil"/>
              <w:bottom w:val="single" w:sz="4" w:space="0" w:color="auto"/>
              <w:right w:val="single" w:sz="4" w:space="0" w:color="auto"/>
            </w:tcBorders>
            <w:noWrap/>
            <w:vAlign w:val="bottom"/>
            <w:hideMark/>
          </w:tcPr>
          <w:p w14:paraId="4D70E6C4"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28" w:type="dxa"/>
            <w:tcBorders>
              <w:top w:val="single" w:sz="4" w:space="0" w:color="auto"/>
              <w:left w:val="nil"/>
              <w:bottom w:val="single" w:sz="4" w:space="0" w:color="auto"/>
              <w:right w:val="single" w:sz="4" w:space="0" w:color="auto"/>
            </w:tcBorders>
            <w:noWrap/>
            <w:vAlign w:val="bottom"/>
            <w:hideMark/>
          </w:tcPr>
          <w:p w14:paraId="7F51C2EB"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82" w:type="dxa"/>
            <w:tcBorders>
              <w:top w:val="single" w:sz="4" w:space="0" w:color="auto"/>
              <w:left w:val="nil"/>
              <w:bottom w:val="single" w:sz="4" w:space="0" w:color="auto"/>
              <w:right w:val="single" w:sz="4" w:space="0" w:color="auto"/>
            </w:tcBorders>
            <w:noWrap/>
            <w:vAlign w:val="bottom"/>
            <w:hideMark/>
          </w:tcPr>
          <w:p w14:paraId="7EAFA9C7"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7F3AD9CF"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2F55B9D"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992" w:type="dxa"/>
            <w:tcBorders>
              <w:top w:val="nil"/>
              <w:left w:val="nil"/>
              <w:bottom w:val="single" w:sz="4" w:space="0" w:color="auto"/>
              <w:right w:val="single" w:sz="4" w:space="0" w:color="auto"/>
            </w:tcBorders>
            <w:noWrap/>
            <w:vAlign w:val="bottom"/>
            <w:hideMark/>
          </w:tcPr>
          <w:p w14:paraId="69C84025"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24,95</w:t>
            </w:r>
          </w:p>
        </w:tc>
        <w:tc>
          <w:tcPr>
            <w:tcW w:w="628" w:type="dxa"/>
            <w:tcBorders>
              <w:top w:val="nil"/>
              <w:left w:val="nil"/>
              <w:bottom w:val="single" w:sz="4" w:space="0" w:color="auto"/>
              <w:right w:val="single" w:sz="4" w:space="0" w:color="auto"/>
            </w:tcBorders>
            <w:noWrap/>
            <w:vAlign w:val="bottom"/>
            <w:hideMark/>
          </w:tcPr>
          <w:p w14:paraId="4251A86D"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782" w:type="dxa"/>
            <w:tcBorders>
              <w:top w:val="nil"/>
              <w:left w:val="nil"/>
              <w:bottom w:val="single" w:sz="4" w:space="0" w:color="auto"/>
              <w:right w:val="single" w:sz="4" w:space="0" w:color="auto"/>
            </w:tcBorders>
            <w:noWrap/>
            <w:vAlign w:val="bottom"/>
            <w:hideMark/>
          </w:tcPr>
          <w:p w14:paraId="51B74765"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1,08</w:t>
            </w:r>
          </w:p>
        </w:tc>
      </w:tr>
      <w:tr w:rsidR="00F4724C" w14:paraId="7FCEF37C"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FC2DE87"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992" w:type="dxa"/>
            <w:tcBorders>
              <w:top w:val="nil"/>
              <w:left w:val="nil"/>
              <w:bottom w:val="single" w:sz="4" w:space="0" w:color="auto"/>
              <w:right w:val="single" w:sz="4" w:space="0" w:color="auto"/>
            </w:tcBorders>
            <w:noWrap/>
            <w:vAlign w:val="bottom"/>
            <w:hideMark/>
          </w:tcPr>
          <w:p w14:paraId="41DF8C21"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25,82</w:t>
            </w:r>
          </w:p>
        </w:tc>
        <w:tc>
          <w:tcPr>
            <w:tcW w:w="628" w:type="dxa"/>
            <w:tcBorders>
              <w:top w:val="nil"/>
              <w:left w:val="nil"/>
              <w:bottom w:val="single" w:sz="4" w:space="0" w:color="auto"/>
              <w:right w:val="single" w:sz="4" w:space="0" w:color="auto"/>
            </w:tcBorders>
            <w:noWrap/>
            <w:vAlign w:val="bottom"/>
            <w:hideMark/>
          </w:tcPr>
          <w:p w14:paraId="380F9279"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782" w:type="dxa"/>
            <w:tcBorders>
              <w:top w:val="nil"/>
              <w:left w:val="nil"/>
              <w:bottom w:val="single" w:sz="4" w:space="0" w:color="auto"/>
              <w:right w:val="single" w:sz="4" w:space="0" w:color="auto"/>
            </w:tcBorders>
            <w:noWrap/>
            <w:vAlign w:val="bottom"/>
            <w:hideMark/>
          </w:tcPr>
          <w:p w14:paraId="4873068C"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1,57</w:t>
            </w:r>
          </w:p>
        </w:tc>
      </w:tr>
      <w:tr w:rsidR="00F4724C" w14:paraId="18DC2AEB"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15FD8F4"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992" w:type="dxa"/>
            <w:tcBorders>
              <w:top w:val="nil"/>
              <w:left w:val="nil"/>
              <w:bottom w:val="single" w:sz="4" w:space="0" w:color="auto"/>
              <w:right w:val="single" w:sz="4" w:space="0" w:color="auto"/>
            </w:tcBorders>
            <w:noWrap/>
            <w:vAlign w:val="bottom"/>
            <w:hideMark/>
          </w:tcPr>
          <w:p w14:paraId="1512DAB1"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26,16</w:t>
            </w:r>
          </w:p>
        </w:tc>
        <w:tc>
          <w:tcPr>
            <w:tcW w:w="628" w:type="dxa"/>
            <w:tcBorders>
              <w:top w:val="nil"/>
              <w:left w:val="nil"/>
              <w:bottom w:val="single" w:sz="4" w:space="0" w:color="auto"/>
              <w:right w:val="single" w:sz="4" w:space="0" w:color="auto"/>
            </w:tcBorders>
            <w:noWrap/>
            <w:vAlign w:val="bottom"/>
            <w:hideMark/>
          </w:tcPr>
          <w:p w14:paraId="0F5C67CF"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82" w:type="dxa"/>
            <w:tcBorders>
              <w:top w:val="nil"/>
              <w:left w:val="nil"/>
              <w:bottom w:val="single" w:sz="4" w:space="0" w:color="auto"/>
              <w:right w:val="single" w:sz="4" w:space="0" w:color="auto"/>
            </w:tcBorders>
            <w:noWrap/>
            <w:vAlign w:val="bottom"/>
            <w:hideMark/>
          </w:tcPr>
          <w:p w14:paraId="670729D1"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1,78</w:t>
            </w:r>
          </w:p>
        </w:tc>
      </w:tr>
      <w:tr w:rsidR="00F4724C" w14:paraId="5A0B80AD"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16733BD"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992" w:type="dxa"/>
            <w:tcBorders>
              <w:top w:val="nil"/>
              <w:left w:val="nil"/>
              <w:bottom w:val="single" w:sz="4" w:space="0" w:color="auto"/>
              <w:right w:val="single" w:sz="4" w:space="0" w:color="auto"/>
            </w:tcBorders>
            <w:noWrap/>
            <w:vAlign w:val="bottom"/>
            <w:hideMark/>
          </w:tcPr>
          <w:p w14:paraId="7F38C69A"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27,18</w:t>
            </w:r>
          </w:p>
        </w:tc>
        <w:tc>
          <w:tcPr>
            <w:tcW w:w="628" w:type="dxa"/>
            <w:tcBorders>
              <w:top w:val="nil"/>
              <w:left w:val="nil"/>
              <w:bottom w:val="single" w:sz="4" w:space="0" w:color="auto"/>
              <w:right w:val="single" w:sz="4" w:space="0" w:color="auto"/>
            </w:tcBorders>
            <w:noWrap/>
            <w:vAlign w:val="bottom"/>
            <w:hideMark/>
          </w:tcPr>
          <w:p w14:paraId="40280632"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782" w:type="dxa"/>
            <w:tcBorders>
              <w:top w:val="nil"/>
              <w:left w:val="nil"/>
              <w:bottom w:val="single" w:sz="4" w:space="0" w:color="auto"/>
              <w:right w:val="single" w:sz="4" w:space="0" w:color="auto"/>
            </w:tcBorders>
            <w:noWrap/>
            <w:vAlign w:val="bottom"/>
            <w:hideMark/>
          </w:tcPr>
          <w:p w14:paraId="5A827691"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1,84</w:t>
            </w:r>
          </w:p>
        </w:tc>
      </w:tr>
      <w:tr w:rsidR="00F4724C" w14:paraId="6F482E65"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6544B30"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992" w:type="dxa"/>
            <w:tcBorders>
              <w:top w:val="nil"/>
              <w:left w:val="nil"/>
              <w:bottom w:val="single" w:sz="4" w:space="0" w:color="auto"/>
              <w:right w:val="single" w:sz="4" w:space="0" w:color="auto"/>
            </w:tcBorders>
            <w:noWrap/>
            <w:vAlign w:val="bottom"/>
            <w:hideMark/>
          </w:tcPr>
          <w:p w14:paraId="6AD517D9"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27,6</w:t>
            </w:r>
          </w:p>
        </w:tc>
        <w:tc>
          <w:tcPr>
            <w:tcW w:w="628" w:type="dxa"/>
            <w:tcBorders>
              <w:top w:val="nil"/>
              <w:left w:val="nil"/>
              <w:bottom w:val="single" w:sz="4" w:space="0" w:color="auto"/>
              <w:right w:val="single" w:sz="4" w:space="0" w:color="auto"/>
            </w:tcBorders>
            <w:noWrap/>
            <w:vAlign w:val="bottom"/>
            <w:hideMark/>
          </w:tcPr>
          <w:p w14:paraId="0C00CE81"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82" w:type="dxa"/>
            <w:tcBorders>
              <w:top w:val="nil"/>
              <w:left w:val="nil"/>
              <w:bottom w:val="single" w:sz="4" w:space="0" w:color="auto"/>
              <w:right w:val="single" w:sz="4" w:space="0" w:color="auto"/>
            </w:tcBorders>
            <w:noWrap/>
            <w:vAlign w:val="bottom"/>
            <w:hideMark/>
          </w:tcPr>
          <w:p w14:paraId="15FEE948"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6,11</w:t>
            </w:r>
          </w:p>
        </w:tc>
      </w:tr>
      <w:tr w:rsidR="00F4724C" w14:paraId="72B2557E"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F28BE38"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992" w:type="dxa"/>
            <w:tcBorders>
              <w:top w:val="nil"/>
              <w:left w:val="nil"/>
              <w:bottom w:val="single" w:sz="4" w:space="0" w:color="auto"/>
              <w:right w:val="single" w:sz="4" w:space="0" w:color="auto"/>
            </w:tcBorders>
            <w:noWrap/>
            <w:vAlign w:val="bottom"/>
            <w:hideMark/>
          </w:tcPr>
          <w:p w14:paraId="191648FB"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31,98</w:t>
            </w:r>
          </w:p>
        </w:tc>
        <w:tc>
          <w:tcPr>
            <w:tcW w:w="628" w:type="dxa"/>
            <w:tcBorders>
              <w:top w:val="nil"/>
              <w:left w:val="nil"/>
              <w:bottom w:val="single" w:sz="4" w:space="0" w:color="auto"/>
              <w:right w:val="single" w:sz="4" w:space="0" w:color="auto"/>
            </w:tcBorders>
            <w:noWrap/>
            <w:vAlign w:val="bottom"/>
            <w:hideMark/>
          </w:tcPr>
          <w:p w14:paraId="06FA8879"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782" w:type="dxa"/>
            <w:tcBorders>
              <w:top w:val="nil"/>
              <w:left w:val="nil"/>
              <w:bottom w:val="single" w:sz="4" w:space="0" w:color="auto"/>
              <w:right w:val="single" w:sz="4" w:space="0" w:color="auto"/>
            </w:tcBorders>
            <w:noWrap/>
            <w:vAlign w:val="bottom"/>
            <w:hideMark/>
          </w:tcPr>
          <w:p w14:paraId="545241C7"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2,49</w:t>
            </w:r>
          </w:p>
        </w:tc>
      </w:tr>
    </w:tbl>
    <w:p w14:paraId="386B1E63" w14:textId="50624FC5" w:rsidR="00D35FEF" w:rsidRPr="00D35FEF" w:rsidRDefault="00D35FEF" w:rsidP="005A484F">
      <w:pPr>
        <w:pStyle w:val="Descripcin"/>
        <w:keepNext/>
        <w:spacing w:before="360"/>
        <w:rPr>
          <w:rFonts w:cs="Times New Roman"/>
          <w:i w:val="0"/>
          <w:iCs w:val="0"/>
          <w:color w:val="auto"/>
          <w:sz w:val="24"/>
          <w:szCs w:val="24"/>
          <w:lang w:eastAsia="en-US"/>
        </w:rPr>
      </w:pPr>
      <w:bookmarkStart w:id="1605" w:name="_Toc79314069"/>
      <w:r w:rsidRPr="00D35FEF">
        <w:rPr>
          <w:rFonts w:cs="Times New Roman"/>
          <w:b/>
          <w:i w:val="0"/>
          <w:iCs w:val="0"/>
          <w:color w:val="auto"/>
          <w:sz w:val="24"/>
          <w:szCs w:val="24"/>
          <w:lang w:eastAsia="en-US"/>
        </w:rPr>
        <w:lastRenderedPageBreak/>
        <w:t xml:space="preserve">Cuadro </w:t>
      </w:r>
      <w:r w:rsidRPr="00D35FEF">
        <w:rPr>
          <w:rFonts w:cs="Times New Roman"/>
          <w:b/>
          <w:i w:val="0"/>
          <w:iCs w:val="0"/>
          <w:color w:val="auto"/>
          <w:sz w:val="24"/>
          <w:szCs w:val="24"/>
          <w:lang w:eastAsia="en-US"/>
        </w:rPr>
        <w:fldChar w:fldCharType="begin"/>
      </w:r>
      <w:r w:rsidRPr="00D35FEF">
        <w:rPr>
          <w:rFonts w:cs="Times New Roman"/>
          <w:b/>
          <w:i w:val="0"/>
          <w:iCs w:val="0"/>
          <w:color w:val="auto"/>
          <w:sz w:val="24"/>
          <w:szCs w:val="24"/>
          <w:lang w:eastAsia="en-US"/>
        </w:rPr>
        <w:instrText xml:space="preserve"> SEQ Cuadro \* ARABIC </w:instrText>
      </w:r>
      <w:r w:rsidRPr="00D35FEF">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77</w:t>
      </w:r>
      <w:r w:rsidRPr="00D35FEF">
        <w:rPr>
          <w:rFonts w:cs="Times New Roman"/>
          <w:b/>
          <w:i w:val="0"/>
          <w:iCs w:val="0"/>
          <w:color w:val="auto"/>
          <w:sz w:val="24"/>
          <w:szCs w:val="24"/>
          <w:lang w:eastAsia="en-US"/>
        </w:rPr>
        <w:fldChar w:fldCharType="end"/>
      </w:r>
      <w:r w:rsidRPr="00D35FEF">
        <w:rPr>
          <w:rFonts w:cs="Times New Roman"/>
          <w:b/>
          <w:i w:val="0"/>
          <w:iCs w:val="0"/>
          <w:color w:val="auto"/>
          <w:sz w:val="24"/>
          <w:szCs w:val="24"/>
          <w:lang w:eastAsia="en-US"/>
        </w:rPr>
        <w:t>.</w:t>
      </w:r>
      <w:r w:rsidRPr="00D35FEF">
        <w:rPr>
          <w:rFonts w:cs="Times New Roman"/>
          <w:i w:val="0"/>
          <w:iCs w:val="0"/>
          <w:color w:val="auto"/>
          <w:sz w:val="24"/>
          <w:szCs w:val="24"/>
          <w:lang w:eastAsia="en-US"/>
        </w:rPr>
        <w:t xml:space="preserve"> </w:t>
      </w:r>
      <w:r>
        <w:rPr>
          <w:rFonts w:cs="Times New Roman"/>
          <w:i w:val="0"/>
          <w:iCs w:val="0"/>
          <w:color w:val="auto"/>
          <w:sz w:val="24"/>
          <w:szCs w:val="24"/>
          <w:lang w:eastAsia="en-US"/>
        </w:rPr>
        <w:t>Absorción total de fósforo</w:t>
      </w:r>
      <w:r w:rsidRPr="00D35FEF">
        <w:rPr>
          <w:rFonts w:cs="Times New Roman"/>
          <w:i w:val="0"/>
          <w:iCs w:val="0"/>
          <w:color w:val="auto"/>
          <w:sz w:val="24"/>
          <w:szCs w:val="24"/>
          <w:lang w:eastAsia="en-US"/>
        </w:rPr>
        <w:t xml:space="preserve"> para diversas dosis de azufre evaluadas en la provincia de Chimborazo 2012-2014.</w:t>
      </w:r>
      <w:bookmarkEnd w:id="1605"/>
    </w:p>
    <w:tbl>
      <w:tblPr>
        <w:tblW w:w="5267" w:type="dxa"/>
        <w:jc w:val="center"/>
        <w:tblCellMar>
          <w:left w:w="70" w:type="dxa"/>
          <w:right w:w="70" w:type="dxa"/>
        </w:tblCellMar>
        <w:tblLook w:val="04A0" w:firstRow="1" w:lastRow="0" w:firstColumn="1" w:lastColumn="0" w:noHBand="0" w:noVBand="1"/>
      </w:tblPr>
      <w:tblGrid>
        <w:gridCol w:w="1980"/>
        <w:gridCol w:w="887"/>
        <w:gridCol w:w="530"/>
        <w:gridCol w:w="1870"/>
      </w:tblGrid>
      <w:tr w:rsidR="00F4724C" w14:paraId="37A92F7A" w14:textId="77777777" w:rsidTr="00BA248F">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87FEB3C"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7E70113E"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noWrap/>
            <w:vAlign w:val="bottom"/>
            <w:hideMark/>
          </w:tcPr>
          <w:p w14:paraId="2C527D6C"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70" w:type="dxa"/>
            <w:tcBorders>
              <w:top w:val="single" w:sz="4" w:space="0" w:color="auto"/>
              <w:left w:val="nil"/>
              <w:bottom w:val="single" w:sz="4" w:space="0" w:color="auto"/>
              <w:right w:val="single" w:sz="4" w:space="0" w:color="auto"/>
            </w:tcBorders>
            <w:noWrap/>
            <w:vAlign w:val="bottom"/>
            <w:hideMark/>
          </w:tcPr>
          <w:p w14:paraId="73A2627C"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4430FEA5"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08F1BAE"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3D25E38A"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24,37</w:t>
            </w:r>
          </w:p>
        </w:tc>
        <w:tc>
          <w:tcPr>
            <w:tcW w:w="530" w:type="dxa"/>
            <w:tcBorders>
              <w:top w:val="nil"/>
              <w:left w:val="nil"/>
              <w:bottom w:val="single" w:sz="4" w:space="0" w:color="auto"/>
              <w:right w:val="single" w:sz="4" w:space="0" w:color="auto"/>
            </w:tcBorders>
            <w:noWrap/>
            <w:vAlign w:val="bottom"/>
            <w:hideMark/>
          </w:tcPr>
          <w:p w14:paraId="7196EC63"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w:t>
            </w:r>
          </w:p>
        </w:tc>
        <w:tc>
          <w:tcPr>
            <w:tcW w:w="1870" w:type="dxa"/>
            <w:tcBorders>
              <w:top w:val="nil"/>
              <w:left w:val="nil"/>
              <w:bottom w:val="single" w:sz="4" w:space="0" w:color="auto"/>
              <w:right w:val="single" w:sz="4" w:space="0" w:color="auto"/>
            </w:tcBorders>
            <w:noWrap/>
            <w:vAlign w:val="bottom"/>
            <w:hideMark/>
          </w:tcPr>
          <w:p w14:paraId="45F78834"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1,06</w:t>
            </w:r>
          </w:p>
        </w:tc>
      </w:tr>
      <w:tr w:rsidR="00F4724C" w14:paraId="7B1EEFB6"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26A5CBEC"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418CD741"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26,35</w:t>
            </w:r>
          </w:p>
        </w:tc>
        <w:tc>
          <w:tcPr>
            <w:tcW w:w="530" w:type="dxa"/>
            <w:tcBorders>
              <w:top w:val="nil"/>
              <w:left w:val="nil"/>
              <w:bottom w:val="single" w:sz="4" w:space="0" w:color="auto"/>
              <w:right w:val="single" w:sz="4" w:space="0" w:color="auto"/>
            </w:tcBorders>
            <w:noWrap/>
            <w:vAlign w:val="bottom"/>
            <w:hideMark/>
          </w:tcPr>
          <w:p w14:paraId="532AAD22"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70" w:type="dxa"/>
            <w:tcBorders>
              <w:top w:val="nil"/>
              <w:left w:val="nil"/>
              <w:bottom w:val="single" w:sz="4" w:space="0" w:color="auto"/>
              <w:right w:val="single" w:sz="4" w:space="0" w:color="auto"/>
            </w:tcBorders>
            <w:noWrap/>
            <w:vAlign w:val="bottom"/>
            <w:hideMark/>
          </w:tcPr>
          <w:p w14:paraId="2740C6FF"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1,78</w:t>
            </w:r>
          </w:p>
        </w:tc>
      </w:tr>
      <w:tr w:rsidR="00F4724C" w14:paraId="47BC6179"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CDF1978"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45E0F047"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26,85</w:t>
            </w:r>
          </w:p>
        </w:tc>
        <w:tc>
          <w:tcPr>
            <w:tcW w:w="530" w:type="dxa"/>
            <w:tcBorders>
              <w:top w:val="nil"/>
              <w:left w:val="nil"/>
              <w:bottom w:val="single" w:sz="4" w:space="0" w:color="auto"/>
              <w:right w:val="single" w:sz="4" w:space="0" w:color="auto"/>
            </w:tcBorders>
            <w:noWrap/>
            <w:vAlign w:val="bottom"/>
            <w:hideMark/>
          </w:tcPr>
          <w:p w14:paraId="616EABFB"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870" w:type="dxa"/>
            <w:tcBorders>
              <w:top w:val="nil"/>
              <w:left w:val="nil"/>
              <w:bottom w:val="single" w:sz="4" w:space="0" w:color="auto"/>
              <w:right w:val="single" w:sz="4" w:space="0" w:color="auto"/>
            </w:tcBorders>
            <w:noWrap/>
            <w:vAlign w:val="bottom"/>
            <w:hideMark/>
          </w:tcPr>
          <w:p w14:paraId="6DC8B45E"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1,84</w:t>
            </w:r>
          </w:p>
        </w:tc>
      </w:tr>
      <w:tr w:rsidR="00F4724C" w14:paraId="55E164C1" w14:textId="77777777" w:rsidTr="00BA248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20F44B61"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56FC9BB5"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29,37</w:t>
            </w:r>
          </w:p>
        </w:tc>
        <w:tc>
          <w:tcPr>
            <w:tcW w:w="530" w:type="dxa"/>
            <w:tcBorders>
              <w:top w:val="nil"/>
              <w:left w:val="nil"/>
              <w:bottom w:val="single" w:sz="4" w:space="0" w:color="auto"/>
              <w:right w:val="single" w:sz="4" w:space="0" w:color="auto"/>
            </w:tcBorders>
            <w:noWrap/>
            <w:vAlign w:val="bottom"/>
            <w:hideMark/>
          </w:tcPr>
          <w:p w14:paraId="33EE55EE"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70" w:type="dxa"/>
            <w:tcBorders>
              <w:top w:val="nil"/>
              <w:left w:val="nil"/>
              <w:bottom w:val="single" w:sz="4" w:space="0" w:color="auto"/>
              <w:right w:val="single" w:sz="4" w:space="0" w:color="auto"/>
            </w:tcBorders>
            <w:noWrap/>
            <w:vAlign w:val="bottom"/>
            <w:hideMark/>
          </w:tcPr>
          <w:p w14:paraId="596369DF"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1,35</w:t>
            </w:r>
          </w:p>
        </w:tc>
      </w:tr>
    </w:tbl>
    <w:p w14:paraId="1183B500" w14:textId="55D9E77E" w:rsidR="00D35FEF" w:rsidRPr="00D35FEF" w:rsidRDefault="00D35FEF" w:rsidP="005A484F">
      <w:pPr>
        <w:pStyle w:val="Descripcin"/>
        <w:keepNext/>
        <w:spacing w:before="360"/>
        <w:rPr>
          <w:rFonts w:cs="Times New Roman"/>
          <w:i w:val="0"/>
          <w:iCs w:val="0"/>
          <w:color w:val="auto"/>
          <w:sz w:val="24"/>
          <w:szCs w:val="24"/>
          <w:lang w:eastAsia="en-US"/>
        </w:rPr>
      </w:pPr>
      <w:bookmarkStart w:id="1606" w:name="_Toc79314070"/>
      <w:r w:rsidRPr="00D35FEF">
        <w:rPr>
          <w:rFonts w:cs="Times New Roman"/>
          <w:b/>
          <w:i w:val="0"/>
          <w:iCs w:val="0"/>
          <w:color w:val="auto"/>
          <w:sz w:val="24"/>
          <w:szCs w:val="24"/>
          <w:lang w:eastAsia="en-US"/>
        </w:rPr>
        <w:t xml:space="preserve">Cuadro </w:t>
      </w:r>
      <w:r w:rsidRPr="00D35FEF">
        <w:rPr>
          <w:rFonts w:cs="Times New Roman"/>
          <w:b/>
          <w:i w:val="0"/>
          <w:iCs w:val="0"/>
          <w:color w:val="auto"/>
          <w:sz w:val="24"/>
          <w:szCs w:val="24"/>
          <w:lang w:eastAsia="en-US"/>
        </w:rPr>
        <w:fldChar w:fldCharType="begin"/>
      </w:r>
      <w:r w:rsidRPr="00D35FEF">
        <w:rPr>
          <w:rFonts w:cs="Times New Roman"/>
          <w:b/>
          <w:i w:val="0"/>
          <w:iCs w:val="0"/>
          <w:color w:val="auto"/>
          <w:sz w:val="24"/>
          <w:szCs w:val="24"/>
          <w:lang w:eastAsia="en-US"/>
        </w:rPr>
        <w:instrText xml:space="preserve"> SEQ Cuadro \* ARABIC </w:instrText>
      </w:r>
      <w:r w:rsidRPr="00D35FEF">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78</w:t>
      </w:r>
      <w:r w:rsidRPr="00D35FEF">
        <w:rPr>
          <w:rFonts w:cs="Times New Roman"/>
          <w:b/>
          <w:i w:val="0"/>
          <w:iCs w:val="0"/>
          <w:color w:val="auto"/>
          <w:sz w:val="24"/>
          <w:szCs w:val="24"/>
          <w:lang w:eastAsia="en-US"/>
        </w:rPr>
        <w:fldChar w:fldCharType="end"/>
      </w:r>
      <w:r w:rsidRPr="00D35FEF">
        <w:rPr>
          <w:rFonts w:cs="Times New Roman"/>
          <w:b/>
          <w:i w:val="0"/>
          <w:iCs w:val="0"/>
          <w:color w:val="auto"/>
          <w:sz w:val="24"/>
          <w:szCs w:val="24"/>
          <w:lang w:eastAsia="en-US"/>
        </w:rPr>
        <w:t>.</w:t>
      </w:r>
      <w:r w:rsidRPr="00D35FEF">
        <w:rPr>
          <w:rFonts w:cs="Times New Roman"/>
          <w:i w:val="0"/>
          <w:iCs w:val="0"/>
          <w:color w:val="auto"/>
          <w:sz w:val="24"/>
          <w:szCs w:val="24"/>
          <w:lang w:eastAsia="en-US"/>
        </w:rPr>
        <w:t xml:space="preserve"> Absorción total de fósforo para diversas dosis de magnesio evaluadas en la provincia de Chimborazo 2012-2014.</w:t>
      </w:r>
      <w:bookmarkEnd w:id="1606"/>
    </w:p>
    <w:tbl>
      <w:tblPr>
        <w:tblW w:w="5000" w:type="pct"/>
        <w:jc w:val="center"/>
        <w:tblCellMar>
          <w:left w:w="70" w:type="dxa"/>
          <w:right w:w="70" w:type="dxa"/>
        </w:tblCellMar>
        <w:tblLook w:val="04A0" w:firstRow="1" w:lastRow="0" w:firstColumn="1" w:lastColumn="0" w:noHBand="0" w:noVBand="1"/>
      </w:tblPr>
      <w:tblGrid>
        <w:gridCol w:w="2041"/>
        <w:gridCol w:w="887"/>
        <w:gridCol w:w="467"/>
        <w:gridCol w:w="1987"/>
        <w:gridCol w:w="544"/>
        <w:gridCol w:w="1127"/>
        <w:gridCol w:w="874"/>
      </w:tblGrid>
      <w:tr w:rsidR="00F4724C" w14:paraId="44AB4846" w14:textId="77777777" w:rsidTr="00D35FEF">
        <w:trPr>
          <w:trHeight w:val="300"/>
          <w:jc w:val="center"/>
        </w:trPr>
        <w:tc>
          <w:tcPr>
            <w:tcW w:w="1288" w:type="pct"/>
            <w:tcBorders>
              <w:top w:val="single" w:sz="4" w:space="0" w:color="auto"/>
              <w:left w:val="single" w:sz="4" w:space="0" w:color="auto"/>
              <w:bottom w:val="single" w:sz="4" w:space="0" w:color="auto"/>
              <w:right w:val="single" w:sz="4" w:space="0" w:color="auto"/>
            </w:tcBorders>
            <w:noWrap/>
            <w:vAlign w:val="bottom"/>
            <w:hideMark/>
          </w:tcPr>
          <w:p w14:paraId="79C9462F"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59" w:type="pct"/>
            <w:tcBorders>
              <w:top w:val="single" w:sz="4" w:space="0" w:color="auto"/>
              <w:left w:val="nil"/>
              <w:bottom w:val="single" w:sz="4" w:space="0" w:color="auto"/>
              <w:right w:val="single" w:sz="4" w:space="0" w:color="auto"/>
            </w:tcBorders>
            <w:noWrap/>
            <w:vAlign w:val="bottom"/>
            <w:hideMark/>
          </w:tcPr>
          <w:p w14:paraId="39967408"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295" w:type="pct"/>
            <w:tcBorders>
              <w:top w:val="single" w:sz="4" w:space="0" w:color="auto"/>
              <w:left w:val="nil"/>
              <w:bottom w:val="single" w:sz="4" w:space="0" w:color="auto"/>
              <w:right w:val="single" w:sz="4" w:space="0" w:color="auto"/>
            </w:tcBorders>
            <w:noWrap/>
            <w:vAlign w:val="bottom"/>
            <w:hideMark/>
          </w:tcPr>
          <w:p w14:paraId="5BEE3397"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253" w:type="pct"/>
            <w:tcBorders>
              <w:top w:val="single" w:sz="4" w:space="0" w:color="auto"/>
              <w:left w:val="nil"/>
              <w:bottom w:val="single" w:sz="4" w:space="0" w:color="auto"/>
              <w:right w:val="single" w:sz="4" w:space="0" w:color="auto"/>
            </w:tcBorders>
            <w:noWrap/>
            <w:vAlign w:val="bottom"/>
            <w:hideMark/>
          </w:tcPr>
          <w:p w14:paraId="5C3E1C25"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43" w:type="pct"/>
            <w:tcBorders>
              <w:top w:val="single" w:sz="4" w:space="0" w:color="auto"/>
              <w:left w:val="single" w:sz="4" w:space="0" w:color="auto"/>
              <w:bottom w:val="single" w:sz="4" w:space="0" w:color="auto"/>
              <w:right w:val="nil"/>
            </w:tcBorders>
            <w:noWrap/>
            <w:vAlign w:val="bottom"/>
            <w:hideMark/>
          </w:tcPr>
          <w:p w14:paraId="55CA8DAF"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711" w:type="pct"/>
            <w:tcBorders>
              <w:top w:val="single" w:sz="4" w:space="0" w:color="auto"/>
              <w:left w:val="nil"/>
              <w:bottom w:val="single" w:sz="4" w:space="0" w:color="auto"/>
              <w:right w:val="nil"/>
            </w:tcBorders>
            <w:noWrap/>
            <w:vAlign w:val="bottom"/>
            <w:hideMark/>
          </w:tcPr>
          <w:p w14:paraId="56AA4F09"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Lsd 0,05</w:t>
            </w:r>
          </w:p>
        </w:tc>
        <w:tc>
          <w:tcPr>
            <w:tcW w:w="551" w:type="pct"/>
            <w:tcBorders>
              <w:top w:val="single" w:sz="4" w:space="0" w:color="auto"/>
              <w:left w:val="nil"/>
              <w:bottom w:val="single" w:sz="4" w:space="0" w:color="auto"/>
              <w:right w:val="single" w:sz="4" w:space="0" w:color="auto"/>
            </w:tcBorders>
            <w:noWrap/>
            <w:vAlign w:val="bottom"/>
            <w:hideMark/>
          </w:tcPr>
          <w:p w14:paraId="5EA6EBA7" w14:textId="77777777" w:rsidR="00F4724C" w:rsidRDefault="00F4724C" w:rsidP="005A484F">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F4724C" w14:paraId="0849822B" w14:textId="77777777" w:rsidTr="00D35FEF">
        <w:trPr>
          <w:trHeight w:val="300"/>
          <w:jc w:val="center"/>
        </w:trPr>
        <w:tc>
          <w:tcPr>
            <w:tcW w:w="1288" w:type="pct"/>
            <w:tcBorders>
              <w:top w:val="nil"/>
              <w:left w:val="single" w:sz="4" w:space="0" w:color="auto"/>
              <w:bottom w:val="single" w:sz="4" w:space="0" w:color="auto"/>
              <w:right w:val="single" w:sz="4" w:space="0" w:color="auto"/>
            </w:tcBorders>
            <w:noWrap/>
            <w:vAlign w:val="bottom"/>
            <w:hideMark/>
          </w:tcPr>
          <w:p w14:paraId="7A0080C4"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559" w:type="pct"/>
            <w:tcBorders>
              <w:top w:val="nil"/>
              <w:left w:val="nil"/>
              <w:bottom w:val="single" w:sz="4" w:space="0" w:color="auto"/>
              <w:right w:val="single" w:sz="4" w:space="0" w:color="auto"/>
            </w:tcBorders>
            <w:noWrap/>
            <w:vAlign w:val="bottom"/>
            <w:hideMark/>
          </w:tcPr>
          <w:p w14:paraId="0058C928"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20,13</w:t>
            </w:r>
          </w:p>
        </w:tc>
        <w:tc>
          <w:tcPr>
            <w:tcW w:w="295" w:type="pct"/>
            <w:tcBorders>
              <w:top w:val="nil"/>
              <w:left w:val="nil"/>
              <w:bottom w:val="single" w:sz="4" w:space="0" w:color="auto"/>
              <w:right w:val="single" w:sz="4" w:space="0" w:color="auto"/>
            </w:tcBorders>
            <w:noWrap/>
            <w:vAlign w:val="bottom"/>
            <w:hideMark/>
          </w:tcPr>
          <w:p w14:paraId="6929B103"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253" w:type="pct"/>
            <w:tcBorders>
              <w:top w:val="nil"/>
              <w:left w:val="nil"/>
              <w:bottom w:val="single" w:sz="4" w:space="0" w:color="auto"/>
              <w:right w:val="single" w:sz="4" w:space="0" w:color="auto"/>
            </w:tcBorders>
            <w:noWrap/>
            <w:vAlign w:val="bottom"/>
            <w:hideMark/>
          </w:tcPr>
          <w:p w14:paraId="7F78A3BE"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2,16</w:t>
            </w:r>
          </w:p>
        </w:tc>
        <w:tc>
          <w:tcPr>
            <w:tcW w:w="343" w:type="pct"/>
            <w:tcBorders>
              <w:top w:val="single" w:sz="4" w:space="0" w:color="auto"/>
              <w:left w:val="nil"/>
              <w:bottom w:val="single" w:sz="4" w:space="0" w:color="auto"/>
              <w:right w:val="single" w:sz="4" w:space="0" w:color="auto"/>
            </w:tcBorders>
            <w:noWrap/>
            <w:vAlign w:val="bottom"/>
            <w:hideMark/>
          </w:tcPr>
          <w:p w14:paraId="522EAE94"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711" w:type="pct"/>
            <w:tcBorders>
              <w:top w:val="single" w:sz="4" w:space="0" w:color="auto"/>
              <w:left w:val="nil"/>
              <w:bottom w:val="single" w:sz="4" w:space="0" w:color="auto"/>
              <w:right w:val="single" w:sz="4" w:space="0" w:color="auto"/>
            </w:tcBorders>
            <w:noWrap/>
            <w:vAlign w:val="bottom"/>
            <w:hideMark/>
          </w:tcPr>
          <w:p w14:paraId="63EC35A9"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51" w:type="pct"/>
            <w:tcBorders>
              <w:top w:val="single" w:sz="4" w:space="0" w:color="auto"/>
              <w:left w:val="nil"/>
              <w:bottom w:val="single" w:sz="4" w:space="0" w:color="auto"/>
              <w:right w:val="single" w:sz="4" w:space="0" w:color="auto"/>
            </w:tcBorders>
            <w:noWrap/>
            <w:vAlign w:val="bottom"/>
            <w:hideMark/>
          </w:tcPr>
          <w:p w14:paraId="77D382B0"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61DECB8" w14:textId="77777777" w:rsidTr="00D35FEF">
        <w:trPr>
          <w:trHeight w:val="300"/>
          <w:jc w:val="center"/>
        </w:trPr>
        <w:tc>
          <w:tcPr>
            <w:tcW w:w="1288" w:type="pct"/>
            <w:tcBorders>
              <w:top w:val="nil"/>
              <w:left w:val="single" w:sz="4" w:space="0" w:color="auto"/>
              <w:bottom w:val="single" w:sz="4" w:space="0" w:color="auto"/>
              <w:right w:val="single" w:sz="4" w:space="0" w:color="auto"/>
            </w:tcBorders>
            <w:noWrap/>
            <w:vAlign w:val="bottom"/>
            <w:hideMark/>
          </w:tcPr>
          <w:p w14:paraId="07135237"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59" w:type="pct"/>
            <w:tcBorders>
              <w:top w:val="nil"/>
              <w:left w:val="nil"/>
              <w:bottom w:val="single" w:sz="4" w:space="0" w:color="auto"/>
              <w:right w:val="single" w:sz="4" w:space="0" w:color="auto"/>
            </w:tcBorders>
            <w:noWrap/>
            <w:vAlign w:val="bottom"/>
            <w:hideMark/>
          </w:tcPr>
          <w:p w14:paraId="0B45AA00"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26,24</w:t>
            </w:r>
          </w:p>
        </w:tc>
        <w:tc>
          <w:tcPr>
            <w:tcW w:w="295" w:type="pct"/>
            <w:tcBorders>
              <w:top w:val="nil"/>
              <w:left w:val="nil"/>
              <w:bottom w:val="single" w:sz="4" w:space="0" w:color="auto"/>
              <w:right w:val="single" w:sz="4" w:space="0" w:color="auto"/>
            </w:tcBorders>
            <w:noWrap/>
            <w:vAlign w:val="bottom"/>
            <w:hideMark/>
          </w:tcPr>
          <w:p w14:paraId="0A978750"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w:t>
            </w:r>
          </w:p>
        </w:tc>
        <w:tc>
          <w:tcPr>
            <w:tcW w:w="1253" w:type="pct"/>
            <w:tcBorders>
              <w:top w:val="nil"/>
              <w:left w:val="nil"/>
              <w:bottom w:val="single" w:sz="4" w:space="0" w:color="auto"/>
              <w:right w:val="single" w:sz="4" w:space="0" w:color="auto"/>
            </w:tcBorders>
            <w:noWrap/>
            <w:vAlign w:val="bottom"/>
            <w:hideMark/>
          </w:tcPr>
          <w:p w14:paraId="722EBC36"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0,77</w:t>
            </w:r>
          </w:p>
        </w:tc>
        <w:tc>
          <w:tcPr>
            <w:tcW w:w="343" w:type="pct"/>
            <w:tcBorders>
              <w:top w:val="nil"/>
              <w:left w:val="nil"/>
              <w:bottom w:val="single" w:sz="4" w:space="0" w:color="auto"/>
              <w:right w:val="single" w:sz="4" w:space="0" w:color="auto"/>
            </w:tcBorders>
            <w:noWrap/>
            <w:vAlign w:val="bottom"/>
            <w:hideMark/>
          </w:tcPr>
          <w:p w14:paraId="05F74DA5"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11" w:type="pct"/>
            <w:tcBorders>
              <w:top w:val="nil"/>
              <w:left w:val="nil"/>
              <w:bottom w:val="single" w:sz="4" w:space="0" w:color="auto"/>
              <w:right w:val="single" w:sz="4" w:space="0" w:color="auto"/>
            </w:tcBorders>
            <w:noWrap/>
            <w:vAlign w:val="bottom"/>
            <w:hideMark/>
          </w:tcPr>
          <w:p w14:paraId="7B6A6750"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51" w:type="pct"/>
            <w:tcBorders>
              <w:top w:val="nil"/>
              <w:left w:val="nil"/>
              <w:bottom w:val="single" w:sz="4" w:space="0" w:color="auto"/>
              <w:right w:val="single" w:sz="4" w:space="0" w:color="auto"/>
            </w:tcBorders>
            <w:noWrap/>
            <w:vAlign w:val="bottom"/>
            <w:hideMark/>
          </w:tcPr>
          <w:p w14:paraId="3C0A66FE"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13513904" w14:textId="77777777" w:rsidTr="00D35FEF">
        <w:trPr>
          <w:trHeight w:val="300"/>
          <w:jc w:val="center"/>
        </w:trPr>
        <w:tc>
          <w:tcPr>
            <w:tcW w:w="1288" w:type="pct"/>
            <w:tcBorders>
              <w:top w:val="nil"/>
              <w:left w:val="single" w:sz="4" w:space="0" w:color="auto"/>
              <w:bottom w:val="single" w:sz="4" w:space="0" w:color="auto"/>
              <w:right w:val="single" w:sz="4" w:space="0" w:color="auto"/>
            </w:tcBorders>
            <w:noWrap/>
            <w:vAlign w:val="bottom"/>
            <w:hideMark/>
          </w:tcPr>
          <w:p w14:paraId="750F55DD"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559" w:type="pct"/>
            <w:tcBorders>
              <w:top w:val="nil"/>
              <w:left w:val="nil"/>
              <w:bottom w:val="single" w:sz="4" w:space="0" w:color="auto"/>
              <w:right w:val="single" w:sz="4" w:space="0" w:color="auto"/>
            </w:tcBorders>
            <w:noWrap/>
            <w:vAlign w:val="bottom"/>
            <w:hideMark/>
          </w:tcPr>
          <w:p w14:paraId="685DE569"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31,36</w:t>
            </w:r>
          </w:p>
        </w:tc>
        <w:tc>
          <w:tcPr>
            <w:tcW w:w="295" w:type="pct"/>
            <w:tcBorders>
              <w:top w:val="nil"/>
              <w:left w:val="nil"/>
              <w:bottom w:val="single" w:sz="4" w:space="0" w:color="auto"/>
              <w:right w:val="single" w:sz="4" w:space="0" w:color="auto"/>
            </w:tcBorders>
            <w:noWrap/>
            <w:vAlign w:val="bottom"/>
            <w:hideMark/>
          </w:tcPr>
          <w:p w14:paraId="7536DD29"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253" w:type="pct"/>
            <w:tcBorders>
              <w:top w:val="nil"/>
              <w:left w:val="nil"/>
              <w:bottom w:val="single" w:sz="4" w:space="0" w:color="auto"/>
              <w:right w:val="single" w:sz="4" w:space="0" w:color="auto"/>
            </w:tcBorders>
            <w:noWrap/>
            <w:vAlign w:val="bottom"/>
            <w:hideMark/>
          </w:tcPr>
          <w:p w14:paraId="54CF5CF0"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2,73</w:t>
            </w:r>
          </w:p>
        </w:tc>
        <w:tc>
          <w:tcPr>
            <w:tcW w:w="343" w:type="pct"/>
            <w:tcBorders>
              <w:top w:val="nil"/>
              <w:left w:val="nil"/>
              <w:bottom w:val="single" w:sz="4" w:space="0" w:color="auto"/>
              <w:right w:val="single" w:sz="4" w:space="0" w:color="auto"/>
            </w:tcBorders>
            <w:noWrap/>
            <w:vAlign w:val="bottom"/>
            <w:hideMark/>
          </w:tcPr>
          <w:p w14:paraId="322D4485"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11" w:type="pct"/>
            <w:tcBorders>
              <w:top w:val="nil"/>
              <w:left w:val="nil"/>
              <w:bottom w:val="single" w:sz="4" w:space="0" w:color="auto"/>
              <w:right w:val="single" w:sz="4" w:space="0" w:color="auto"/>
            </w:tcBorders>
            <w:noWrap/>
            <w:vAlign w:val="bottom"/>
            <w:hideMark/>
          </w:tcPr>
          <w:p w14:paraId="0DAA7A49"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51" w:type="pct"/>
            <w:tcBorders>
              <w:top w:val="nil"/>
              <w:left w:val="nil"/>
              <w:bottom w:val="single" w:sz="4" w:space="0" w:color="auto"/>
              <w:right w:val="single" w:sz="4" w:space="0" w:color="auto"/>
            </w:tcBorders>
            <w:noWrap/>
            <w:vAlign w:val="bottom"/>
            <w:hideMark/>
          </w:tcPr>
          <w:p w14:paraId="6021FF6F"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F4724C" w14:paraId="47267E2A" w14:textId="77777777" w:rsidTr="00D35FEF">
        <w:trPr>
          <w:trHeight w:val="300"/>
          <w:jc w:val="center"/>
        </w:trPr>
        <w:tc>
          <w:tcPr>
            <w:tcW w:w="1288" w:type="pct"/>
            <w:tcBorders>
              <w:top w:val="nil"/>
              <w:left w:val="single" w:sz="4" w:space="0" w:color="auto"/>
              <w:bottom w:val="single" w:sz="4" w:space="0" w:color="auto"/>
              <w:right w:val="single" w:sz="4" w:space="0" w:color="auto"/>
            </w:tcBorders>
            <w:noWrap/>
            <w:vAlign w:val="bottom"/>
            <w:hideMark/>
          </w:tcPr>
          <w:p w14:paraId="2E051350"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559" w:type="pct"/>
            <w:tcBorders>
              <w:top w:val="nil"/>
              <w:left w:val="nil"/>
              <w:bottom w:val="single" w:sz="4" w:space="0" w:color="auto"/>
              <w:right w:val="single" w:sz="4" w:space="0" w:color="auto"/>
            </w:tcBorders>
            <w:noWrap/>
            <w:vAlign w:val="bottom"/>
            <w:hideMark/>
          </w:tcPr>
          <w:p w14:paraId="13C2BB22"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33,87</w:t>
            </w:r>
          </w:p>
        </w:tc>
        <w:tc>
          <w:tcPr>
            <w:tcW w:w="295" w:type="pct"/>
            <w:tcBorders>
              <w:top w:val="nil"/>
              <w:left w:val="nil"/>
              <w:bottom w:val="single" w:sz="4" w:space="0" w:color="auto"/>
              <w:right w:val="single" w:sz="4" w:space="0" w:color="auto"/>
            </w:tcBorders>
            <w:noWrap/>
            <w:vAlign w:val="bottom"/>
            <w:hideMark/>
          </w:tcPr>
          <w:p w14:paraId="3091BD60"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253" w:type="pct"/>
            <w:tcBorders>
              <w:top w:val="nil"/>
              <w:left w:val="nil"/>
              <w:bottom w:val="single" w:sz="4" w:space="0" w:color="auto"/>
              <w:right w:val="single" w:sz="4" w:space="0" w:color="auto"/>
            </w:tcBorders>
            <w:noWrap/>
            <w:vAlign w:val="bottom"/>
            <w:hideMark/>
          </w:tcPr>
          <w:p w14:paraId="621AE44A"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3,05</w:t>
            </w:r>
          </w:p>
        </w:tc>
        <w:tc>
          <w:tcPr>
            <w:tcW w:w="343" w:type="pct"/>
            <w:tcBorders>
              <w:top w:val="nil"/>
              <w:left w:val="nil"/>
              <w:bottom w:val="single" w:sz="4" w:space="0" w:color="auto"/>
              <w:right w:val="single" w:sz="4" w:space="0" w:color="auto"/>
            </w:tcBorders>
            <w:noWrap/>
            <w:vAlign w:val="bottom"/>
            <w:hideMark/>
          </w:tcPr>
          <w:p w14:paraId="3CB4D19C"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11" w:type="pct"/>
            <w:tcBorders>
              <w:top w:val="nil"/>
              <w:left w:val="nil"/>
              <w:bottom w:val="single" w:sz="4" w:space="0" w:color="auto"/>
              <w:right w:val="single" w:sz="4" w:space="0" w:color="auto"/>
            </w:tcBorders>
            <w:noWrap/>
            <w:vAlign w:val="bottom"/>
            <w:hideMark/>
          </w:tcPr>
          <w:p w14:paraId="7FDA28A2"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51" w:type="pct"/>
            <w:tcBorders>
              <w:top w:val="nil"/>
              <w:left w:val="nil"/>
              <w:bottom w:val="single" w:sz="4" w:space="0" w:color="auto"/>
              <w:right w:val="single" w:sz="4" w:space="0" w:color="auto"/>
            </w:tcBorders>
            <w:noWrap/>
            <w:vAlign w:val="bottom"/>
            <w:hideMark/>
          </w:tcPr>
          <w:p w14:paraId="6F55BC52" w14:textId="77777777" w:rsidR="00F4724C" w:rsidRDefault="00F4724C" w:rsidP="005A484F">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2AC2EC26" w14:textId="77777777" w:rsidR="00F4724C" w:rsidRDefault="00F4724C" w:rsidP="00F4724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136EBDEE" w14:textId="10DE139D" w:rsidR="00F4724C" w:rsidRDefault="00F4724C" w:rsidP="005A484F">
      <w:pPr>
        <w:autoSpaceDE w:val="0"/>
        <w:autoSpaceDN w:val="0"/>
        <w:adjustRightInd w:val="0"/>
        <w:spacing w:before="360" w:after="0" w:line="360" w:lineRule="auto"/>
        <w:rPr>
          <w:rFonts w:cs="Times New Roman"/>
          <w:bCs/>
          <w:szCs w:val="24"/>
        </w:rPr>
      </w:pPr>
      <w:r>
        <w:rPr>
          <w:rFonts w:cs="Times New Roman"/>
          <w:bCs/>
          <w:szCs w:val="24"/>
        </w:rPr>
        <w:t xml:space="preserve">El efecto </w:t>
      </w:r>
      <w:r w:rsidR="00FC53D5">
        <w:rPr>
          <w:rFonts w:cs="Times New Roman"/>
          <w:bCs/>
          <w:szCs w:val="24"/>
        </w:rPr>
        <w:t xml:space="preserve">de </w:t>
      </w:r>
      <w:r>
        <w:rPr>
          <w:rFonts w:cs="Times New Roman"/>
          <w:bCs/>
          <w:szCs w:val="24"/>
        </w:rPr>
        <w:t xml:space="preserve">los nutrientes que fueron significativos </w:t>
      </w:r>
      <w:r w:rsidR="002C2C34">
        <w:rPr>
          <w:rFonts w:cs="Times New Roman"/>
          <w:bCs/>
          <w:szCs w:val="24"/>
        </w:rPr>
        <w:t xml:space="preserve">(p&lt;0,01) </w:t>
      </w:r>
      <w:r>
        <w:rPr>
          <w:rFonts w:cs="Times New Roman"/>
          <w:bCs/>
          <w:szCs w:val="24"/>
        </w:rPr>
        <w:t>sobre la absorción de fósforo en la provincia de Chimborazo se observa en l</w:t>
      </w:r>
      <w:r w:rsidR="00185D16">
        <w:rPr>
          <w:rFonts w:cs="Times New Roman"/>
          <w:bCs/>
          <w:szCs w:val="24"/>
        </w:rPr>
        <w:t>a</w:t>
      </w:r>
      <w:r>
        <w:rPr>
          <w:rFonts w:cs="Times New Roman"/>
          <w:bCs/>
          <w:szCs w:val="24"/>
        </w:rPr>
        <w:t xml:space="preserve"> siguiente fi</w:t>
      </w:r>
      <w:r w:rsidR="00185D16">
        <w:rPr>
          <w:rFonts w:cs="Times New Roman"/>
          <w:bCs/>
          <w:szCs w:val="24"/>
        </w:rPr>
        <w:t>gura</w:t>
      </w:r>
      <w:r w:rsidR="00FC2B98">
        <w:rPr>
          <w:rFonts w:cs="Times New Roman"/>
          <w:bCs/>
          <w:szCs w:val="24"/>
        </w:rPr>
        <w:t>.</w:t>
      </w:r>
    </w:p>
    <w:p w14:paraId="527712CB" w14:textId="2E87B502" w:rsidR="002C2C34" w:rsidRPr="00954763" w:rsidRDefault="006227BB" w:rsidP="005A484F">
      <w:pPr>
        <w:pStyle w:val="Prrafodelista"/>
        <w:numPr>
          <w:ilvl w:val="0"/>
          <w:numId w:val="27"/>
        </w:numPr>
        <w:autoSpaceDE w:val="0"/>
        <w:autoSpaceDN w:val="0"/>
        <w:adjustRightInd w:val="0"/>
        <w:spacing w:before="360" w:after="0" w:line="360" w:lineRule="auto"/>
        <w:ind w:left="1077" w:hanging="357"/>
        <w:rPr>
          <w:rFonts w:cs="Times New Roman"/>
          <w:bCs/>
          <w:szCs w:val="24"/>
        </w:rPr>
      </w:pPr>
      <w:r w:rsidRPr="00954763">
        <w:rPr>
          <w:rFonts w:cs="Times New Roman"/>
          <w:bCs/>
          <w:szCs w:val="24"/>
        </w:rPr>
        <w:t xml:space="preserve">Magnesio </w:t>
      </w:r>
    </w:p>
    <w:p w14:paraId="320B9FD7" w14:textId="1FC850B7" w:rsidR="00F4724C" w:rsidRDefault="00F4724C" w:rsidP="00F4724C">
      <w:pPr>
        <w:autoSpaceDE w:val="0"/>
        <w:autoSpaceDN w:val="0"/>
        <w:adjustRightInd w:val="0"/>
        <w:spacing w:after="0" w:line="360" w:lineRule="auto"/>
        <w:jc w:val="center"/>
        <w:rPr>
          <w:rFonts w:cs="Times New Roman"/>
          <w:b/>
          <w:bCs/>
          <w:color w:val="000000"/>
          <w:szCs w:val="24"/>
        </w:rPr>
      </w:pPr>
      <w:r>
        <w:rPr>
          <w:rFonts w:cs="Times New Roman"/>
          <w:noProof/>
          <w:szCs w:val="24"/>
          <w:lang w:eastAsia="es-EC"/>
        </w:rPr>
        <w:drawing>
          <wp:inline distT="0" distB="0" distL="0" distR="0" wp14:anchorId="4FB1F47D" wp14:editId="3A4BDCE5">
            <wp:extent cx="3573076" cy="2051637"/>
            <wp:effectExtent l="0" t="0" r="8890" b="6350"/>
            <wp:docPr id="53" name="Gráfico 53">
              <a:extLst xmlns:a="http://schemas.openxmlformats.org/drawingml/2006/main">
                <a:ext uri="{FF2B5EF4-FFF2-40B4-BE49-F238E27FC236}">
                  <a16:creationId xmlns:a16="http://schemas.microsoft.com/office/drawing/2014/main" id="{02CB64E3-BFFF-45C2-8C1C-66D7123D5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FFCFDA" w14:textId="77777777" w:rsidR="00F4724C" w:rsidRDefault="00F4724C" w:rsidP="00F4724C">
      <w:pPr>
        <w:autoSpaceDE w:val="0"/>
        <w:autoSpaceDN w:val="0"/>
        <w:adjustRightInd w:val="0"/>
        <w:spacing w:after="0" w:line="360" w:lineRule="auto"/>
        <w:jc w:val="center"/>
        <w:rPr>
          <w:rFonts w:cs="Times New Roman"/>
          <w:b/>
          <w:bCs/>
          <w:color w:val="000000"/>
          <w:szCs w:val="24"/>
        </w:rPr>
      </w:pPr>
    </w:p>
    <w:p w14:paraId="467CAB5B" w14:textId="4CFC3088" w:rsidR="00954763" w:rsidRPr="008A1EC1" w:rsidRDefault="00954763" w:rsidP="00954763">
      <w:pPr>
        <w:autoSpaceDE w:val="0"/>
        <w:autoSpaceDN w:val="0"/>
        <w:adjustRightInd w:val="0"/>
        <w:spacing w:after="0" w:line="360" w:lineRule="auto"/>
        <w:rPr>
          <w:rFonts w:cs="Times New Roman"/>
          <w:szCs w:val="24"/>
        </w:rPr>
      </w:pPr>
      <w:r w:rsidRPr="008A1EC1">
        <w:rPr>
          <w:rFonts w:cs="Times New Roman"/>
          <w:szCs w:val="24"/>
        </w:rPr>
        <w:t xml:space="preserve">Efecto de los macronutrientes </w:t>
      </w:r>
      <w:r>
        <w:rPr>
          <w:rFonts w:cs="Times New Roman"/>
          <w:szCs w:val="24"/>
        </w:rPr>
        <w:t>a) magnesio</w:t>
      </w:r>
      <w:r w:rsidRPr="008A1EC1">
        <w:rPr>
          <w:rFonts w:cs="Times New Roman"/>
          <w:szCs w:val="24"/>
        </w:rPr>
        <w:t xml:space="preserve"> sobre la a</w:t>
      </w:r>
      <w:r w:rsidR="001B6327">
        <w:rPr>
          <w:rFonts w:cs="Times New Roman"/>
          <w:szCs w:val="24"/>
        </w:rPr>
        <w:t>b</w:t>
      </w:r>
      <w:r w:rsidRPr="008A1EC1">
        <w:rPr>
          <w:rFonts w:cs="Times New Roman"/>
          <w:szCs w:val="24"/>
        </w:rPr>
        <w:t xml:space="preserve">sorción de </w:t>
      </w:r>
      <w:r w:rsidR="00FC53D5">
        <w:rPr>
          <w:rFonts w:cs="Times New Roman"/>
          <w:szCs w:val="24"/>
        </w:rPr>
        <w:t>fósforo</w:t>
      </w:r>
      <w:r>
        <w:rPr>
          <w:rFonts w:cs="Times New Roman"/>
          <w:szCs w:val="24"/>
        </w:rPr>
        <w:t xml:space="preserve"> </w:t>
      </w:r>
      <w:r w:rsidRPr="008A1EC1">
        <w:rPr>
          <w:rFonts w:cs="Times New Roman"/>
          <w:szCs w:val="24"/>
        </w:rPr>
        <w:t>en maíz suave en la provincia de Chimborazo (2012-2014).</w:t>
      </w:r>
    </w:p>
    <w:p w14:paraId="685D2AC1" w14:textId="77777777" w:rsidR="005A484F" w:rsidRDefault="005A484F" w:rsidP="00D35FEF">
      <w:pPr>
        <w:autoSpaceDE w:val="0"/>
        <w:autoSpaceDN w:val="0"/>
        <w:adjustRightInd w:val="0"/>
        <w:spacing w:before="360" w:after="360" w:line="360" w:lineRule="auto"/>
        <w:rPr>
          <w:rFonts w:cs="Times New Roman"/>
          <w:b/>
          <w:bCs/>
          <w:color w:val="000000"/>
          <w:szCs w:val="24"/>
        </w:rPr>
      </w:pPr>
    </w:p>
    <w:p w14:paraId="3EBA3D8B" w14:textId="4A466D8C" w:rsidR="00F4724C" w:rsidRPr="00313B1A" w:rsidRDefault="00F4724C" w:rsidP="003F06B8">
      <w:pPr>
        <w:pStyle w:val="Ttulo3"/>
        <w:spacing w:before="360" w:after="360"/>
      </w:pPr>
      <w:bookmarkStart w:id="1607" w:name="_Toc80312325"/>
      <w:r>
        <w:lastRenderedPageBreak/>
        <w:t>A</w:t>
      </w:r>
      <w:r w:rsidR="00736DA4">
        <w:t>b</w:t>
      </w:r>
      <w:r>
        <w:t>sorción de potasio (Kg</w:t>
      </w:r>
      <w:r>
        <w:rPr>
          <w:rFonts w:eastAsia="Times New Roman"/>
          <w:lang w:eastAsia="es-EC"/>
        </w:rPr>
        <w:t>/</w:t>
      </w:r>
      <w:r>
        <w:t>ha)</w:t>
      </w:r>
      <w:bookmarkEnd w:id="1607"/>
      <w:r>
        <w:t xml:space="preserve">   </w:t>
      </w:r>
    </w:p>
    <w:p w14:paraId="495BAAC5" w14:textId="4683E327" w:rsidR="00F4724C" w:rsidRDefault="00F4724C" w:rsidP="00D35FEF">
      <w:pPr>
        <w:autoSpaceDE w:val="0"/>
        <w:autoSpaceDN w:val="0"/>
        <w:adjustRightInd w:val="0"/>
        <w:spacing w:after="0" w:line="360" w:lineRule="auto"/>
        <w:rPr>
          <w:rFonts w:cs="Times New Roman"/>
          <w:szCs w:val="24"/>
        </w:rPr>
      </w:pPr>
      <w:r>
        <w:rPr>
          <w:rFonts w:cs="Times New Roman"/>
          <w:szCs w:val="24"/>
        </w:rPr>
        <w:t>Al utilizar el modelo estadístico para a</w:t>
      </w:r>
      <w:r w:rsidR="00736DA4">
        <w:rPr>
          <w:rFonts w:cs="Times New Roman"/>
          <w:szCs w:val="24"/>
        </w:rPr>
        <w:t>b</w:t>
      </w:r>
      <w:r>
        <w:rPr>
          <w:rFonts w:cs="Times New Roman"/>
          <w:szCs w:val="24"/>
        </w:rPr>
        <w:t>sorción total de potasio, se detectaron diferencias estadísticas significativas (p &lt;0,05) para las fuentes de variación de nitrógeno, fósforo y magnesio; mientras que no fueron significativos para, Dosis de potasio y azufre (</w:t>
      </w:r>
      <w:r w:rsidR="00BA248F">
        <w:rPr>
          <w:rFonts w:cs="Times New Roman"/>
          <w:szCs w:val="24"/>
        </w:rPr>
        <w:t>Cuadro</w:t>
      </w:r>
      <w:r>
        <w:rPr>
          <w:rFonts w:cs="Times New Roman"/>
          <w:szCs w:val="24"/>
        </w:rPr>
        <w:t xml:space="preserve"> 7</w:t>
      </w:r>
      <w:r w:rsidR="0039325D">
        <w:rPr>
          <w:rFonts w:cs="Times New Roman"/>
          <w:szCs w:val="24"/>
        </w:rPr>
        <w:t>8</w:t>
      </w:r>
      <w:r>
        <w:rPr>
          <w:rFonts w:cs="Times New Roman"/>
          <w:szCs w:val="24"/>
        </w:rPr>
        <w:t xml:space="preserve">). Por lo tanto, las dosis de los fertilizantes con nitrógeno, fósforo y magnesio afectaron a esta variable. </w:t>
      </w:r>
      <w:bookmarkStart w:id="1608" w:name="_Hlk69935424"/>
      <w:r>
        <w:rPr>
          <w:rFonts w:cs="Times New Roman"/>
          <w:szCs w:val="24"/>
        </w:rPr>
        <w:t xml:space="preserve">El promedio general de </w:t>
      </w:r>
      <w:r>
        <w:rPr>
          <w:rFonts w:cs="Times New Roman"/>
          <w:bCs/>
          <w:szCs w:val="24"/>
        </w:rPr>
        <w:t xml:space="preserve">absorción de potasio </w:t>
      </w:r>
      <w:r>
        <w:rPr>
          <w:rFonts w:cs="Times New Roman"/>
          <w:szCs w:val="24"/>
        </w:rPr>
        <w:t>fue 90,07 Kg/ha; con un R</w:t>
      </w:r>
      <w:r>
        <w:rPr>
          <w:rFonts w:cs="Times New Roman"/>
          <w:szCs w:val="24"/>
          <w:vertAlign w:val="superscript"/>
        </w:rPr>
        <w:t>2</w:t>
      </w:r>
      <w:r>
        <w:rPr>
          <w:rFonts w:cs="Times New Roman"/>
          <w:szCs w:val="24"/>
        </w:rPr>
        <w:t xml:space="preserve"> de 0,63 y un coeficiente de variación fue de 17,99%.</w:t>
      </w:r>
      <w:bookmarkEnd w:id="1608"/>
    </w:p>
    <w:p w14:paraId="33B9D018" w14:textId="59F20E93" w:rsidR="00D35FEF" w:rsidRPr="00D35FEF" w:rsidRDefault="00D35FEF" w:rsidP="003F06B8">
      <w:pPr>
        <w:pStyle w:val="Descripcin"/>
        <w:keepNext/>
        <w:spacing w:before="360"/>
        <w:rPr>
          <w:rFonts w:cs="Times New Roman"/>
          <w:i w:val="0"/>
          <w:iCs w:val="0"/>
          <w:color w:val="auto"/>
          <w:sz w:val="24"/>
          <w:szCs w:val="24"/>
          <w:lang w:eastAsia="en-US"/>
        </w:rPr>
      </w:pPr>
      <w:bookmarkStart w:id="1609" w:name="_Toc79314071"/>
      <w:r w:rsidRPr="00D35FEF">
        <w:rPr>
          <w:rFonts w:cs="Times New Roman"/>
          <w:b/>
          <w:i w:val="0"/>
          <w:iCs w:val="0"/>
          <w:color w:val="auto"/>
          <w:sz w:val="24"/>
          <w:szCs w:val="24"/>
          <w:lang w:eastAsia="en-US"/>
        </w:rPr>
        <w:t xml:space="preserve">Cuadro </w:t>
      </w:r>
      <w:r w:rsidRPr="00D35FEF">
        <w:rPr>
          <w:rFonts w:cs="Times New Roman"/>
          <w:b/>
          <w:i w:val="0"/>
          <w:iCs w:val="0"/>
          <w:color w:val="auto"/>
          <w:sz w:val="24"/>
          <w:szCs w:val="24"/>
          <w:lang w:eastAsia="en-US"/>
        </w:rPr>
        <w:fldChar w:fldCharType="begin"/>
      </w:r>
      <w:r w:rsidRPr="00D35FEF">
        <w:rPr>
          <w:rFonts w:cs="Times New Roman"/>
          <w:b/>
          <w:i w:val="0"/>
          <w:iCs w:val="0"/>
          <w:color w:val="auto"/>
          <w:sz w:val="24"/>
          <w:szCs w:val="24"/>
          <w:lang w:eastAsia="en-US"/>
        </w:rPr>
        <w:instrText xml:space="preserve"> SEQ Cuadro \* ARABIC </w:instrText>
      </w:r>
      <w:r w:rsidRPr="00D35FEF">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79</w:t>
      </w:r>
      <w:r w:rsidRPr="00D35FEF">
        <w:rPr>
          <w:rFonts w:cs="Times New Roman"/>
          <w:b/>
          <w:i w:val="0"/>
          <w:iCs w:val="0"/>
          <w:color w:val="auto"/>
          <w:sz w:val="24"/>
          <w:szCs w:val="24"/>
          <w:lang w:eastAsia="en-US"/>
        </w:rPr>
        <w:fldChar w:fldCharType="end"/>
      </w:r>
      <w:r w:rsidRPr="00D35FEF">
        <w:rPr>
          <w:rFonts w:cs="Times New Roman"/>
          <w:b/>
          <w:i w:val="0"/>
          <w:iCs w:val="0"/>
          <w:color w:val="auto"/>
          <w:sz w:val="24"/>
          <w:szCs w:val="24"/>
          <w:lang w:eastAsia="en-US"/>
        </w:rPr>
        <w:t>.</w:t>
      </w:r>
      <w:r w:rsidRPr="00D35FEF">
        <w:rPr>
          <w:rFonts w:cs="Times New Roman"/>
          <w:i w:val="0"/>
          <w:iCs w:val="0"/>
          <w:color w:val="auto"/>
          <w:sz w:val="24"/>
          <w:szCs w:val="24"/>
          <w:lang w:eastAsia="en-US"/>
        </w:rPr>
        <w:t xml:space="preserve"> Análisis de la Varianza (SC tipo I) y porcentaje de varianza para absorción de potasio de maíz suave, evaluado en la provincia de Chimborazo (2012-2014)</w:t>
      </w:r>
      <w:bookmarkEnd w:id="1609"/>
    </w:p>
    <w:tbl>
      <w:tblPr>
        <w:tblW w:w="8075" w:type="dxa"/>
        <w:tblCellMar>
          <w:left w:w="70" w:type="dxa"/>
          <w:right w:w="70" w:type="dxa"/>
        </w:tblCellMar>
        <w:tblLook w:val="04A0" w:firstRow="1" w:lastRow="0" w:firstColumn="1" w:lastColumn="0" w:noHBand="0" w:noVBand="1"/>
      </w:tblPr>
      <w:tblGrid>
        <w:gridCol w:w="1200"/>
        <w:gridCol w:w="1200"/>
        <w:gridCol w:w="714"/>
        <w:gridCol w:w="992"/>
        <w:gridCol w:w="1134"/>
        <w:gridCol w:w="1418"/>
        <w:gridCol w:w="1417"/>
      </w:tblGrid>
      <w:tr w:rsidR="00F4724C" w14:paraId="4673AB2E" w14:textId="77777777" w:rsidTr="003F06B8">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5CB312A5"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single" w:sz="4" w:space="0" w:color="auto"/>
            </w:tcBorders>
            <w:noWrap/>
            <w:vAlign w:val="bottom"/>
            <w:hideMark/>
          </w:tcPr>
          <w:p w14:paraId="5CDF1DEE"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714" w:type="dxa"/>
            <w:tcBorders>
              <w:top w:val="single" w:sz="4" w:space="0" w:color="auto"/>
              <w:left w:val="nil"/>
              <w:bottom w:val="single" w:sz="4" w:space="0" w:color="auto"/>
              <w:right w:val="single" w:sz="4" w:space="0" w:color="auto"/>
            </w:tcBorders>
            <w:noWrap/>
            <w:vAlign w:val="bottom"/>
            <w:hideMark/>
          </w:tcPr>
          <w:p w14:paraId="768C1311"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Gl</w:t>
            </w:r>
          </w:p>
        </w:tc>
        <w:tc>
          <w:tcPr>
            <w:tcW w:w="992" w:type="dxa"/>
            <w:tcBorders>
              <w:top w:val="single" w:sz="4" w:space="0" w:color="auto"/>
              <w:left w:val="nil"/>
              <w:bottom w:val="single" w:sz="4" w:space="0" w:color="auto"/>
              <w:right w:val="single" w:sz="4" w:space="0" w:color="auto"/>
            </w:tcBorders>
            <w:noWrap/>
            <w:vAlign w:val="bottom"/>
            <w:hideMark/>
          </w:tcPr>
          <w:p w14:paraId="76C46AAF"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1134" w:type="dxa"/>
            <w:tcBorders>
              <w:top w:val="single" w:sz="4" w:space="0" w:color="auto"/>
              <w:left w:val="nil"/>
              <w:bottom w:val="single" w:sz="4" w:space="0" w:color="auto"/>
              <w:right w:val="single" w:sz="4" w:space="0" w:color="auto"/>
            </w:tcBorders>
            <w:noWrap/>
            <w:vAlign w:val="bottom"/>
            <w:hideMark/>
          </w:tcPr>
          <w:p w14:paraId="683DB0FC"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1418" w:type="dxa"/>
            <w:tcBorders>
              <w:top w:val="single" w:sz="4" w:space="0" w:color="auto"/>
              <w:left w:val="nil"/>
              <w:bottom w:val="single" w:sz="4" w:space="0" w:color="auto"/>
              <w:right w:val="single" w:sz="4" w:space="0" w:color="auto"/>
            </w:tcBorders>
            <w:noWrap/>
            <w:vAlign w:val="bottom"/>
            <w:hideMark/>
          </w:tcPr>
          <w:p w14:paraId="21BBA5AA"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1417" w:type="dxa"/>
            <w:tcBorders>
              <w:top w:val="single" w:sz="4" w:space="0" w:color="auto"/>
              <w:left w:val="nil"/>
              <w:bottom w:val="single" w:sz="4" w:space="0" w:color="auto"/>
              <w:right w:val="single" w:sz="4" w:space="0" w:color="auto"/>
            </w:tcBorders>
            <w:noWrap/>
            <w:vAlign w:val="bottom"/>
            <w:hideMark/>
          </w:tcPr>
          <w:p w14:paraId="36CF36BC"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F4724C" w14:paraId="0E89E76F"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5E7AD83B"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1200" w:type="dxa"/>
            <w:tcBorders>
              <w:top w:val="nil"/>
              <w:left w:val="nil"/>
              <w:bottom w:val="single" w:sz="4" w:space="0" w:color="auto"/>
              <w:right w:val="single" w:sz="4" w:space="0" w:color="auto"/>
            </w:tcBorders>
            <w:noWrap/>
            <w:vAlign w:val="bottom"/>
            <w:hideMark/>
          </w:tcPr>
          <w:p w14:paraId="29C6251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26250,7</w:t>
            </w:r>
          </w:p>
        </w:tc>
        <w:tc>
          <w:tcPr>
            <w:tcW w:w="714" w:type="dxa"/>
            <w:tcBorders>
              <w:top w:val="nil"/>
              <w:left w:val="nil"/>
              <w:bottom w:val="single" w:sz="4" w:space="0" w:color="auto"/>
              <w:right w:val="single" w:sz="4" w:space="0" w:color="auto"/>
            </w:tcBorders>
            <w:noWrap/>
            <w:vAlign w:val="bottom"/>
            <w:hideMark/>
          </w:tcPr>
          <w:p w14:paraId="31893B5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992" w:type="dxa"/>
            <w:tcBorders>
              <w:top w:val="nil"/>
              <w:left w:val="nil"/>
              <w:bottom w:val="single" w:sz="4" w:space="0" w:color="auto"/>
              <w:right w:val="single" w:sz="4" w:space="0" w:color="auto"/>
            </w:tcBorders>
            <w:noWrap/>
            <w:vAlign w:val="bottom"/>
            <w:hideMark/>
          </w:tcPr>
          <w:p w14:paraId="78B678F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1193,21</w:t>
            </w:r>
          </w:p>
        </w:tc>
        <w:tc>
          <w:tcPr>
            <w:tcW w:w="1134" w:type="dxa"/>
            <w:tcBorders>
              <w:top w:val="nil"/>
              <w:left w:val="nil"/>
              <w:bottom w:val="single" w:sz="4" w:space="0" w:color="auto"/>
              <w:right w:val="single" w:sz="4" w:space="0" w:color="auto"/>
            </w:tcBorders>
            <w:noWrap/>
            <w:vAlign w:val="bottom"/>
            <w:hideMark/>
          </w:tcPr>
          <w:p w14:paraId="0B4B2E9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4,55</w:t>
            </w:r>
          </w:p>
        </w:tc>
        <w:tc>
          <w:tcPr>
            <w:tcW w:w="1418" w:type="dxa"/>
            <w:tcBorders>
              <w:top w:val="nil"/>
              <w:left w:val="nil"/>
              <w:bottom w:val="single" w:sz="4" w:space="0" w:color="auto"/>
              <w:right w:val="single" w:sz="4" w:space="0" w:color="auto"/>
            </w:tcBorders>
            <w:noWrap/>
            <w:vAlign w:val="bottom"/>
            <w:hideMark/>
          </w:tcPr>
          <w:p w14:paraId="5E480E2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417" w:type="dxa"/>
            <w:tcBorders>
              <w:top w:val="nil"/>
              <w:left w:val="nil"/>
              <w:bottom w:val="single" w:sz="4" w:space="0" w:color="auto"/>
              <w:right w:val="single" w:sz="4" w:space="0" w:color="auto"/>
            </w:tcBorders>
            <w:noWrap/>
            <w:vAlign w:val="bottom"/>
            <w:hideMark/>
          </w:tcPr>
          <w:p w14:paraId="0D54F00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62,90</w:t>
            </w:r>
          </w:p>
        </w:tc>
      </w:tr>
      <w:tr w:rsidR="00F4724C" w14:paraId="67A6F7FF"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5B80567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1200" w:type="dxa"/>
            <w:tcBorders>
              <w:top w:val="nil"/>
              <w:left w:val="nil"/>
              <w:bottom w:val="single" w:sz="4" w:space="0" w:color="auto"/>
              <w:right w:val="single" w:sz="4" w:space="0" w:color="auto"/>
            </w:tcBorders>
            <w:noWrap/>
            <w:vAlign w:val="bottom"/>
            <w:hideMark/>
          </w:tcPr>
          <w:p w14:paraId="658184C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3475,23</w:t>
            </w:r>
          </w:p>
        </w:tc>
        <w:tc>
          <w:tcPr>
            <w:tcW w:w="714" w:type="dxa"/>
            <w:tcBorders>
              <w:top w:val="nil"/>
              <w:left w:val="nil"/>
              <w:bottom w:val="single" w:sz="4" w:space="0" w:color="auto"/>
              <w:right w:val="single" w:sz="4" w:space="0" w:color="auto"/>
            </w:tcBorders>
            <w:noWrap/>
            <w:vAlign w:val="bottom"/>
            <w:hideMark/>
          </w:tcPr>
          <w:p w14:paraId="34CF513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992" w:type="dxa"/>
            <w:tcBorders>
              <w:top w:val="nil"/>
              <w:left w:val="nil"/>
              <w:bottom w:val="single" w:sz="4" w:space="0" w:color="auto"/>
              <w:right w:val="single" w:sz="4" w:space="0" w:color="auto"/>
            </w:tcBorders>
            <w:noWrap/>
            <w:vAlign w:val="bottom"/>
            <w:hideMark/>
          </w:tcPr>
          <w:p w14:paraId="106C323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1737,62</w:t>
            </w:r>
          </w:p>
        </w:tc>
        <w:tc>
          <w:tcPr>
            <w:tcW w:w="1134" w:type="dxa"/>
            <w:tcBorders>
              <w:top w:val="nil"/>
              <w:left w:val="nil"/>
              <w:bottom w:val="single" w:sz="4" w:space="0" w:color="auto"/>
              <w:right w:val="single" w:sz="4" w:space="0" w:color="auto"/>
            </w:tcBorders>
            <w:noWrap/>
            <w:vAlign w:val="bottom"/>
            <w:hideMark/>
          </w:tcPr>
          <w:p w14:paraId="21CED2B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6,62</w:t>
            </w:r>
          </w:p>
        </w:tc>
        <w:tc>
          <w:tcPr>
            <w:tcW w:w="1418" w:type="dxa"/>
            <w:tcBorders>
              <w:top w:val="nil"/>
              <w:left w:val="nil"/>
              <w:bottom w:val="single" w:sz="4" w:space="0" w:color="auto"/>
              <w:right w:val="single" w:sz="4" w:space="0" w:color="auto"/>
            </w:tcBorders>
            <w:noWrap/>
            <w:vAlign w:val="bottom"/>
            <w:hideMark/>
          </w:tcPr>
          <w:p w14:paraId="167606C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0,0025</w:t>
            </w:r>
          </w:p>
        </w:tc>
        <w:tc>
          <w:tcPr>
            <w:tcW w:w="1417" w:type="dxa"/>
            <w:tcBorders>
              <w:top w:val="nil"/>
              <w:left w:val="nil"/>
              <w:bottom w:val="single" w:sz="4" w:space="0" w:color="auto"/>
              <w:right w:val="single" w:sz="4" w:space="0" w:color="auto"/>
            </w:tcBorders>
            <w:noWrap/>
            <w:vAlign w:val="bottom"/>
            <w:hideMark/>
          </w:tcPr>
          <w:p w14:paraId="48EDD8E7"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8,33</w:t>
            </w:r>
          </w:p>
        </w:tc>
      </w:tr>
      <w:tr w:rsidR="00F4724C" w14:paraId="48AFFB58"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0B84E8E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1200" w:type="dxa"/>
            <w:tcBorders>
              <w:top w:val="nil"/>
              <w:left w:val="nil"/>
              <w:bottom w:val="single" w:sz="4" w:space="0" w:color="auto"/>
              <w:right w:val="single" w:sz="4" w:space="0" w:color="auto"/>
            </w:tcBorders>
            <w:noWrap/>
            <w:vAlign w:val="bottom"/>
            <w:hideMark/>
          </w:tcPr>
          <w:p w14:paraId="04E8862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14947,26</w:t>
            </w:r>
          </w:p>
        </w:tc>
        <w:tc>
          <w:tcPr>
            <w:tcW w:w="714" w:type="dxa"/>
            <w:tcBorders>
              <w:top w:val="nil"/>
              <w:left w:val="nil"/>
              <w:bottom w:val="single" w:sz="4" w:space="0" w:color="auto"/>
              <w:right w:val="single" w:sz="4" w:space="0" w:color="auto"/>
            </w:tcBorders>
            <w:noWrap/>
            <w:vAlign w:val="bottom"/>
            <w:hideMark/>
          </w:tcPr>
          <w:p w14:paraId="676FF0B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w:t>
            </w:r>
          </w:p>
        </w:tc>
        <w:tc>
          <w:tcPr>
            <w:tcW w:w="992" w:type="dxa"/>
            <w:tcBorders>
              <w:top w:val="nil"/>
              <w:left w:val="nil"/>
              <w:bottom w:val="single" w:sz="4" w:space="0" w:color="auto"/>
              <w:right w:val="single" w:sz="4" w:space="0" w:color="auto"/>
            </w:tcBorders>
            <w:noWrap/>
            <w:vAlign w:val="bottom"/>
            <w:hideMark/>
          </w:tcPr>
          <w:p w14:paraId="4C71A4AB"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2135,32</w:t>
            </w:r>
          </w:p>
        </w:tc>
        <w:tc>
          <w:tcPr>
            <w:tcW w:w="1134" w:type="dxa"/>
            <w:tcBorders>
              <w:top w:val="nil"/>
              <w:left w:val="nil"/>
              <w:bottom w:val="single" w:sz="4" w:space="0" w:color="auto"/>
              <w:right w:val="single" w:sz="4" w:space="0" w:color="auto"/>
            </w:tcBorders>
            <w:noWrap/>
            <w:vAlign w:val="bottom"/>
            <w:hideMark/>
          </w:tcPr>
          <w:p w14:paraId="3EC7235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8,14</w:t>
            </w:r>
          </w:p>
        </w:tc>
        <w:tc>
          <w:tcPr>
            <w:tcW w:w="1418" w:type="dxa"/>
            <w:tcBorders>
              <w:top w:val="nil"/>
              <w:left w:val="nil"/>
              <w:bottom w:val="single" w:sz="4" w:space="0" w:color="auto"/>
              <w:right w:val="single" w:sz="4" w:space="0" w:color="auto"/>
            </w:tcBorders>
            <w:noWrap/>
            <w:vAlign w:val="bottom"/>
            <w:hideMark/>
          </w:tcPr>
          <w:p w14:paraId="78A2A32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417" w:type="dxa"/>
            <w:tcBorders>
              <w:top w:val="nil"/>
              <w:left w:val="nil"/>
              <w:bottom w:val="single" w:sz="4" w:space="0" w:color="auto"/>
              <w:right w:val="single" w:sz="4" w:space="0" w:color="auto"/>
            </w:tcBorders>
            <w:noWrap/>
            <w:vAlign w:val="bottom"/>
            <w:hideMark/>
          </w:tcPr>
          <w:p w14:paraId="125B03D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35,82</w:t>
            </w:r>
          </w:p>
        </w:tc>
      </w:tr>
      <w:tr w:rsidR="00F4724C" w14:paraId="106720B5"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224A327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1200" w:type="dxa"/>
            <w:tcBorders>
              <w:top w:val="nil"/>
              <w:left w:val="nil"/>
              <w:bottom w:val="single" w:sz="4" w:space="0" w:color="auto"/>
              <w:right w:val="single" w:sz="4" w:space="0" w:color="auto"/>
            </w:tcBorders>
            <w:noWrap/>
            <w:vAlign w:val="bottom"/>
            <w:hideMark/>
          </w:tcPr>
          <w:p w14:paraId="137DD9D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3797,64</w:t>
            </w:r>
          </w:p>
        </w:tc>
        <w:tc>
          <w:tcPr>
            <w:tcW w:w="714" w:type="dxa"/>
            <w:tcBorders>
              <w:top w:val="nil"/>
              <w:left w:val="nil"/>
              <w:bottom w:val="single" w:sz="4" w:space="0" w:color="auto"/>
              <w:right w:val="single" w:sz="4" w:space="0" w:color="auto"/>
            </w:tcBorders>
            <w:noWrap/>
            <w:vAlign w:val="bottom"/>
            <w:hideMark/>
          </w:tcPr>
          <w:p w14:paraId="5E1BD1B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992" w:type="dxa"/>
            <w:tcBorders>
              <w:top w:val="nil"/>
              <w:left w:val="nil"/>
              <w:bottom w:val="single" w:sz="4" w:space="0" w:color="auto"/>
              <w:right w:val="single" w:sz="4" w:space="0" w:color="auto"/>
            </w:tcBorders>
            <w:noWrap/>
            <w:vAlign w:val="bottom"/>
            <w:hideMark/>
          </w:tcPr>
          <w:p w14:paraId="6C486E6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949,41</w:t>
            </w:r>
          </w:p>
        </w:tc>
        <w:tc>
          <w:tcPr>
            <w:tcW w:w="1134" w:type="dxa"/>
            <w:tcBorders>
              <w:top w:val="nil"/>
              <w:left w:val="nil"/>
              <w:bottom w:val="single" w:sz="4" w:space="0" w:color="auto"/>
              <w:right w:val="single" w:sz="4" w:space="0" w:color="auto"/>
            </w:tcBorders>
            <w:noWrap/>
            <w:vAlign w:val="bottom"/>
            <w:hideMark/>
          </w:tcPr>
          <w:p w14:paraId="31C0765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3,62</w:t>
            </w:r>
          </w:p>
        </w:tc>
        <w:tc>
          <w:tcPr>
            <w:tcW w:w="1418" w:type="dxa"/>
            <w:tcBorders>
              <w:top w:val="nil"/>
              <w:left w:val="nil"/>
              <w:bottom w:val="single" w:sz="4" w:space="0" w:color="auto"/>
              <w:right w:val="single" w:sz="4" w:space="0" w:color="auto"/>
            </w:tcBorders>
            <w:noWrap/>
            <w:vAlign w:val="bottom"/>
            <w:hideMark/>
          </w:tcPr>
          <w:p w14:paraId="3F8859B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0,0105</w:t>
            </w:r>
          </w:p>
        </w:tc>
        <w:tc>
          <w:tcPr>
            <w:tcW w:w="1417" w:type="dxa"/>
            <w:tcBorders>
              <w:top w:val="nil"/>
              <w:left w:val="nil"/>
              <w:bottom w:val="single" w:sz="4" w:space="0" w:color="auto"/>
              <w:right w:val="single" w:sz="4" w:space="0" w:color="auto"/>
            </w:tcBorders>
            <w:noWrap/>
            <w:vAlign w:val="bottom"/>
            <w:hideMark/>
          </w:tcPr>
          <w:p w14:paraId="6CE7B712"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9,10</w:t>
            </w:r>
          </w:p>
        </w:tc>
      </w:tr>
      <w:tr w:rsidR="00F4724C" w14:paraId="60C99EC7"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5F5E7A4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1200" w:type="dxa"/>
            <w:tcBorders>
              <w:top w:val="nil"/>
              <w:left w:val="nil"/>
              <w:bottom w:val="single" w:sz="4" w:space="0" w:color="auto"/>
              <w:right w:val="single" w:sz="4" w:space="0" w:color="auto"/>
            </w:tcBorders>
            <w:noWrap/>
            <w:vAlign w:val="bottom"/>
            <w:hideMark/>
          </w:tcPr>
          <w:p w14:paraId="4685A3F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1741,35</w:t>
            </w:r>
          </w:p>
        </w:tc>
        <w:tc>
          <w:tcPr>
            <w:tcW w:w="714" w:type="dxa"/>
            <w:tcBorders>
              <w:top w:val="nil"/>
              <w:left w:val="nil"/>
              <w:bottom w:val="single" w:sz="4" w:space="0" w:color="auto"/>
              <w:right w:val="single" w:sz="4" w:space="0" w:color="auto"/>
            </w:tcBorders>
            <w:noWrap/>
            <w:vAlign w:val="bottom"/>
            <w:hideMark/>
          </w:tcPr>
          <w:p w14:paraId="0FEF76E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992" w:type="dxa"/>
            <w:tcBorders>
              <w:top w:val="nil"/>
              <w:left w:val="nil"/>
              <w:bottom w:val="single" w:sz="4" w:space="0" w:color="auto"/>
              <w:right w:val="single" w:sz="4" w:space="0" w:color="auto"/>
            </w:tcBorders>
            <w:noWrap/>
            <w:vAlign w:val="bottom"/>
            <w:hideMark/>
          </w:tcPr>
          <w:p w14:paraId="70B206C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435,34</w:t>
            </w:r>
          </w:p>
        </w:tc>
        <w:tc>
          <w:tcPr>
            <w:tcW w:w="1134" w:type="dxa"/>
            <w:tcBorders>
              <w:top w:val="nil"/>
              <w:left w:val="nil"/>
              <w:bottom w:val="single" w:sz="4" w:space="0" w:color="auto"/>
              <w:right w:val="single" w:sz="4" w:space="0" w:color="auto"/>
            </w:tcBorders>
            <w:noWrap/>
            <w:vAlign w:val="bottom"/>
            <w:hideMark/>
          </w:tcPr>
          <w:p w14:paraId="78BC338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w:t>
            </w:r>
          </w:p>
        </w:tc>
        <w:tc>
          <w:tcPr>
            <w:tcW w:w="1418" w:type="dxa"/>
            <w:tcBorders>
              <w:top w:val="nil"/>
              <w:left w:val="nil"/>
              <w:bottom w:val="single" w:sz="4" w:space="0" w:color="auto"/>
              <w:right w:val="single" w:sz="4" w:space="0" w:color="auto"/>
            </w:tcBorders>
            <w:noWrap/>
            <w:vAlign w:val="bottom"/>
            <w:hideMark/>
          </w:tcPr>
          <w:p w14:paraId="671287E7"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0,1716</w:t>
            </w:r>
          </w:p>
        </w:tc>
        <w:tc>
          <w:tcPr>
            <w:tcW w:w="1417" w:type="dxa"/>
            <w:tcBorders>
              <w:top w:val="nil"/>
              <w:left w:val="nil"/>
              <w:bottom w:val="single" w:sz="4" w:space="0" w:color="auto"/>
              <w:right w:val="single" w:sz="4" w:space="0" w:color="auto"/>
            </w:tcBorders>
            <w:noWrap/>
            <w:vAlign w:val="bottom"/>
            <w:hideMark/>
          </w:tcPr>
          <w:p w14:paraId="4CF4A77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4,17</w:t>
            </w:r>
          </w:p>
        </w:tc>
      </w:tr>
      <w:tr w:rsidR="00F4724C" w14:paraId="73B67E18"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31DD1F9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1200" w:type="dxa"/>
            <w:tcBorders>
              <w:top w:val="nil"/>
              <w:left w:val="nil"/>
              <w:bottom w:val="single" w:sz="4" w:space="0" w:color="auto"/>
              <w:right w:val="single" w:sz="4" w:space="0" w:color="auto"/>
            </w:tcBorders>
            <w:noWrap/>
            <w:vAlign w:val="bottom"/>
            <w:hideMark/>
          </w:tcPr>
          <w:p w14:paraId="0B12DCC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455,31</w:t>
            </w:r>
          </w:p>
        </w:tc>
        <w:tc>
          <w:tcPr>
            <w:tcW w:w="714" w:type="dxa"/>
            <w:tcBorders>
              <w:top w:val="nil"/>
              <w:left w:val="nil"/>
              <w:bottom w:val="single" w:sz="4" w:space="0" w:color="auto"/>
              <w:right w:val="single" w:sz="4" w:space="0" w:color="auto"/>
            </w:tcBorders>
            <w:noWrap/>
            <w:vAlign w:val="bottom"/>
            <w:hideMark/>
          </w:tcPr>
          <w:p w14:paraId="6DAB57E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992" w:type="dxa"/>
            <w:tcBorders>
              <w:top w:val="nil"/>
              <w:left w:val="nil"/>
              <w:bottom w:val="single" w:sz="4" w:space="0" w:color="auto"/>
              <w:right w:val="single" w:sz="4" w:space="0" w:color="auto"/>
            </w:tcBorders>
            <w:noWrap/>
            <w:vAlign w:val="bottom"/>
            <w:hideMark/>
          </w:tcPr>
          <w:p w14:paraId="61578AC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151,77</w:t>
            </w:r>
          </w:p>
        </w:tc>
        <w:tc>
          <w:tcPr>
            <w:tcW w:w="1134" w:type="dxa"/>
            <w:tcBorders>
              <w:top w:val="nil"/>
              <w:left w:val="nil"/>
              <w:bottom w:val="single" w:sz="4" w:space="0" w:color="auto"/>
              <w:right w:val="single" w:sz="4" w:space="0" w:color="auto"/>
            </w:tcBorders>
            <w:noWrap/>
            <w:vAlign w:val="bottom"/>
            <w:hideMark/>
          </w:tcPr>
          <w:p w14:paraId="767338D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0,58</w:t>
            </w:r>
          </w:p>
        </w:tc>
        <w:tc>
          <w:tcPr>
            <w:tcW w:w="1418" w:type="dxa"/>
            <w:tcBorders>
              <w:top w:val="nil"/>
              <w:left w:val="nil"/>
              <w:bottom w:val="single" w:sz="4" w:space="0" w:color="auto"/>
              <w:right w:val="single" w:sz="4" w:space="0" w:color="auto"/>
            </w:tcBorders>
            <w:noWrap/>
            <w:vAlign w:val="bottom"/>
            <w:hideMark/>
          </w:tcPr>
          <w:p w14:paraId="3D59C1A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0,6315</w:t>
            </w:r>
          </w:p>
        </w:tc>
        <w:tc>
          <w:tcPr>
            <w:tcW w:w="1417" w:type="dxa"/>
            <w:tcBorders>
              <w:top w:val="nil"/>
              <w:left w:val="nil"/>
              <w:bottom w:val="single" w:sz="4" w:space="0" w:color="auto"/>
              <w:right w:val="single" w:sz="4" w:space="0" w:color="auto"/>
            </w:tcBorders>
            <w:noWrap/>
            <w:vAlign w:val="bottom"/>
            <w:hideMark/>
          </w:tcPr>
          <w:p w14:paraId="3766898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1,09</w:t>
            </w:r>
          </w:p>
        </w:tc>
      </w:tr>
      <w:tr w:rsidR="00F4724C" w14:paraId="7FFF9D5E"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3B10433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1200" w:type="dxa"/>
            <w:tcBorders>
              <w:top w:val="nil"/>
              <w:left w:val="nil"/>
              <w:bottom w:val="single" w:sz="4" w:space="0" w:color="auto"/>
              <w:right w:val="single" w:sz="4" w:space="0" w:color="auto"/>
            </w:tcBorders>
            <w:noWrap/>
            <w:vAlign w:val="bottom"/>
            <w:hideMark/>
          </w:tcPr>
          <w:p w14:paraId="79EEC55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1833,9</w:t>
            </w:r>
          </w:p>
        </w:tc>
        <w:tc>
          <w:tcPr>
            <w:tcW w:w="714" w:type="dxa"/>
            <w:tcBorders>
              <w:top w:val="nil"/>
              <w:left w:val="nil"/>
              <w:bottom w:val="single" w:sz="4" w:space="0" w:color="auto"/>
              <w:right w:val="single" w:sz="4" w:space="0" w:color="auto"/>
            </w:tcBorders>
            <w:noWrap/>
            <w:vAlign w:val="bottom"/>
            <w:hideMark/>
          </w:tcPr>
          <w:p w14:paraId="5815247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992" w:type="dxa"/>
            <w:tcBorders>
              <w:top w:val="nil"/>
              <w:left w:val="nil"/>
              <w:bottom w:val="single" w:sz="4" w:space="0" w:color="auto"/>
              <w:right w:val="single" w:sz="4" w:space="0" w:color="auto"/>
            </w:tcBorders>
            <w:noWrap/>
            <w:vAlign w:val="bottom"/>
            <w:hideMark/>
          </w:tcPr>
          <w:p w14:paraId="3E25F51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916,95</w:t>
            </w:r>
          </w:p>
        </w:tc>
        <w:tc>
          <w:tcPr>
            <w:tcW w:w="1134" w:type="dxa"/>
            <w:tcBorders>
              <w:top w:val="nil"/>
              <w:left w:val="nil"/>
              <w:bottom w:val="single" w:sz="4" w:space="0" w:color="auto"/>
              <w:right w:val="single" w:sz="4" w:space="0" w:color="auto"/>
            </w:tcBorders>
            <w:noWrap/>
            <w:vAlign w:val="bottom"/>
            <w:hideMark/>
          </w:tcPr>
          <w:p w14:paraId="5137CB0B"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3,49</w:t>
            </w:r>
          </w:p>
        </w:tc>
        <w:tc>
          <w:tcPr>
            <w:tcW w:w="1418" w:type="dxa"/>
            <w:tcBorders>
              <w:top w:val="nil"/>
              <w:left w:val="nil"/>
              <w:bottom w:val="single" w:sz="4" w:space="0" w:color="auto"/>
              <w:right w:val="single" w:sz="4" w:space="0" w:color="auto"/>
            </w:tcBorders>
            <w:noWrap/>
            <w:vAlign w:val="bottom"/>
            <w:hideMark/>
          </w:tcPr>
          <w:p w14:paraId="6475497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0,0368</w:t>
            </w:r>
          </w:p>
        </w:tc>
        <w:tc>
          <w:tcPr>
            <w:tcW w:w="1417" w:type="dxa"/>
            <w:tcBorders>
              <w:top w:val="nil"/>
              <w:left w:val="nil"/>
              <w:bottom w:val="single" w:sz="4" w:space="0" w:color="auto"/>
              <w:right w:val="single" w:sz="4" w:space="0" w:color="auto"/>
            </w:tcBorders>
            <w:noWrap/>
            <w:vAlign w:val="bottom"/>
            <w:hideMark/>
          </w:tcPr>
          <w:p w14:paraId="0290970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4,39</w:t>
            </w:r>
          </w:p>
        </w:tc>
      </w:tr>
      <w:tr w:rsidR="00F4724C" w14:paraId="77E1C10D"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0C45229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1200" w:type="dxa"/>
            <w:tcBorders>
              <w:top w:val="nil"/>
              <w:left w:val="nil"/>
              <w:bottom w:val="single" w:sz="4" w:space="0" w:color="auto"/>
              <w:right w:val="single" w:sz="4" w:space="0" w:color="auto"/>
            </w:tcBorders>
            <w:noWrap/>
            <w:vAlign w:val="bottom"/>
            <w:hideMark/>
          </w:tcPr>
          <w:p w14:paraId="534C42E2"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15481,92</w:t>
            </w:r>
          </w:p>
        </w:tc>
        <w:tc>
          <w:tcPr>
            <w:tcW w:w="714" w:type="dxa"/>
            <w:tcBorders>
              <w:top w:val="nil"/>
              <w:left w:val="nil"/>
              <w:bottom w:val="single" w:sz="4" w:space="0" w:color="auto"/>
              <w:right w:val="single" w:sz="4" w:space="0" w:color="auto"/>
            </w:tcBorders>
            <w:noWrap/>
            <w:vAlign w:val="bottom"/>
            <w:hideMark/>
          </w:tcPr>
          <w:p w14:paraId="2FAEBE0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59</w:t>
            </w:r>
          </w:p>
        </w:tc>
        <w:tc>
          <w:tcPr>
            <w:tcW w:w="992" w:type="dxa"/>
            <w:tcBorders>
              <w:top w:val="nil"/>
              <w:left w:val="nil"/>
              <w:bottom w:val="single" w:sz="4" w:space="0" w:color="auto"/>
              <w:right w:val="single" w:sz="4" w:space="0" w:color="auto"/>
            </w:tcBorders>
            <w:noWrap/>
            <w:vAlign w:val="bottom"/>
            <w:hideMark/>
          </w:tcPr>
          <w:p w14:paraId="5DBC076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262,41</w:t>
            </w:r>
          </w:p>
        </w:tc>
        <w:tc>
          <w:tcPr>
            <w:tcW w:w="1134" w:type="dxa"/>
            <w:tcBorders>
              <w:top w:val="nil"/>
              <w:left w:val="nil"/>
              <w:bottom w:val="single" w:sz="4" w:space="0" w:color="auto"/>
              <w:right w:val="single" w:sz="4" w:space="0" w:color="auto"/>
            </w:tcBorders>
            <w:noWrap/>
            <w:vAlign w:val="bottom"/>
            <w:hideMark/>
          </w:tcPr>
          <w:p w14:paraId="1174C87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8" w:type="dxa"/>
            <w:tcBorders>
              <w:top w:val="nil"/>
              <w:left w:val="nil"/>
              <w:bottom w:val="single" w:sz="4" w:space="0" w:color="auto"/>
              <w:right w:val="single" w:sz="4" w:space="0" w:color="auto"/>
            </w:tcBorders>
            <w:noWrap/>
            <w:vAlign w:val="bottom"/>
            <w:hideMark/>
          </w:tcPr>
          <w:p w14:paraId="483C6DF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7" w:type="dxa"/>
            <w:tcBorders>
              <w:top w:val="nil"/>
              <w:left w:val="nil"/>
              <w:bottom w:val="single" w:sz="4" w:space="0" w:color="auto"/>
              <w:right w:val="single" w:sz="4" w:space="0" w:color="auto"/>
            </w:tcBorders>
            <w:noWrap/>
            <w:vAlign w:val="bottom"/>
            <w:hideMark/>
          </w:tcPr>
          <w:p w14:paraId="5152FDD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37,10</w:t>
            </w:r>
          </w:p>
        </w:tc>
      </w:tr>
      <w:tr w:rsidR="00F4724C" w14:paraId="55475720" w14:textId="77777777" w:rsidTr="003F06B8">
        <w:trPr>
          <w:trHeight w:val="300"/>
        </w:trPr>
        <w:tc>
          <w:tcPr>
            <w:tcW w:w="1200" w:type="dxa"/>
            <w:tcBorders>
              <w:top w:val="nil"/>
              <w:left w:val="single" w:sz="4" w:space="0" w:color="auto"/>
              <w:bottom w:val="single" w:sz="4" w:space="0" w:color="auto"/>
              <w:right w:val="single" w:sz="4" w:space="0" w:color="auto"/>
            </w:tcBorders>
            <w:noWrap/>
            <w:vAlign w:val="bottom"/>
            <w:hideMark/>
          </w:tcPr>
          <w:p w14:paraId="2AB811A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1200" w:type="dxa"/>
            <w:tcBorders>
              <w:top w:val="nil"/>
              <w:left w:val="nil"/>
              <w:bottom w:val="single" w:sz="4" w:space="0" w:color="auto"/>
              <w:right w:val="single" w:sz="4" w:space="0" w:color="auto"/>
            </w:tcBorders>
            <w:noWrap/>
            <w:vAlign w:val="bottom"/>
            <w:hideMark/>
          </w:tcPr>
          <w:p w14:paraId="7289E5F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41732,61</w:t>
            </w:r>
          </w:p>
        </w:tc>
        <w:tc>
          <w:tcPr>
            <w:tcW w:w="714" w:type="dxa"/>
            <w:tcBorders>
              <w:top w:val="nil"/>
              <w:left w:val="nil"/>
              <w:bottom w:val="single" w:sz="4" w:space="0" w:color="auto"/>
              <w:right w:val="single" w:sz="4" w:space="0" w:color="auto"/>
            </w:tcBorders>
            <w:noWrap/>
            <w:vAlign w:val="bottom"/>
            <w:hideMark/>
          </w:tcPr>
          <w:p w14:paraId="2F474A2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w:t>
            </w:r>
          </w:p>
        </w:tc>
        <w:tc>
          <w:tcPr>
            <w:tcW w:w="992" w:type="dxa"/>
            <w:tcBorders>
              <w:top w:val="nil"/>
              <w:left w:val="nil"/>
              <w:bottom w:val="single" w:sz="4" w:space="0" w:color="auto"/>
              <w:right w:val="single" w:sz="4" w:space="0" w:color="auto"/>
            </w:tcBorders>
            <w:noWrap/>
            <w:vAlign w:val="bottom"/>
            <w:hideMark/>
          </w:tcPr>
          <w:p w14:paraId="5CF5BBD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34" w:type="dxa"/>
            <w:tcBorders>
              <w:top w:val="nil"/>
              <w:left w:val="nil"/>
              <w:bottom w:val="single" w:sz="4" w:space="0" w:color="auto"/>
              <w:right w:val="single" w:sz="4" w:space="0" w:color="auto"/>
            </w:tcBorders>
            <w:noWrap/>
            <w:vAlign w:val="bottom"/>
            <w:hideMark/>
          </w:tcPr>
          <w:p w14:paraId="5A3363D2"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8" w:type="dxa"/>
            <w:tcBorders>
              <w:top w:val="nil"/>
              <w:left w:val="nil"/>
              <w:bottom w:val="single" w:sz="4" w:space="0" w:color="auto"/>
              <w:right w:val="single" w:sz="4" w:space="0" w:color="auto"/>
            </w:tcBorders>
            <w:noWrap/>
            <w:vAlign w:val="bottom"/>
            <w:hideMark/>
          </w:tcPr>
          <w:p w14:paraId="008944C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7" w:type="dxa"/>
            <w:tcBorders>
              <w:top w:val="nil"/>
              <w:left w:val="nil"/>
              <w:bottom w:val="single" w:sz="4" w:space="0" w:color="auto"/>
              <w:right w:val="single" w:sz="4" w:space="0" w:color="auto"/>
            </w:tcBorders>
            <w:noWrap/>
            <w:vAlign w:val="bottom"/>
            <w:hideMark/>
          </w:tcPr>
          <w:p w14:paraId="2D20902A"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2D070D54" w14:textId="6D1A1C34" w:rsidR="00BA248F" w:rsidRDefault="00F4724C" w:rsidP="003F06B8">
      <w:pPr>
        <w:autoSpaceDE w:val="0"/>
        <w:autoSpaceDN w:val="0"/>
        <w:adjustRightInd w:val="0"/>
        <w:spacing w:before="360" w:after="360" w:line="360" w:lineRule="auto"/>
        <w:rPr>
          <w:rFonts w:cs="Times New Roman"/>
          <w:bCs/>
          <w:szCs w:val="24"/>
        </w:rPr>
      </w:pPr>
      <w:r>
        <w:rPr>
          <w:rFonts w:cs="Times New Roman"/>
          <w:bCs/>
          <w:szCs w:val="24"/>
        </w:rPr>
        <w:t xml:space="preserve">El modelo estadístico establecido explica el 62,90 % de la variación observada en los datos; siendo el potasio 4,17 % de la variación observada. El 37,10 % de la variación se les atribuyó a efectos aleatorios que el modelo no pudo explicar (error). El nitrógeno, fósforo y el magnesio explicaron el 35,82 %, 9,10 % y 4,39% de absorción de potasio, respectivamente. El resto de nutrientes potasio y azufre explicaron menos del </w:t>
      </w:r>
      <w:r w:rsidR="00736DA4">
        <w:rPr>
          <w:rFonts w:cs="Times New Roman"/>
          <w:bCs/>
          <w:szCs w:val="24"/>
        </w:rPr>
        <w:t>4,3</w:t>
      </w:r>
      <w:r>
        <w:rPr>
          <w:rFonts w:cs="Times New Roman"/>
          <w:bCs/>
          <w:szCs w:val="24"/>
        </w:rPr>
        <w:t>% de absorción de fósforo (</w:t>
      </w:r>
      <w:r w:rsidR="00BA248F">
        <w:rPr>
          <w:rFonts w:cs="Times New Roman"/>
          <w:bCs/>
          <w:szCs w:val="24"/>
        </w:rPr>
        <w:t>Cuadro</w:t>
      </w:r>
      <w:r>
        <w:rPr>
          <w:rFonts w:cs="Times New Roman"/>
          <w:bCs/>
          <w:szCs w:val="24"/>
        </w:rPr>
        <w:t xml:space="preserve"> 79). </w:t>
      </w:r>
    </w:p>
    <w:p w14:paraId="06EDDB75" w14:textId="77777777" w:rsidR="003F06B8" w:rsidRDefault="00F4724C" w:rsidP="003F06B8">
      <w:pPr>
        <w:autoSpaceDE w:val="0"/>
        <w:autoSpaceDN w:val="0"/>
        <w:adjustRightInd w:val="0"/>
        <w:spacing w:after="0" w:line="360" w:lineRule="auto"/>
        <w:rPr>
          <w:rFonts w:cs="Times New Roman"/>
          <w:bCs/>
          <w:szCs w:val="24"/>
        </w:rPr>
      </w:pPr>
      <w:r>
        <w:rPr>
          <w:rFonts w:cs="Times New Roman"/>
          <w:bCs/>
          <w:szCs w:val="24"/>
        </w:rPr>
        <w:t xml:space="preserve">En </w:t>
      </w:r>
      <w:r w:rsidR="00BA248F">
        <w:rPr>
          <w:rFonts w:cs="Times New Roman"/>
          <w:bCs/>
          <w:szCs w:val="24"/>
        </w:rPr>
        <w:t>los cuadros</w:t>
      </w:r>
      <w:r w:rsidR="005A49B7">
        <w:rPr>
          <w:rFonts w:cs="Times New Roman"/>
          <w:bCs/>
          <w:szCs w:val="24"/>
        </w:rPr>
        <w:t xml:space="preserve"> </w:t>
      </w:r>
      <w:r>
        <w:rPr>
          <w:rFonts w:cs="Times New Roman"/>
          <w:bCs/>
          <w:szCs w:val="24"/>
        </w:rPr>
        <w:t>80, 81, 83, 84, 85 y 86 se presentan los promedios y el error estándar de absorción de potasio por efecto de las localidades y los niveles de fertilizante empleados.</w:t>
      </w:r>
      <w:bookmarkStart w:id="1610" w:name="_Toc79314072"/>
    </w:p>
    <w:p w14:paraId="393BCD0D" w14:textId="19E15B77" w:rsidR="00D35FEF" w:rsidRPr="003F06B8" w:rsidRDefault="00D35FEF" w:rsidP="003F06B8">
      <w:pPr>
        <w:autoSpaceDE w:val="0"/>
        <w:autoSpaceDN w:val="0"/>
        <w:adjustRightInd w:val="0"/>
        <w:spacing w:before="360" w:after="0" w:line="360" w:lineRule="auto"/>
        <w:rPr>
          <w:rFonts w:cs="Times New Roman"/>
          <w:bCs/>
          <w:szCs w:val="24"/>
        </w:rPr>
      </w:pPr>
      <w:r w:rsidRPr="00D35FEF">
        <w:rPr>
          <w:rFonts w:cs="Times New Roman"/>
          <w:b/>
          <w:bCs/>
          <w:szCs w:val="24"/>
        </w:rPr>
        <w:lastRenderedPageBreak/>
        <w:t xml:space="preserve">Cuadro </w:t>
      </w:r>
      <w:r w:rsidRPr="00D35FEF">
        <w:rPr>
          <w:rFonts w:cs="Times New Roman"/>
          <w:b/>
          <w:bCs/>
          <w:i/>
          <w:iCs/>
          <w:szCs w:val="24"/>
        </w:rPr>
        <w:fldChar w:fldCharType="begin"/>
      </w:r>
      <w:r w:rsidRPr="00D35FEF">
        <w:rPr>
          <w:rFonts w:cs="Times New Roman"/>
          <w:b/>
          <w:bCs/>
          <w:szCs w:val="24"/>
        </w:rPr>
        <w:instrText xml:space="preserve"> SEQ Cuadro \* ARABIC </w:instrText>
      </w:r>
      <w:r w:rsidRPr="00D35FEF">
        <w:rPr>
          <w:rFonts w:cs="Times New Roman"/>
          <w:b/>
          <w:bCs/>
          <w:i/>
          <w:iCs/>
          <w:szCs w:val="24"/>
        </w:rPr>
        <w:fldChar w:fldCharType="separate"/>
      </w:r>
      <w:r w:rsidR="000D1F55">
        <w:rPr>
          <w:rFonts w:cs="Times New Roman"/>
          <w:b/>
          <w:bCs/>
          <w:noProof/>
          <w:szCs w:val="24"/>
        </w:rPr>
        <w:t>80</w:t>
      </w:r>
      <w:r w:rsidRPr="00D35FEF">
        <w:rPr>
          <w:rFonts w:cs="Times New Roman"/>
          <w:b/>
          <w:bCs/>
          <w:i/>
          <w:iCs/>
          <w:szCs w:val="24"/>
        </w:rPr>
        <w:fldChar w:fldCharType="end"/>
      </w:r>
      <w:r w:rsidRPr="00D35FEF">
        <w:rPr>
          <w:rFonts w:cs="Times New Roman"/>
          <w:b/>
          <w:bCs/>
          <w:szCs w:val="24"/>
        </w:rPr>
        <w:t xml:space="preserve">. </w:t>
      </w:r>
      <w:r w:rsidRPr="00D35FEF">
        <w:rPr>
          <w:rFonts w:cs="Times New Roman"/>
          <w:bCs/>
          <w:szCs w:val="24"/>
        </w:rPr>
        <w:t>Absorción total de potasio, evaluado por localidades (parroquia) en la provincia de Chimborazo 2012-2014</w:t>
      </w:r>
      <w:bookmarkEnd w:id="1610"/>
    </w:p>
    <w:tbl>
      <w:tblPr>
        <w:tblW w:w="7200" w:type="dxa"/>
        <w:jc w:val="center"/>
        <w:tblCellMar>
          <w:left w:w="70" w:type="dxa"/>
          <w:right w:w="70" w:type="dxa"/>
        </w:tblCellMar>
        <w:tblLook w:val="04A0" w:firstRow="1" w:lastRow="0" w:firstColumn="1" w:lastColumn="0" w:noHBand="0" w:noVBand="1"/>
      </w:tblPr>
      <w:tblGrid>
        <w:gridCol w:w="1413"/>
        <w:gridCol w:w="987"/>
        <w:gridCol w:w="572"/>
        <w:gridCol w:w="1828"/>
        <w:gridCol w:w="1200"/>
        <w:gridCol w:w="1200"/>
      </w:tblGrid>
      <w:tr w:rsidR="00F4724C" w14:paraId="159F2887" w14:textId="77777777" w:rsidTr="00BA248F">
        <w:trPr>
          <w:trHeight w:val="300"/>
          <w:jc w:val="center"/>
        </w:trPr>
        <w:tc>
          <w:tcPr>
            <w:tcW w:w="1413" w:type="dxa"/>
            <w:tcBorders>
              <w:top w:val="single" w:sz="4" w:space="0" w:color="auto"/>
              <w:left w:val="single" w:sz="4" w:space="0" w:color="auto"/>
              <w:bottom w:val="single" w:sz="4" w:space="0" w:color="auto"/>
              <w:right w:val="single" w:sz="4" w:space="0" w:color="auto"/>
            </w:tcBorders>
            <w:noWrap/>
            <w:vAlign w:val="bottom"/>
            <w:hideMark/>
          </w:tcPr>
          <w:p w14:paraId="2F3655B1"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Parroquia</w:t>
            </w:r>
          </w:p>
        </w:tc>
        <w:tc>
          <w:tcPr>
            <w:tcW w:w="987" w:type="dxa"/>
            <w:tcBorders>
              <w:top w:val="single" w:sz="4" w:space="0" w:color="auto"/>
              <w:left w:val="nil"/>
              <w:bottom w:val="single" w:sz="4" w:space="0" w:color="auto"/>
              <w:right w:val="single" w:sz="4" w:space="0" w:color="auto"/>
            </w:tcBorders>
            <w:noWrap/>
            <w:vAlign w:val="bottom"/>
            <w:hideMark/>
          </w:tcPr>
          <w:p w14:paraId="528229C3"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72" w:type="dxa"/>
            <w:tcBorders>
              <w:top w:val="single" w:sz="4" w:space="0" w:color="auto"/>
              <w:left w:val="nil"/>
              <w:bottom w:val="single" w:sz="4" w:space="0" w:color="auto"/>
              <w:right w:val="single" w:sz="4" w:space="0" w:color="auto"/>
            </w:tcBorders>
            <w:noWrap/>
            <w:vAlign w:val="bottom"/>
            <w:hideMark/>
          </w:tcPr>
          <w:p w14:paraId="6688FC19"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28" w:type="dxa"/>
            <w:tcBorders>
              <w:top w:val="single" w:sz="4" w:space="0" w:color="auto"/>
              <w:left w:val="nil"/>
              <w:bottom w:val="single" w:sz="4" w:space="0" w:color="auto"/>
              <w:right w:val="single" w:sz="4" w:space="0" w:color="auto"/>
            </w:tcBorders>
            <w:noWrap/>
            <w:vAlign w:val="bottom"/>
            <w:hideMark/>
          </w:tcPr>
          <w:p w14:paraId="303C3841"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1146E20B" w14:textId="77777777" w:rsidR="00F4724C" w:rsidRDefault="00F4724C" w:rsidP="003F06B8">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675A7DF6" w14:textId="77777777" w:rsidR="00F4724C" w:rsidRDefault="00F4724C" w:rsidP="003F06B8">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5E3A2737" w14:textId="77777777" w:rsidTr="00BA248F">
        <w:trPr>
          <w:trHeight w:val="300"/>
          <w:jc w:val="center"/>
        </w:trPr>
        <w:tc>
          <w:tcPr>
            <w:tcW w:w="1413" w:type="dxa"/>
            <w:tcBorders>
              <w:top w:val="nil"/>
              <w:left w:val="single" w:sz="4" w:space="0" w:color="auto"/>
              <w:bottom w:val="single" w:sz="4" w:space="0" w:color="auto"/>
              <w:right w:val="single" w:sz="4" w:space="0" w:color="auto"/>
            </w:tcBorders>
            <w:noWrap/>
            <w:vAlign w:val="bottom"/>
            <w:hideMark/>
          </w:tcPr>
          <w:p w14:paraId="15E2749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Chazo    </w:t>
            </w:r>
          </w:p>
        </w:tc>
        <w:tc>
          <w:tcPr>
            <w:tcW w:w="987" w:type="dxa"/>
            <w:tcBorders>
              <w:top w:val="nil"/>
              <w:left w:val="nil"/>
              <w:bottom w:val="single" w:sz="4" w:space="0" w:color="auto"/>
              <w:right w:val="single" w:sz="4" w:space="0" w:color="auto"/>
            </w:tcBorders>
            <w:noWrap/>
            <w:vAlign w:val="bottom"/>
            <w:hideMark/>
          </w:tcPr>
          <w:p w14:paraId="2B9EE15A"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73,68</w:t>
            </w:r>
          </w:p>
        </w:tc>
        <w:tc>
          <w:tcPr>
            <w:tcW w:w="572" w:type="dxa"/>
            <w:tcBorders>
              <w:top w:val="nil"/>
              <w:left w:val="nil"/>
              <w:bottom w:val="single" w:sz="4" w:space="0" w:color="auto"/>
              <w:right w:val="single" w:sz="4" w:space="0" w:color="auto"/>
            </w:tcBorders>
            <w:noWrap/>
            <w:vAlign w:val="bottom"/>
            <w:hideMark/>
          </w:tcPr>
          <w:p w14:paraId="09380B2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28" w:type="dxa"/>
            <w:tcBorders>
              <w:top w:val="nil"/>
              <w:left w:val="nil"/>
              <w:bottom w:val="single" w:sz="4" w:space="0" w:color="auto"/>
              <w:right w:val="single" w:sz="4" w:space="0" w:color="auto"/>
            </w:tcBorders>
            <w:noWrap/>
            <w:vAlign w:val="bottom"/>
            <w:hideMark/>
          </w:tcPr>
          <w:p w14:paraId="46104EE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w:t>
            </w:r>
          </w:p>
        </w:tc>
        <w:tc>
          <w:tcPr>
            <w:tcW w:w="1200" w:type="dxa"/>
            <w:tcBorders>
              <w:top w:val="single" w:sz="4" w:space="0" w:color="auto"/>
              <w:left w:val="nil"/>
              <w:bottom w:val="single" w:sz="4" w:space="0" w:color="auto"/>
              <w:right w:val="single" w:sz="4" w:space="0" w:color="auto"/>
            </w:tcBorders>
            <w:noWrap/>
            <w:vAlign w:val="bottom"/>
            <w:hideMark/>
          </w:tcPr>
          <w:p w14:paraId="7AB0B4A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68108E9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0DC384FD" w14:textId="77777777" w:rsidTr="00BA248F">
        <w:trPr>
          <w:trHeight w:val="300"/>
          <w:jc w:val="center"/>
        </w:trPr>
        <w:tc>
          <w:tcPr>
            <w:tcW w:w="1413" w:type="dxa"/>
            <w:tcBorders>
              <w:top w:val="nil"/>
              <w:left w:val="single" w:sz="4" w:space="0" w:color="auto"/>
              <w:bottom w:val="single" w:sz="4" w:space="0" w:color="auto"/>
              <w:right w:val="single" w:sz="4" w:space="0" w:color="auto"/>
            </w:tcBorders>
            <w:noWrap/>
            <w:vAlign w:val="bottom"/>
            <w:hideMark/>
          </w:tcPr>
          <w:p w14:paraId="77FF615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Licto    </w:t>
            </w:r>
          </w:p>
        </w:tc>
        <w:tc>
          <w:tcPr>
            <w:tcW w:w="987" w:type="dxa"/>
            <w:tcBorders>
              <w:top w:val="nil"/>
              <w:left w:val="nil"/>
              <w:bottom w:val="single" w:sz="4" w:space="0" w:color="auto"/>
              <w:right w:val="single" w:sz="4" w:space="0" w:color="auto"/>
            </w:tcBorders>
            <w:noWrap/>
            <w:vAlign w:val="bottom"/>
            <w:hideMark/>
          </w:tcPr>
          <w:p w14:paraId="1B452F5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91,44</w:t>
            </w:r>
          </w:p>
        </w:tc>
        <w:tc>
          <w:tcPr>
            <w:tcW w:w="572" w:type="dxa"/>
            <w:tcBorders>
              <w:top w:val="nil"/>
              <w:left w:val="nil"/>
              <w:bottom w:val="single" w:sz="4" w:space="0" w:color="auto"/>
              <w:right w:val="single" w:sz="4" w:space="0" w:color="auto"/>
            </w:tcBorders>
            <w:noWrap/>
            <w:vAlign w:val="bottom"/>
            <w:hideMark/>
          </w:tcPr>
          <w:p w14:paraId="4835675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28" w:type="dxa"/>
            <w:tcBorders>
              <w:top w:val="nil"/>
              <w:left w:val="nil"/>
              <w:bottom w:val="single" w:sz="4" w:space="0" w:color="auto"/>
              <w:right w:val="single" w:sz="4" w:space="0" w:color="auto"/>
            </w:tcBorders>
            <w:noWrap/>
            <w:vAlign w:val="bottom"/>
            <w:hideMark/>
          </w:tcPr>
          <w:p w14:paraId="43C9FC1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3,52</w:t>
            </w:r>
          </w:p>
        </w:tc>
        <w:tc>
          <w:tcPr>
            <w:tcW w:w="1200" w:type="dxa"/>
            <w:tcBorders>
              <w:top w:val="nil"/>
              <w:left w:val="nil"/>
              <w:bottom w:val="single" w:sz="4" w:space="0" w:color="auto"/>
              <w:right w:val="single" w:sz="4" w:space="0" w:color="auto"/>
            </w:tcBorders>
            <w:noWrap/>
            <w:vAlign w:val="bottom"/>
            <w:hideMark/>
          </w:tcPr>
          <w:p w14:paraId="36D92B37"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445BB88B"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7B5493D7" w14:textId="77777777" w:rsidTr="00BA248F">
        <w:trPr>
          <w:trHeight w:val="300"/>
          <w:jc w:val="center"/>
        </w:trPr>
        <w:tc>
          <w:tcPr>
            <w:tcW w:w="1413" w:type="dxa"/>
            <w:tcBorders>
              <w:top w:val="nil"/>
              <w:left w:val="single" w:sz="4" w:space="0" w:color="auto"/>
              <w:bottom w:val="single" w:sz="4" w:space="0" w:color="auto"/>
              <w:right w:val="single" w:sz="4" w:space="0" w:color="auto"/>
            </w:tcBorders>
            <w:noWrap/>
            <w:vAlign w:val="bottom"/>
            <w:hideMark/>
          </w:tcPr>
          <w:p w14:paraId="20D1A53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Quimiag  </w:t>
            </w:r>
          </w:p>
        </w:tc>
        <w:tc>
          <w:tcPr>
            <w:tcW w:w="987" w:type="dxa"/>
            <w:tcBorders>
              <w:top w:val="nil"/>
              <w:left w:val="nil"/>
              <w:bottom w:val="single" w:sz="4" w:space="0" w:color="auto"/>
              <w:right w:val="single" w:sz="4" w:space="0" w:color="auto"/>
            </w:tcBorders>
            <w:noWrap/>
            <w:vAlign w:val="bottom"/>
            <w:hideMark/>
          </w:tcPr>
          <w:p w14:paraId="25BD125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94,14</w:t>
            </w:r>
          </w:p>
        </w:tc>
        <w:tc>
          <w:tcPr>
            <w:tcW w:w="572" w:type="dxa"/>
            <w:tcBorders>
              <w:top w:val="nil"/>
              <w:left w:val="nil"/>
              <w:bottom w:val="single" w:sz="4" w:space="0" w:color="auto"/>
              <w:right w:val="single" w:sz="4" w:space="0" w:color="auto"/>
            </w:tcBorders>
            <w:noWrap/>
            <w:vAlign w:val="bottom"/>
            <w:hideMark/>
          </w:tcPr>
          <w:p w14:paraId="617667A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1828" w:type="dxa"/>
            <w:tcBorders>
              <w:top w:val="nil"/>
              <w:left w:val="nil"/>
              <w:bottom w:val="single" w:sz="4" w:space="0" w:color="auto"/>
              <w:right w:val="single" w:sz="4" w:space="0" w:color="auto"/>
            </w:tcBorders>
            <w:noWrap/>
            <w:vAlign w:val="bottom"/>
            <w:hideMark/>
          </w:tcPr>
          <w:p w14:paraId="1672704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2,49</w:t>
            </w:r>
          </w:p>
        </w:tc>
        <w:tc>
          <w:tcPr>
            <w:tcW w:w="1200" w:type="dxa"/>
            <w:tcBorders>
              <w:top w:val="nil"/>
              <w:left w:val="nil"/>
              <w:bottom w:val="single" w:sz="4" w:space="0" w:color="auto"/>
              <w:right w:val="single" w:sz="4" w:space="0" w:color="auto"/>
            </w:tcBorders>
            <w:noWrap/>
            <w:vAlign w:val="bottom"/>
            <w:hideMark/>
          </w:tcPr>
          <w:p w14:paraId="3F49C64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0C4983D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47A9BBBC" w14:textId="175FA7C6" w:rsidR="00D35FEF" w:rsidRPr="004C6FDC" w:rsidRDefault="00D35FEF" w:rsidP="004C6FDC">
      <w:pPr>
        <w:pStyle w:val="Sinespaciado"/>
        <w:spacing w:before="360"/>
        <w:rPr>
          <w:rFonts w:ascii="Times New Roman" w:hAnsi="Times New Roman" w:cs="Times New Roman"/>
          <w:sz w:val="24"/>
          <w:szCs w:val="24"/>
        </w:rPr>
      </w:pPr>
      <w:bookmarkStart w:id="1611" w:name="_Toc79314073"/>
      <w:r w:rsidRPr="004C6FDC">
        <w:rPr>
          <w:rFonts w:ascii="Times New Roman" w:hAnsi="Times New Roman" w:cs="Times New Roman"/>
          <w:b/>
          <w:sz w:val="24"/>
          <w:szCs w:val="24"/>
        </w:rPr>
        <w:t xml:space="preserve">Cuadro </w:t>
      </w:r>
      <w:r w:rsidRPr="004C6FDC">
        <w:rPr>
          <w:rFonts w:ascii="Times New Roman" w:hAnsi="Times New Roman" w:cs="Times New Roman"/>
          <w:b/>
          <w:i/>
          <w:iCs/>
          <w:sz w:val="24"/>
          <w:szCs w:val="24"/>
        </w:rPr>
        <w:fldChar w:fldCharType="begin"/>
      </w:r>
      <w:r w:rsidRPr="004C6FDC">
        <w:rPr>
          <w:rFonts w:ascii="Times New Roman" w:hAnsi="Times New Roman" w:cs="Times New Roman"/>
          <w:b/>
          <w:sz w:val="24"/>
          <w:szCs w:val="24"/>
        </w:rPr>
        <w:instrText xml:space="preserve"> SEQ Cuadro \* ARABIC </w:instrText>
      </w:r>
      <w:r w:rsidRPr="004C6FDC">
        <w:rPr>
          <w:rFonts w:ascii="Times New Roman" w:hAnsi="Times New Roman" w:cs="Times New Roman"/>
          <w:b/>
          <w:i/>
          <w:iCs/>
          <w:sz w:val="24"/>
          <w:szCs w:val="24"/>
        </w:rPr>
        <w:fldChar w:fldCharType="separate"/>
      </w:r>
      <w:r w:rsidR="000D1F55">
        <w:rPr>
          <w:rFonts w:ascii="Times New Roman" w:hAnsi="Times New Roman" w:cs="Times New Roman"/>
          <w:b/>
          <w:noProof/>
          <w:sz w:val="24"/>
          <w:szCs w:val="24"/>
        </w:rPr>
        <w:t>81</w:t>
      </w:r>
      <w:r w:rsidRPr="004C6FDC">
        <w:rPr>
          <w:rFonts w:ascii="Times New Roman" w:hAnsi="Times New Roman" w:cs="Times New Roman"/>
          <w:b/>
          <w:i/>
          <w:iCs/>
          <w:sz w:val="24"/>
          <w:szCs w:val="24"/>
        </w:rPr>
        <w:fldChar w:fldCharType="end"/>
      </w:r>
      <w:r w:rsidRPr="004C6FDC">
        <w:rPr>
          <w:rFonts w:ascii="Times New Roman" w:hAnsi="Times New Roman" w:cs="Times New Roman"/>
          <w:b/>
          <w:sz w:val="24"/>
          <w:szCs w:val="24"/>
        </w:rPr>
        <w:t>.</w:t>
      </w:r>
      <w:r w:rsidRPr="004C6FDC">
        <w:rPr>
          <w:rFonts w:ascii="Times New Roman" w:hAnsi="Times New Roman" w:cs="Times New Roman"/>
          <w:sz w:val="24"/>
          <w:szCs w:val="24"/>
        </w:rPr>
        <w:t xml:space="preserve"> Absorción total de potasio para diversas dosis de nitrógeno evaluadas en la provincia de Chimborazo 2012-2014.</w:t>
      </w:r>
      <w:bookmarkEnd w:id="1611"/>
    </w:p>
    <w:tbl>
      <w:tblPr>
        <w:tblW w:w="7927" w:type="dxa"/>
        <w:tblCellMar>
          <w:left w:w="70" w:type="dxa"/>
          <w:right w:w="70" w:type="dxa"/>
        </w:tblCellMar>
        <w:tblLook w:val="04A0" w:firstRow="1" w:lastRow="0" w:firstColumn="1" w:lastColumn="0" w:noHBand="0" w:noVBand="1"/>
      </w:tblPr>
      <w:tblGrid>
        <w:gridCol w:w="2122"/>
        <w:gridCol w:w="1017"/>
        <w:gridCol w:w="684"/>
        <w:gridCol w:w="1710"/>
        <w:gridCol w:w="1197"/>
        <w:gridCol w:w="1197"/>
      </w:tblGrid>
      <w:tr w:rsidR="00F4724C" w14:paraId="1A3CD912" w14:textId="77777777" w:rsidTr="00F4724C">
        <w:trPr>
          <w:trHeight w:val="300"/>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59D151D4"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017" w:type="dxa"/>
            <w:tcBorders>
              <w:top w:val="single" w:sz="4" w:space="0" w:color="auto"/>
              <w:left w:val="nil"/>
              <w:bottom w:val="single" w:sz="4" w:space="0" w:color="auto"/>
              <w:right w:val="single" w:sz="4" w:space="0" w:color="auto"/>
            </w:tcBorders>
            <w:noWrap/>
            <w:vAlign w:val="bottom"/>
            <w:hideMark/>
          </w:tcPr>
          <w:p w14:paraId="4E3D26D4"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84" w:type="dxa"/>
            <w:tcBorders>
              <w:top w:val="single" w:sz="4" w:space="0" w:color="auto"/>
              <w:left w:val="nil"/>
              <w:bottom w:val="single" w:sz="4" w:space="0" w:color="auto"/>
              <w:right w:val="single" w:sz="4" w:space="0" w:color="auto"/>
            </w:tcBorders>
            <w:noWrap/>
            <w:vAlign w:val="bottom"/>
            <w:hideMark/>
          </w:tcPr>
          <w:p w14:paraId="1B0773AD"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10" w:type="dxa"/>
            <w:tcBorders>
              <w:top w:val="single" w:sz="4" w:space="0" w:color="auto"/>
              <w:left w:val="nil"/>
              <w:bottom w:val="single" w:sz="4" w:space="0" w:color="auto"/>
              <w:right w:val="single" w:sz="4" w:space="0" w:color="auto"/>
            </w:tcBorders>
            <w:noWrap/>
            <w:vAlign w:val="bottom"/>
            <w:hideMark/>
          </w:tcPr>
          <w:p w14:paraId="07ED7377"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197" w:type="dxa"/>
            <w:tcBorders>
              <w:top w:val="single" w:sz="4" w:space="0" w:color="auto"/>
              <w:left w:val="single" w:sz="4" w:space="0" w:color="auto"/>
              <w:bottom w:val="single" w:sz="4" w:space="0" w:color="auto"/>
              <w:right w:val="nil"/>
            </w:tcBorders>
            <w:noWrap/>
            <w:vAlign w:val="bottom"/>
            <w:hideMark/>
          </w:tcPr>
          <w:p w14:paraId="3B7357E0" w14:textId="77777777" w:rsidR="00F4724C" w:rsidRDefault="00F4724C" w:rsidP="003F06B8">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197" w:type="dxa"/>
            <w:tcBorders>
              <w:top w:val="single" w:sz="4" w:space="0" w:color="auto"/>
              <w:left w:val="nil"/>
              <w:bottom w:val="single" w:sz="4" w:space="0" w:color="auto"/>
              <w:right w:val="single" w:sz="4" w:space="0" w:color="auto"/>
            </w:tcBorders>
            <w:noWrap/>
            <w:vAlign w:val="bottom"/>
            <w:hideMark/>
          </w:tcPr>
          <w:p w14:paraId="52FEF654" w14:textId="77777777" w:rsidR="00F4724C" w:rsidRDefault="00F4724C" w:rsidP="003F06B8">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72DCC7DF"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2B60583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1017" w:type="dxa"/>
            <w:tcBorders>
              <w:top w:val="nil"/>
              <w:left w:val="nil"/>
              <w:bottom w:val="single" w:sz="4" w:space="0" w:color="auto"/>
              <w:right w:val="single" w:sz="4" w:space="0" w:color="auto"/>
            </w:tcBorders>
            <w:noWrap/>
            <w:vAlign w:val="bottom"/>
            <w:hideMark/>
          </w:tcPr>
          <w:p w14:paraId="2A25E7B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66,09</w:t>
            </w:r>
          </w:p>
        </w:tc>
        <w:tc>
          <w:tcPr>
            <w:tcW w:w="684" w:type="dxa"/>
            <w:tcBorders>
              <w:top w:val="nil"/>
              <w:left w:val="nil"/>
              <w:bottom w:val="single" w:sz="4" w:space="0" w:color="auto"/>
              <w:right w:val="single" w:sz="4" w:space="0" w:color="auto"/>
            </w:tcBorders>
            <w:noWrap/>
            <w:vAlign w:val="bottom"/>
            <w:hideMark/>
          </w:tcPr>
          <w:p w14:paraId="0B36286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10" w:type="dxa"/>
            <w:tcBorders>
              <w:top w:val="nil"/>
              <w:left w:val="nil"/>
              <w:bottom w:val="single" w:sz="4" w:space="0" w:color="auto"/>
              <w:right w:val="single" w:sz="4" w:space="0" w:color="auto"/>
            </w:tcBorders>
            <w:noWrap/>
            <w:vAlign w:val="bottom"/>
            <w:hideMark/>
          </w:tcPr>
          <w:p w14:paraId="37B7B1C2"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16,63</w:t>
            </w:r>
          </w:p>
        </w:tc>
        <w:tc>
          <w:tcPr>
            <w:tcW w:w="1197" w:type="dxa"/>
            <w:tcBorders>
              <w:top w:val="single" w:sz="4" w:space="0" w:color="auto"/>
              <w:left w:val="nil"/>
              <w:bottom w:val="single" w:sz="4" w:space="0" w:color="auto"/>
              <w:right w:val="single" w:sz="4" w:space="0" w:color="auto"/>
            </w:tcBorders>
            <w:noWrap/>
            <w:vAlign w:val="bottom"/>
            <w:hideMark/>
          </w:tcPr>
          <w:p w14:paraId="1D2B32E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single" w:sz="4" w:space="0" w:color="auto"/>
              <w:left w:val="nil"/>
              <w:bottom w:val="single" w:sz="4" w:space="0" w:color="auto"/>
              <w:right w:val="single" w:sz="4" w:space="0" w:color="auto"/>
            </w:tcBorders>
            <w:noWrap/>
            <w:vAlign w:val="bottom"/>
            <w:hideMark/>
          </w:tcPr>
          <w:p w14:paraId="1D4B753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17723E28"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1AECB0B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017" w:type="dxa"/>
            <w:tcBorders>
              <w:top w:val="nil"/>
              <w:left w:val="nil"/>
              <w:bottom w:val="single" w:sz="4" w:space="0" w:color="auto"/>
              <w:right w:val="single" w:sz="4" w:space="0" w:color="auto"/>
            </w:tcBorders>
            <w:noWrap/>
            <w:vAlign w:val="bottom"/>
            <w:hideMark/>
          </w:tcPr>
          <w:p w14:paraId="0545573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73,93</w:t>
            </w:r>
          </w:p>
        </w:tc>
        <w:tc>
          <w:tcPr>
            <w:tcW w:w="684" w:type="dxa"/>
            <w:tcBorders>
              <w:top w:val="nil"/>
              <w:left w:val="nil"/>
              <w:bottom w:val="single" w:sz="4" w:space="0" w:color="auto"/>
              <w:right w:val="single" w:sz="4" w:space="0" w:color="auto"/>
            </w:tcBorders>
            <w:noWrap/>
            <w:vAlign w:val="bottom"/>
            <w:hideMark/>
          </w:tcPr>
          <w:p w14:paraId="5030C6C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w:t>
            </w:r>
          </w:p>
        </w:tc>
        <w:tc>
          <w:tcPr>
            <w:tcW w:w="1710" w:type="dxa"/>
            <w:tcBorders>
              <w:top w:val="nil"/>
              <w:left w:val="nil"/>
              <w:bottom w:val="single" w:sz="4" w:space="0" w:color="auto"/>
              <w:right w:val="single" w:sz="4" w:space="0" w:color="auto"/>
            </w:tcBorders>
            <w:noWrap/>
            <w:vAlign w:val="bottom"/>
            <w:hideMark/>
          </w:tcPr>
          <w:p w14:paraId="7A46B7A7"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2,95</w:t>
            </w:r>
          </w:p>
        </w:tc>
        <w:tc>
          <w:tcPr>
            <w:tcW w:w="1197" w:type="dxa"/>
            <w:tcBorders>
              <w:top w:val="nil"/>
              <w:left w:val="nil"/>
              <w:bottom w:val="single" w:sz="4" w:space="0" w:color="auto"/>
              <w:right w:val="single" w:sz="4" w:space="0" w:color="auto"/>
            </w:tcBorders>
            <w:noWrap/>
            <w:vAlign w:val="bottom"/>
            <w:hideMark/>
          </w:tcPr>
          <w:p w14:paraId="0600691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nil"/>
              <w:left w:val="nil"/>
              <w:bottom w:val="single" w:sz="4" w:space="0" w:color="auto"/>
              <w:right w:val="single" w:sz="4" w:space="0" w:color="auto"/>
            </w:tcBorders>
            <w:noWrap/>
            <w:vAlign w:val="bottom"/>
            <w:hideMark/>
          </w:tcPr>
          <w:p w14:paraId="58CBA47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2F1DC534"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14C749D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1017" w:type="dxa"/>
            <w:tcBorders>
              <w:top w:val="nil"/>
              <w:left w:val="nil"/>
              <w:bottom w:val="single" w:sz="4" w:space="0" w:color="auto"/>
              <w:right w:val="single" w:sz="4" w:space="0" w:color="auto"/>
            </w:tcBorders>
            <w:noWrap/>
            <w:vAlign w:val="bottom"/>
            <w:hideMark/>
          </w:tcPr>
          <w:p w14:paraId="3C68979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96,46</w:t>
            </w:r>
          </w:p>
        </w:tc>
        <w:tc>
          <w:tcPr>
            <w:tcW w:w="684" w:type="dxa"/>
            <w:tcBorders>
              <w:top w:val="nil"/>
              <w:left w:val="nil"/>
              <w:bottom w:val="single" w:sz="4" w:space="0" w:color="auto"/>
              <w:right w:val="single" w:sz="4" w:space="0" w:color="auto"/>
            </w:tcBorders>
            <w:noWrap/>
            <w:vAlign w:val="bottom"/>
            <w:hideMark/>
          </w:tcPr>
          <w:p w14:paraId="138D726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710" w:type="dxa"/>
            <w:tcBorders>
              <w:top w:val="nil"/>
              <w:left w:val="nil"/>
              <w:bottom w:val="single" w:sz="4" w:space="0" w:color="auto"/>
              <w:right w:val="single" w:sz="4" w:space="0" w:color="auto"/>
            </w:tcBorders>
            <w:noWrap/>
            <w:vAlign w:val="bottom"/>
            <w:hideMark/>
          </w:tcPr>
          <w:p w14:paraId="346B73E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3,14</w:t>
            </w:r>
          </w:p>
        </w:tc>
        <w:tc>
          <w:tcPr>
            <w:tcW w:w="1197" w:type="dxa"/>
            <w:tcBorders>
              <w:top w:val="nil"/>
              <w:left w:val="nil"/>
              <w:bottom w:val="single" w:sz="4" w:space="0" w:color="auto"/>
              <w:right w:val="single" w:sz="4" w:space="0" w:color="auto"/>
            </w:tcBorders>
            <w:noWrap/>
            <w:vAlign w:val="bottom"/>
            <w:hideMark/>
          </w:tcPr>
          <w:p w14:paraId="194A1027"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nil"/>
              <w:left w:val="nil"/>
              <w:bottom w:val="single" w:sz="4" w:space="0" w:color="auto"/>
              <w:right w:val="single" w:sz="4" w:space="0" w:color="auto"/>
            </w:tcBorders>
            <w:noWrap/>
            <w:vAlign w:val="bottom"/>
            <w:hideMark/>
          </w:tcPr>
          <w:p w14:paraId="495A7A97"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726D59B2"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2423274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1017" w:type="dxa"/>
            <w:tcBorders>
              <w:top w:val="nil"/>
              <w:left w:val="nil"/>
              <w:bottom w:val="single" w:sz="4" w:space="0" w:color="auto"/>
              <w:right w:val="single" w:sz="4" w:space="0" w:color="auto"/>
            </w:tcBorders>
            <w:noWrap/>
            <w:vAlign w:val="bottom"/>
            <w:hideMark/>
          </w:tcPr>
          <w:p w14:paraId="73A6519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100,17</w:t>
            </w:r>
          </w:p>
        </w:tc>
        <w:tc>
          <w:tcPr>
            <w:tcW w:w="684" w:type="dxa"/>
            <w:tcBorders>
              <w:top w:val="nil"/>
              <w:left w:val="nil"/>
              <w:bottom w:val="single" w:sz="4" w:space="0" w:color="auto"/>
              <w:right w:val="single" w:sz="4" w:space="0" w:color="auto"/>
            </w:tcBorders>
            <w:noWrap/>
            <w:vAlign w:val="bottom"/>
            <w:hideMark/>
          </w:tcPr>
          <w:p w14:paraId="4E93F6C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10" w:type="dxa"/>
            <w:tcBorders>
              <w:top w:val="nil"/>
              <w:left w:val="nil"/>
              <w:bottom w:val="single" w:sz="4" w:space="0" w:color="auto"/>
              <w:right w:val="single" w:sz="4" w:space="0" w:color="auto"/>
            </w:tcBorders>
            <w:noWrap/>
            <w:vAlign w:val="bottom"/>
            <w:hideMark/>
          </w:tcPr>
          <w:p w14:paraId="1D6FE91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16,63</w:t>
            </w:r>
          </w:p>
        </w:tc>
        <w:tc>
          <w:tcPr>
            <w:tcW w:w="1197" w:type="dxa"/>
            <w:tcBorders>
              <w:top w:val="nil"/>
              <w:left w:val="nil"/>
              <w:bottom w:val="single" w:sz="4" w:space="0" w:color="auto"/>
              <w:right w:val="single" w:sz="4" w:space="0" w:color="auto"/>
            </w:tcBorders>
            <w:noWrap/>
            <w:vAlign w:val="bottom"/>
            <w:hideMark/>
          </w:tcPr>
          <w:p w14:paraId="694F0B2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nil"/>
              <w:left w:val="nil"/>
              <w:bottom w:val="single" w:sz="4" w:space="0" w:color="auto"/>
              <w:right w:val="single" w:sz="4" w:space="0" w:color="auto"/>
            </w:tcBorders>
            <w:noWrap/>
            <w:vAlign w:val="bottom"/>
            <w:hideMark/>
          </w:tcPr>
          <w:p w14:paraId="186B962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139417DC"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6816EC9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1017" w:type="dxa"/>
            <w:tcBorders>
              <w:top w:val="nil"/>
              <w:left w:val="nil"/>
              <w:bottom w:val="single" w:sz="4" w:space="0" w:color="auto"/>
              <w:right w:val="single" w:sz="4" w:space="0" w:color="auto"/>
            </w:tcBorders>
            <w:noWrap/>
            <w:vAlign w:val="bottom"/>
            <w:hideMark/>
          </w:tcPr>
          <w:p w14:paraId="527F181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106,19</w:t>
            </w:r>
          </w:p>
        </w:tc>
        <w:tc>
          <w:tcPr>
            <w:tcW w:w="684" w:type="dxa"/>
            <w:tcBorders>
              <w:top w:val="nil"/>
              <w:left w:val="nil"/>
              <w:bottom w:val="single" w:sz="4" w:space="0" w:color="auto"/>
              <w:right w:val="single" w:sz="4" w:space="0" w:color="auto"/>
            </w:tcBorders>
            <w:noWrap/>
            <w:vAlign w:val="bottom"/>
            <w:hideMark/>
          </w:tcPr>
          <w:p w14:paraId="70CD511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1710" w:type="dxa"/>
            <w:tcBorders>
              <w:top w:val="nil"/>
              <w:left w:val="nil"/>
              <w:bottom w:val="single" w:sz="4" w:space="0" w:color="auto"/>
              <w:right w:val="single" w:sz="4" w:space="0" w:color="auto"/>
            </w:tcBorders>
            <w:noWrap/>
            <w:vAlign w:val="bottom"/>
            <w:hideMark/>
          </w:tcPr>
          <w:p w14:paraId="0FAD253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4,61</w:t>
            </w:r>
          </w:p>
        </w:tc>
        <w:tc>
          <w:tcPr>
            <w:tcW w:w="1197" w:type="dxa"/>
            <w:tcBorders>
              <w:top w:val="nil"/>
              <w:left w:val="nil"/>
              <w:bottom w:val="single" w:sz="4" w:space="0" w:color="auto"/>
              <w:right w:val="single" w:sz="4" w:space="0" w:color="auto"/>
            </w:tcBorders>
            <w:noWrap/>
            <w:vAlign w:val="bottom"/>
            <w:hideMark/>
          </w:tcPr>
          <w:p w14:paraId="007A8A6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nil"/>
              <w:left w:val="nil"/>
              <w:bottom w:val="single" w:sz="4" w:space="0" w:color="auto"/>
              <w:right w:val="single" w:sz="4" w:space="0" w:color="auto"/>
            </w:tcBorders>
            <w:noWrap/>
            <w:vAlign w:val="bottom"/>
            <w:hideMark/>
          </w:tcPr>
          <w:p w14:paraId="781D355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472A0966"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33641C6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017" w:type="dxa"/>
            <w:tcBorders>
              <w:top w:val="nil"/>
              <w:left w:val="nil"/>
              <w:bottom w:val="single" w:sz="4" w:space="0" w:color="auto"/>
              <w:right w:val="single" w:sz="4" w:space="0" w:color="auto"/>
            </w:tcBorders>
            <w:noWrap/>
            <w:vAlign w:val="bottom"/>
            <w:hideMark/>
          </w:tcPr>
          <w:p w14:paraId="22A362B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110,69</w:t>
            </w:r>
          </w:p>
        </w:tc>
        <w:tc>
          <w:tcPr>
            <w:tcW w:w="684" w:type="dxa"/>
            <w:tcBorders>
              <w:top w:val="nil"/>
              <w:left w:val="nil"/>
              <w:bottom w:val="single" w:sz="4" w:space="0" w:color="auto"/>
              <w:right w:val="single" w:sz="4" w:space="0" w:color="auto"/>
            </w:tcBorders>
            <w:noWrap/>
            <w:vAlign w:val="bottom"/>
            <w:hideMark/>
          </w:tcPr>
          <w:p w14:paraId="710E7CD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10" w:type="dxa"/>
            <w:tcBorders>
              <w:top w:val="nil"/>
              <w:left w:val="nil"/>
              <w:bottom w:val="single" w:sz="4" w:space="0" w:color="auto"/>
              <w:right w:val="single" w:sz="4" w:space="0" w:color="auto"/>
            </w:tcBorders>
            <w:noWrap/>
            <w:vAlign w:val="bottom"/>
            <w:hideMark/>
          </w:tcPr>
          <w:p w14:paraId="53D7273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16,63</w:t>
            </w:r>
          </w:p>
        </w:tc>
        <w:tc>
          <w:tcPr>
            <w:tcW w:w="1197" w:type="dxa"/>
            <w:tcBorders>
              <w:top w:val="nil"/>
              <w:left w:val="nil"/>
              <w:bottom w:val="single" w:sz="4" w:space="0" w:color="auto"/>
              <w:right w:val="single" w:sz="4" w:space="0" w:color="auto"/>
            </w:tcBorders>
            <w:noWrap/>
            <w:vAlign w:val="bottom"/>
            <w:hideMark/>
          </w:tcPr>
          <w:p w14:paraId="0007E89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nil"/>
              <w:left w:val="nil"/>
              <w:bottom w:val="single" w:sz="4" w:space="0" w:color="auto"/>
              <w:right w:val="single" w:sz="4" w:space="0" w:color="auto"/>
            </w:tcBorders>
            <w:noWrap/>
            <w:vAlign w:val="bottom"/>
            <w:hideMark/>
          </w:tcPr>
          <w:p w14:paraId="4A735FAB"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336254AD"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32B7733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1017" w:type="dxa"/>
            <w:tcBorders>
              <w:top w:val="nil"/>
              <w:left w:val="nil"/>
              <w:bottom w:val="single" w:sz="4" w:space="0" w:color="auto"/>
              <w:right w:val="single" w:sz="4" w:space="0" w:color="auto"/>
            </w:tcBorders>
            <w:noWrap/>
            <w:vAlign w:val="bottom"/>
            <w:hideMark/>
          </w:tcPr>
          <w:p w14:paraId="42CB9A5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121,01</w:t>
            </w:r>
          </w:p>
        </w:tc>
        <w:tc>
          <w:tcPr>
            <w:tcW w:w="684" w:type="dxa"/>
            <w:tcBorders>
              <w:top w:val="nil"/>
              <w:left w:val="nil"/>
              <w:bottom w:val="single" w:sz="4" w:space="0" w:color="auto"/>
              <w:right w:val="single" w:sz="4" w:space="0" w:color="auto"/>
            </w:tcBorders>
            <w:noWrap/>
            <w:vAlign w:val="bottom"/>
            <w:hideMark/>
          </w:tcPr>
          <w:p w14:paraId="17ECA62B"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10" w:type="dxa"/>
            <w:tcBorders>
              <w:top w:val="nil"/>
              <w:left w:val="nil"/>
              <w:bottom w:val="single" w:sz="4" w:space="0" w:color="auto"/>
              <w:right w:val="single" w:sz="4" w:space="0" w:color="auto"/>
            </w:tcBorders>
            <w:noWrap/>
            <w:vAlign w:val="bottom"/>
            <w:hideMark/>
          </w:tcPr>
          <w:p w14:paraId="6CAF79B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16,63</w:t>
            </w:r>
          </w:p>
        </w:tc>
        <w:tc>
          <w:tcPr>
            <w:tcW w:w="1197" w:type="dxa"/>
            <w:tcBorders>
              <w:top w:val="nil"/>
              <w:left w:val="nil"/>
              <w:bottom w:val="single" w:sz="4" w:space="0" w:color="auto"/>
              <w:right w:val="single" w:sz="4" w:space="0" w:color="auto"/>
            </w:tcBorders>
            <w:noWrap/>
            <w:vAlign w:val="bottom"/>
            <w:hideMark/>
          </w:tcPr>
          <w:p w14:paraId="22DC4C6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7" w:type="dxa"/>
            <w:tcBorders>
              <w:top w:val="nil"/>
              <w:left w:val="nil"/>
              <w:bottom w:val="single" w:sz="4" w:space="0" w:color="auto"/>
              <w:right w:val="single" w:sz="4" w:space="0" w:color="auto"/>
            </w:tcBorders>
            <w:noWrap/>
            <w:vAlign w:val="bottom"/>
            <w:hideMark/>
          </w:tcPr>
          <w:p w14:paraId="786AC707"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513C1F89"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5E573182"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1017" w:type="dxa"/>
            <w:tcBorders>
              <w:top w:val="nil"/>
              <w:left w:val="nil"/>
              <w:bottom w:val="single" w:sz="4" w:space="0" w:color="auto"/>
              <w:right w:val="single" w:sz="4" w:space="0" w:color="auto"/>
            </w:tcBorders>
            <w:noWrap/>
            <w:vAlign w:val="bottom"/>
            <w:hideMark/>
          </w:tcPr>
          <w:p w14:paraId="52133F1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124,18</w:t>
            </w:r>
          </w:p>
        </w:tc>
        <w:tc>
          <w:tcPr>
            <w:tcW w:w="684" w:type="dxa"/>
            <w:tcBorders>
              <w:top w:val="nil"/>
              <w:left w:val="nil"/>
              <w:bottom w:val="single" w:sz="4" w:space="0" w:color="auto"/>
              <w:right w:val="single" w:sz="4" w:space="0" w:color="auto"/>
            </w:tcBorders>
            <w:noWrap/>
            <w:vAlign w:val="bottom"/>
            <w:hideMark/>
          </w:tcPr>
          <w:p w14:paraId="476725C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10" w:type="dxa"/>
            <w:tcBorders>
              <w:top w:val="nil"/>
              <w:left w:val="nil"/>
              <w:bottom w:val="single" w:sz="4" w:space="0" w:color="auto"/>
              <w:right w:val="single" w:sz="4" w:space="0" w:color="auto"/>
            </w:tcBorders>
            <w:noWrap/>
            <w:vAlign w:val="bottom"/>
            <w:hideMark/>
          </w:tcPr>
          <w:p w14:paraId="5B21ECE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16,63</w:t>
            </w:r>
          </w:p>
        </w:tc>
        <w:tc>
          <w:tcPr>
            <w:tcW w:w="1197" w:type="dxa"/>
            <w:tcBorders>
              <w:top w:val="nil"/>
              <w:left w:val="nil"/>
              <w:bottom w:val="single" w:sz="4" w:space="0" w:color="auto"/>
              <w:right w:val="single" w:sz="4" w:space="0" w:color="auto"/>
            </w:tcBorders>
            <w:noWrap/>
            <w:vAlign w:val="bottom"/>
            <w:hideMark/>
          </w:tcPr>
          <w:p w14:paraId="3F8A6C67"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7" w:type="dxa"/>
            <w:tcBorders>
              <w:top w:val="nil"/>
              <w:left w:val="nil"/>
              <w:bottom w:val="single" w:sz="4" w:space="0" w:color="auto"/>
              <w:right w:val="single" w:sz="4" w:space="0" w:color="auto"/>
            </w:tcBorders>
            <w:noWrap/>
            <w:vAlign w:val="bottom"/>
            <w:hideMark/>
          </w:tcPr>
          <w:p w14:paraId="3C6D8961"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4B0C285E" w14:textId="5F73AD17" w:rsidR="00D35FEF" w:rsidRPr="00D35FEF" w:rsidRDefault="00D35FEF" w:rsidP="003F06B8">
      <w:pPr>
        <w:pStyle w:val="Descripcin"/>
        <w:keepNext/>
        <w:spacing w:before="360"/>
        <w:rPr>
          <w:rFonts w:cs="Times New Roman"/>
          <w:i w:val="0"/>
          <w:iCs w:val="0"/>
          <w:color w:val="auto"/>
          <w:sz w:val="24"/>
          <w:szCs w:val="24"/>
          <w:lang w:eastAsia="en-US"/>
        </w:rPr>
      </w:pPr>
      <w:bookmarkStart w:id="1612" w:name="_Toc79314074"/>
      <w:r w:rsidRPr="00D35FEF">
        <w:rPr>
          <w:rFonts w:cs="Times New Roman"/>
          <w:b/>
          <w:i w:val="0"/>
          <w:iCs w:val="0"/>
          <w:color w:val="auto"/>
          <w:sz w:val="24"/>
          <w:szCs w:val="24"/>
          <w:lang w:eastAsia="en-US"/>
        </w:rPr>
        <w:t xml:space="preserve">Cuadro </w:t>
      </w:r>
      <w:r w:rsidRPr="00D35FEF">
        <w:rPr>
          <w:rFonts w:cs="Times New Roman"/>
          <w:b/>
          <w:i w:val="0"/>
          <w:iCs w:val="0"/>
          <w:color w:val="auto"/>
          <w:sz w:val="24"/>
          <w:szCs w:val="24"/>
          <w:lang w:eastAsia="en-US"/>
        </w:rPr>
        <w:fldChar w:fldCharType="begin"/>
      </w:r>
      <w:r w:rsidRPr="00D35FEF">
        <w:rPr>
          <w:rFonts w:cs="Times New Roman"/>
          <w:b/>
          <w:i w:val="0"/>
          <w:iCs w:val="0"/>
          <w:color w:val="auto"/>
          <w:sz w:val="24"/>
          <w:szCs w:val="24"/>
          <w:lang w:eastAsia="en-US"/>
        </w:rPr>
        <w:instrText xml:space="preserve"> SEQ Cuadro \* ARABIC </w:instrText>
      </w:r>
      <w:r w:rsidRPr="00D35FEF">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82</w:t>
      </w:r>
      <w:r w:rsidRPr="00D35FEF">
        <w:rPr>
          <w:rFonts w:cs="Times New Roman"/>
          <w:b/>
          <w:i w:val="0"/>
          <w:iCs w:val="0"/>
          <w:color w:val="auto"/>
          <w:sz w:val="24"/>
          <w:szCs w:val="24"/>
          <w:lang w:eastAsia="en-US"/>
        </w:rPr>
        <w:fldChar w:fldCharType="end"/>
      </w:r>
      <w:r w:rsidRPr="00D35FEF">
        <w:rPr>
          <w:rFonts w:cs="Times New Roman"/>
          <w:b/>
          <w:i w:val="0"/>
          <w:iCs w:val="0"/>
          <w:color w:val="auto"/>
          <w:sz w:val="24"/>
          <w:szCs w:val="24"/>
          <w:lang w:eastAsia="en-US"/>
        </w:rPr>
        <w:t xml:space="preserve">. </w:t>
      </w:r>
      <w:r w:rsidRPr="00D35FEF">
        <w:rPr>
          <w:rFonts w:cs="Times New Roman"/>
          <w:i w:val="0"/>
          <w:iCs w:val="0"/>
          <w:color w:val="auto"/>
          <w:sz w:val="24"/>
          <w:szCs w:val="24"/>
          <w:lang w:eastAsia="en-US"/>
        </w:rPr>
        <w:t>Absorción total de potasio para diversas dosis de fósforo evaluadas en la provincia de Chimborazo 2012-2014.</w:t>
      </w:r>
      <w:bookmarkEnd w:id="1612"/>
    </w:p>
    <w:tbl>
      <w:tblPr>
        <w:tblW w:w="7927" w:type="dxa"/>
        <w:tblCellMar>
          <w:left w:w="70" w:type="dxa"/>
          <w:right w:w="70" w:type="dxa"/>
        </w:tblCellMar>
        <w:tblLook w:val="04A0" w:firstRow="1" w:lastRow="0" w:firstColumn="1" w:lastColumn="0" w:noHBand="0" w:noVBand="1"/>
      </w:tblPr>
      <w:tblGrid>
        <w:gridCol w:w="2122"/>
        <w:gridCol w:w="1018"/>
        <w:gridCol w:w="530"/>
        <w:gridCol w:w="1863"/>
        <w:gridCol w:w="1197"/>
        <w:gridCol w:w="1197"/>
      </w:tblGrid>
      <w:tr w:rsidR="00F4724C" w14:paraId="2209C124" w14:textId="77777777" w:rsidTr="00F4724C">
        <w:trPr>
          <w:trHeight w:val="300"/>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1F712AF6"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018" w:type="dxa"/>
            <w:tcBorders>
              <w:top w:val="single" w:sz="4" w:space="0" w:color="auto"/>
              <w:left w:val="nil"/>
              <w:bottom w:val="single" w:sz="4" w:space="0" w:color="auto"/>
              <w:right w:val="single" w:sz="4" w:space="0" w:color="auto"/>
            </w:tcBorders>
            <w:noWrap/>
            <w:vAlign w:val="bottom"/>
            <w:hideMark/>
          </w:tcPr>
          <w:p w14:paraId="5389F443"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noWrap/>
            <w:vAlign w:val="bottom"/>
            <w:hideMark/>
          </w:tcPr>
          <w:p w14:paraId="6E6C8075"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63" w:type="dxa"/>
            <w:tcBorders>
              <w:top w:val="single" w:sz="4" w:space="0" w:color="auto"/>
              <w:left w:val="nil"/>
              <w:bottom w:val="single" w:sz="4" w:space="0" w:color="auto"/>
              <w:right w:val="single" w:sz="4" w:space="0" w:color="auto"/>
            </w:tcBorders>
            <w:noWrap/>
            <w:vAlign w:val="bottom"/>
            <w:hideMark/>
          </w:tcPr>
          <w:p w14:paraId="53890BB4"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197" w:type="dxa"/>
            <w:tcBorders>
              <w:top w:val="single" w:sz="4" w:space="0" w:color="auto"/>
              <w:left w:val="single" w:sz="4" w:space="0" w:color="auto"/>
              <w:bottom w:val="single" w:sz="4" w:space="0" w:color="auto"/>
              <w:right w:val="nil"/>
            </w:tcBorders>
            <w:noWrap/>
            <w:vAlign w:val="bottom"/>
            <w:hideMark/>
          </w:tcPr>
          <w:p w14:paraId="4B92D454" w14:textId="77777777" w:rsidR="00F4724C" w:rsidRDefault="00F4724C" w:rsidP="003F06B8">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197" w:type="dxa"/>
            <w:tcBorders>
              <w:top w:val="single" w:sz="4" w:space="0" w:color="auto"/>
              <w:left w:val="nil"/>
              <w:bottom w:val="single" w:sz="4" w:space="0" w:color="auto"/>
              <w:right w:val="single" w:sz="4" w:space="0" w:color="auto"/>
            </w:tcBorders>
            <w:noWrap/>
            <w:vAlign w:val="bottom"/>
            <w:hideMark/>
          </w:tcPr>
          <w:p w14:paraId="5AE86F7C" w14:textId="77777777" w:rsidR="00F4724C" w:rsidRDefault="00F4724C" w:rsidP="003F06B8">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68A30BF2"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6B43346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018" w:type="dxa"/>
            <w:tcBorders>
              <w:top w:val="nil"/>
              <w:left w:val="nil"/>
              <w:bottom w:val="single" w:sz="4" w:space="0" w:color="auto"/>
              <w:right w:val="single" w:sz="4" w:space="0" w:color="auto"/>
            </w:tcBorders>
            <w:noWrap/>
            <w:vAlign w:val="bottom"/>
            <w:hideMark/>
          </w:tcPr>
          <w:p w14:paraId="0C3F3C3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78,69</w:t>
            </w:r>
          </w:p>
        </w:tc>
        <w:tc>
          <w:tcPr>
            <w:tcW w:w="530" w:type="dxa"/>
            <w:tcBorders>
              <w:top w:val="nil"/>
              <w:left w:val="nil"/>
              <w:bottom w:val="single" w:sz="4" w:space="0" w:color="auto"/>
              <w:right w:val="single" w:sz="4" w:space="0" w:color="auto"/>
            </w:tcBorders>
            <w:noWrap/>
            <w:vAlign w:val="bottom"/>
            <w:hideMark/>
          </w:tcPr>
          <w:p w14:paraId="70F53B1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863" w:type="dxa"/>
            <w:tcBorders>
              <w:top w:val="nil"/>
              <w:left w:val="nil"/>
              <w:bottom w:val="single" w:sz="4" w:space="0" w:color="auto"/>
              <w:right w:val="single" w:sz="4" w:space="0" w:color="auto"/>
            </w:tcBorders>
            <w:noWrap/>
            <w:vAlign w:val="bottom"/>
            <w:hideMark/>
          </w:tcPr>
          <w:p w14:paraId="0AE8643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5,88</w:t>
            </w:r>
          </w:p>
        </w:tc>
        <w:tc>
          <w:tcPr>
            <w:tcW w:w="1197" w:type="dxa"/>
            <w:tcBorders>
              <w:top w:val="single" w:sz="4" w:space="0" w:color="auto"/>
              <w:left w:val="nil"/>
              <w:bottom w:val="single" w:sz="4" w:space="0" w:color="auto"/>
              <w:right w:val="single" w:sz="4" w:space="0" w:color="auto"/>
            </w:tcBorders>
            <w:noWrap/>
            <w:vAlign w:val="bottom"/>
            <w:hideMark/>
          </w:tcPr>
          <w:p w14:paraId="1058F52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single" w:sz="4" w:space="0" w:color="auto"/>
              <w:left w:val="nil"/>
              <w:bottom w:val="single" w:sz="4" w:space="0" w:color="auto"/>
              <w:right w:val="single" w:sz="4" w:space="0" w:color="auto"/>
            </w:tcBorders>
            <w:noWrap/>
            <w:vAlign w:val="bottom"/>
            <w:hideMark/>
          </w:tcPr>
          <w:p w14:paraId="3FC0F5D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2351792B"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520E258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018" w:type="dxa"/>
            <w:tcBorders>
              <w:top w:val="nil"/>
              <w:left w:val="nil"/>
              <w:bottom w:val="single" w:sz="4" w:space="0" w:color="auto"/>
              <w:right w:val="single" w:sz="4" w:space="0" w:color="auto"/>
            </w:tcBorders>
            <w:noWrap/>
            <w:vAlign w:val="bottom"/>
            <w:hideMark/>
          </w:tcPr>
          <w:p w14:paraId="03C23AA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81,33</w:t>
            </w:r>
          </w:p>
        </w:tc>
        <w:tc>
          <w:tcPr>
            <w:tcW w:w="530" w:type="dxa"/>
            <w:tcBorders>
              <w:top w:val="nil"/>
              <w:left w:val="nil"/>
              <w:bottom w:val="single" w:sz="4" w:space="0" w:color="auto"/>
              <w:right w:val="single" w:sz="4" w:space="0" w:color="auto"/>
            </w:tcBorders>
            <w:noWrap/>
            <w:vAlign w:val="bottom"/>
            <w:hideMark/>
          </w:tcPr>
          <w:p w14:paraId="4D51029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63" w:type="dxa"/>
            <w:tcBorders>
              <w:top w:val="nil"/>
              <w:left w:val="nil"/>
              <w:bottom w:val="single" w:sz="4" w:space="0" w:color="auto"/>
              <w:right w:val="single" w:sz="4" w:space="0" w:color="auto"/>
            </w:tcBorders>
            <w:noWrap/>
            <w:vAlign w:val="bottom"/>
            <w:hideMark/>
          </w:tcPr>
          <w:p w14:paraId="37DE3B1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4,84</w:t>
            </w:r>
          </w:p>
        </w:tc>
        <w:tc>
          <w:tcPr>
            <w:tcW w:w="1197" w:type="dxa"/>
            <w:tcBorders>
              <w:top w:val="nil"/>
              <w:left w:val="nil"/>
              <w:bottom w:val="single" w:sz="4" w:space="0" w:color="auto"/>
              <w:right w:val="single" w:sz="4" w:space="0" w:color="auto"/>
            </w:tcBorders>
            <w:noWrap/>
            <w:vAlign w:val="bottom"/>
            <w:hideMark/>
          </w:tcPr>
          <w:p w14:paraId="638DDD6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nil"/>
              <w:left w:val="nil"/>
              <w:bottom w:val="single" w:sz="4" w:space="0" w:color="auto"/>
              <w:right w:val="single" w:sz="4" w:space="0" w:color="auto"/>
            </w:tcBorders>
            <w:noWrap/>
            <w:vAlign w:val="bottom"/>
            <w:hideMark/>
          </w:tcPr>
          <w:p w14:paraId="5474E3B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0ACAC18F"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07A2203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018" w:type="dxa"/>
            <w:tcBorders>
              <w:top w:val="nil"/>
              <w:left w:val="nil"/>
              <w:bottom w:val="single" w:sz="4" w:space="0" w:color="auto"/>
              <w:right w:val="single" w:sz="4" w:space="0" w:color="auto"/>
            </w:tcBorders>
            <w:noWrap/>
            <w:vAlign w:val="bottom"/>
            <w:hideMark/>
          </w:tcPr>
          <w:p w14:paraId="71BBB82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84,91</w:t>
            </w:r>
          </w:p>
        </w:tc>
        <w:tc>
          <w:tcPr>
            <w:tcW w:w="530" w:type="dxa"/>
            <w:tcBorders>
              <w:top w:val="nil"/>
              <w:left w:val="nil"/>
              <w:bottom w:val="single" w:sz="4" w:space="0" w:color="auto"/>
              <w:right w:val="single" w:sz="4" w:space="0" w:color="auto"/>
            </w:tcBorders>
            <w:noWrap/>
            <w:vAlign w:val="bottom"/>
            <w:hideMark/>
          </w:tcPr>
          <w:p w14:paraId="49946A8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863" w:type="dxa"/>
            <w:tcBorders>
              <w:top w:val="nil"/>
              <w:left w:val="nil"/>
              <w:bottom w:val="single" w:sz="4" w:space="0" w:color="auto"/>
              <w:right w:val="single" w:sz="4" w:space="0" w:color="auto"/>
            </w:tcBorders>
            <w:noWrap/>
            <w:vAlign w:val="bottom"/>
            <w:hideMark/>
          </w:tcPr>
          <w:p w14:paraId="5DC7F6CA"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2,93</w:t>
            </w:r>
          </w:p>
        </w:tc>
        <w:tc>
          <w:tcPr>
            <w:tcW w:w="1197" w:type="dxa"/>
            <w:tcBorders>
              <w:top w:val="nil"/>
              <w:left w:val="nil"/>
              <w:bottom w:val="single" w:sz="4" w:space="0" w:color="auto"/>
              <w:right w:val="single" w:sz="4" w:space="0" w:color="auto"/>
            </w:tcBorders>
            <w:noWrap/>
            <w:vAlign w:val="bottom"/>
            <w:hideMark/>
          </w:tcPr>
          <w:p w14:paraId="5B53883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nil"/>
              <w:left w:val="nil"/>
              <w:bottom w:val="single" w:sz="4" w:space="0" w:color="auto"/>
              <w:right w:val="single" w:sz="4" w:space="0" w:color="auto"/>
            </w:tcBorders>
            <w:noWrap/>
            <w:vAlign w:val="bottom"/>
            <w:hideMark/>
          </w:tcPr>
          <w:p w14:paraId="2E9E525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6CA5BB8A"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1F70438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018" w:type="dxa"/>
            <w:tcBorders>
              <w:top w:val="nil"/>
              <w:left w:val="nil"/>
              <w:bottom w:val="single" w:sz="4" w:space="0" w:color="auto"/>
              <w:right w:val="single" w:sz="4" w:space="0" w:color="auto"/>
            </w:tcBorders>
            <w:noWrap/>
            <w:vAlign w:val="bottom"/>
            <w:hideMark/>
          </w:tcPr>
          <w:p w14:paraId="30DB247A"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100,17</w:t>
            </w:r>
          </w:p>
        </w:tc>
        <w:tc>
          <w:tcPr>
            <w:tcW w:w="530" w:type="dxa"/>
            <w:tcBorders>
              <w:top w:val="nil"/>
              <w:left w:val="nil"/>
              <w:bottom w:val="single" w:sz="4" w:space="0" w:color="auto"/>
              <w:right w:val="single" w:sz="4" w:space="0" w:color="auto"/>
            </w:tcBorders>
            <w:noWrap/>
            <w:vAlign w:val="bottom"/>
            <w:hideMark/>
          </w:tcPr>
          <w:p w14:paraId="62132A0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63" w:type="dxa"/>
            <w:tcBorders>
              <w:top w:val="nil"/>
              <w:left w:val="nil"/>
              <w:bottom w:val="single" w:sz="4" w:space="0" w:color="auto"/>
              <w:right w:val="single" w:sz="4" w:space="0" w:color="auto"/>
            </w:tcBorders>
            <w:noWrap/>
            <w:vAlign w:val="bottom"/>
            <w:hideMark/>
          </w:tcPr>
          <w:p w14:paraId="143FE98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16,63</w:t>
            </w:r>
          </w:p>
        </w:tc>
        <w:tc>
          <w:tcPr>
            <w:tcW w:w="1197" w:type="dxa"/>
            <w:tcBorders>
              <w:top w:val="nil"/>
              <w:left w:val="nil"/>
              <w:bottom w:val="single" w:sz="4" w:space="0" w:color="auto"/>
              <w:right w:val="single" w:sz="4" w:space="0" w:color="auto"/>
            </w:tcBorders>
            <w:noWrap/>
            <w:vAlign w:val="bottom"/>
            <w:hideMark/>
          </w:tcPr>
          <w:p w14:paraId="72EE55C6"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7" w:type="dxa"/>
            <w:tcBorders>
              <w:top w:val="nil"/>
              <w:left w:val="nil"/>
              <w:bottom w:val="single" w:sz="4" w:space="0" w:color="auto"/>
              <w:right w:val="single" w:sz="4" w:space="0" w:color="auto"/>
            </w:tcBorders>
            <w:noWrap/>
            <w:vAlign w:val="bottom"/>
            <w:hideMark/>
          </w:tcPr>
          <w:p w14:paraId="3C5D918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3562766E"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2D189DD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018" w:type="dxa"/>
            <w:tcBorders>
              <w:top w:val="nil"/>
              <w:left w:val="nil"/>
              <w:bottom w:val="single" w:sz="4" w:space="0" w:color="auto"/>
              <w:right w:val="single" w:sz="4" w:space="0" w:color="auto"/>
            </w:tcBorders>
            <w:noWrap/>
            <w:vAlign w:val="bottom"/>
            <w:hideMark/>
          </w:tcPr>
          <w:p w14:paraId="246CDD2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101,22</w:t>
            </w:r>
          </w:p>
        </w:tc>
        <w:tc>
          <w:tcPr>
            <w:tcW w:w="530" w:type="dxa"/>
            <w:tcBorders>
              <w:top w:val="nil"/>
              <w:left w:val="nil"/>
              <w:bottom w:val="single" w:sz="4" w:space="0" w:color="auto"/>
              <w:right w:val="single" w:sz="4" w:space="0" w:color="auto"/>
            </w:tcBorders>
            <w:noWrap/>
            <w:vAlign w:val="bottom"/>
            <w:hideMark/>
          </w:tcPr>
          <w:p w14:paraId="7F6D385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63" w:type="dxa"/>
            <w:tcBorders>
              <w:top w:val="nil"/>
              <w:left w:val="nil"/>
              <w:bottom w:val="single" w:sz="4" w:space="0" w:color="auto"/>
              <w:right w:val="single" w:sz="4" w:space="0" w:color="auto"/>
            </w:tcBorders>
            <w:noWrap/>
            <w:vAlign w:val="bottom"/>
            <w:hideMark/>
          </w:tcPr>
          <w:p w14:paraId="1C18837C"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3,68</w:t>
            </w:r>
          </w:p>
        </w:tc>
        <w:tc>
          <w:tcPr>
            <w:tcW w:w="1197" w:type="dxa"/>
            <w:tcBorders>
              <w:top w:val="nil"/>
              <w:left w:val="nil"/>
              <w:bottom w:val="single" w:sz="4" w:space="0" w:color="auto"/>
              <w:right w:val="single" w:sz="4" w:space="0" w:color="auto"/>
            </w:tcBorders>
            <w:noWrap/>
            <w:vAlign w:val="bottom"/>
            <w:hideMark/>
          </w:tcPr>
          <w:p w14:paraId="7378DFF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7" w:type="dxa"/>
            <w:tcBorders>
              <w:top w:val="nil"/>
              <w:left w:val="nil"/>
              <w:bottom w:val="single" w:sz="4" w:space="0" w:color="auto"/>
              <w:right w:val="single" w:sz="4" w:space="0" w:color="auto"/>
            </w:tcBorders>
            <w:noWrap/>
            <w:vAlign w:val="bottom"/>
            <w:hideMark/>
          </w:tcPr>
          <w:p w14:paraId="7F352892"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3FA4E451" w14:textId="77777777" w:rsidTr="00F4724C">
        <w:trPr>
          <w:trHeight w:val="300"/>
        </w:trPr>
        <w:tc>
          <w:tcPr>
            <w:tcW w:w="2122" w:type="dxa"/>
            <w:tcBorders>
              <w:top w:val="nil"/>
              <w:left w:val="single" w:sz="4" w:space="0" w:color="auto"/>
              <w:bottom w:val="single" w:sz="4" w:space="0" w:color="auto"/>
              <w:right w:val="single" w:sz="4" w:space="0" w:color="auto"/>
            </w:tcBorders>
            <w:noWrap/>
            <w:vAlign w:val="bottom"/>
            <w:hideMark/>
          </w:tcPr>
          <w:p w14:paraId="1D662A8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018" w:type="dxa"/>
            <w:tcBorders>
              <w:top w:val="nil"/>
              <w:left w:val="nil"/>
              <w:bottom w:val="single" w:sz="4" w:space="0" w:color="auto"/>
              <w:right w:val="single" w:sz="4" w:space="0" w:color="auto"/>
            </w:tcBorders>
            <w:noWrap/>
            <w:vAlign w:val="bottom"/>
            <w:hideMark/>
          </w:tcPr>
          <w:p w14:paraId="7379A12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127,87</w:t>
            </w:r>
          </w:p>
        </w:tc>
        <w:tc>
          <w:tcPr>
            <w:tcW w:w="530" w:type="dxa"/>
            <w:tcBorders>
              <w:top w:val="nil"/>
              <w:left w:val="nil"/>
              <w:bottom w:val="single" w:sz="4" w:space="0" w:color="auto"/>
              <w:right w:val="single" w:sz="4" w:space="0" w:color="auto"/>
            </w:tcBorders>
            <w:noWrap/>
            <w:vAlign w:val="bottom"/>
            <w:hideMark/>
          </w:tcPr>
          <w:p w14:paraId="1C29476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863" w:type="dxa"/>
            <w:tcBorders>
              <w:top w:val="nil"/>
              <w:left w:val="nil"/>
              <w:bottom w:val="single" w:sz="4" w:space="0" w:color="auto"/>
              <w:right w:val="single" w:sz="4" w:space="0" w:color="auto"/>
            </w:tcBorders>
            <w:noWrap/>
            <w:vAlign w:val="bottom"/>
            <w:hideMark/>
          </w:tcPr>
          <w:p w14:paraId="76A48D8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9,6</w:t>
            </w:r>
          </w:p>
        </w:tc>
        <w:tc>
          <w:tcPr>
            <w:tcW w:w="1197" w:type="dxa"/>
            <w:tcBorders>
              <w:top w:val="nil"/>
              <w:left w:val="nil"/>
              <w:bottom w:val="single" w:sz="4" w:space="0" w:color="auto"/>
              <w:right w:val="single" w:sz="4" w:space="0" w:color="auto"/>
            </w:tcBorders>
            <w:noWrap/>
            <w:vAlign w:val="bottom"/>
            <w:hideMark/>
          </w:tcPr>
          <w:p w14:paraId="21D6A22E"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7" w:type="dxa"/>
            <w:tcBorders>
              <w:top w:val="nil"/>
              <w:left w:val="nil"/>
              <w:bottom w:val="single" w:sz="4" w:space="0" w:color="auto"/>
              <w:right w:val="single" w:sz="4" w:space="0" w:color="auto"/>
            </w:tcBorders>
            <w:noWrap/>
            <w:vAlign w:val="bottom"/>
            <w:hideMark/>
          </w:tcPr>
          <w:p w14:paraId="4218774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1028C17D" w14:textId="276FB10D" w:rsidR="00D35FEF" w:rsidRPr="00D35FEF" w:rsidRDefault="00D35FEF" w:rsidP="004C6FDC">
      <w:pPr>
        <w:pStyle w:val="Descripcin"/>
        <w:keepNext/>
        <w:spacing w:before="360"/>
        <w:rPr>
          <w:rFonts w:cs="Times New Roman"/>
          <w:i w:val="0"/>
          <w:iCs w:val="0"/>
          <w:color w:val="auto"/>
          <w:sz w:val="24"/>
          <w:szCs w:val="24"/>
          <w:lang w:eastAsia="en-US"/>
        </w:rPr>
      </w:pPr>
      <w:bookmarkStart w:id="1613" w:name="_Toc79314075"/>
      <w:r w:rsidRPr="00D35FEF">
        <w:rPr>
          <w:rFonts w:cs="Times New Roman"/>
          <w:b/>
          <w:i w:val="0"/>
          <w:iCs w:val="0"/>
          <w:color w:val="auto"/>
          <w:sz w:val="24"/>
          <w:szCs w:val="24"/>
          <w:lang w:eastAsia="en-US"/>
        </w:rPr>
        <w:t xml:space="preserve">Cuadro </w:t>
      </w:r>
      <w:r w:rsidRPr="00D35FEF">
        <w:rPr>
          <w:rFonts w:cs="Times New Roman"/>
          <w:b/>
          <w:i w:val="0"/>
          <w:iCs w:val="0"/>
          <w:color w:val="auto"/>
          <w:sz w:val="24"/>
          <w:szCs w:val="24"/>
          <w:lang w:eastAsia="en-US"/>
        </w:rPr>
        <w:fldChar w:fldCharType="begin"/>
      </w:r>
      <w:r w:rsidRPr="00D35FEF">
        <w:rPr>
          <w:rFonts w:cs="Times New Roman"/>
          <w:b/>
          <w:i w:val="0"/>
          <w:iCs w:val="0"/>
          <w:color w:val="auto"/>
          <w:sz w:val="24"/>
          <w:szCs w:val="24"/>
          <w:lang w:eastAsia="en-US"/>
        </w:rPr>
        <w:instrText xml:space="preserve"> SEQ Cuadro \* ARABIC </w:instrText>
      </w:r>
      <w:r w:rsidRPr="00D35FEF">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83</w:t>
      </w:r>
      <w:r w:rsidRPr="00D35FEF">
        <w:rPr>
          <w:rFonts w:cs="Times New Roman"/>
          <w:b/>
          <w:i w:val="0"/>
          <w:iCs w:val="0"/>
          <w:color w:val="auto"/>
          <w:sz w:val="24"/>
          <w:szCs w:val="24"/>
          <w:lang w:eastAsia="en-US"/>
        </w:rPr>
        <w:fldChar w:fldCharType="end"/>
      </w:r>
      <w:r w:rsidRPr="00D35FEF">
        <w:rPr>
          <w:rFonts w:cs="Times New Roman"/>
          <w:b/>
          <w:i w:val="0"/>
          <w:iCs w:val="0"/>
          <w:color w:val="auto"/>
          <w:sz w:val="24"/>
          <w:szCs w:val="24"/>
          <w:lang w:eastAsia="en-US"/>
        </w:rPr>
        <w:t xml:space="preserve">. </w:t>
      </w:r>
      <w:r w:rsidRPr="00D35FEF">
        <w:rPr>
          <w:rFonts w:cs="Times New Roman"/>
          <w:i w:val="0"/>
          <w:iCs w:val="0"/>
          <w:color w:val="auto"/>
          <w:sz w:val="24"/>
          <w:szCs w:val="24"/>
          <w:lang w:eastAsia="en-US"/>
        </w:rPr>
        <w:t>Absorción total de potasio para diversas dosis de potasio evaluadas en la provincia de Chimborazo 2012-2014.</w:t>
      </w:r>
      <w:bookmarkEnd w:id="1613"/>
    </w:p>
    <w:tbl>
      <w:tblPr>
        <w:tblW w:w="5267" w:type="dxa"/>
        <w:jc w:val="center"/>
        <w:tblCellMar>
          <w:left w:w="70" w:type="dxa"/>
          <w:right w:w="70" w:type="dxa"/>
        </w:tblCellMar>
        <w:tblLook w:val="04A0" w:firstRow="1" w:lastRow="0" w:firstColumn="1" w:lastColumn="0" w:noHBand="0" w:noVBand="1"/>
      </w:tblPr>
      <w:tblGrid>
        <w:gridCol w:w="1980"/>
        <w:gridCol w:w="887"/>
        <w:gridCol w:w="672"/>
        <w:gridCol w:w="1728"/>
      </w:tblGrid>
      <w:tr w:rsidR="00F4724C" w14:paraId="1E6C6F12" w14:textId="77777777" w:rsidTr="005A49B7">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CF40CFB"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09A2B129"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4173194F"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779EB401" w14:textId="77777777" w:rsidR="00F4724C" w:rsidRDefault="00F4724C" w:rsidP="003F06B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7291AE73"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0EDBDCF"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7B9797D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82,25</w:t>
            </w:r>
          </w:p>
        </w:tc>
        <w:tc>
          <w:tcPr>
            <w:tcW w:w="672" w:type="dxa"/>
            <w:tcBorders>
              <w:top w:val="nil"/>
              <w:left w:val="nil"/>
              <w:bottom w:val="single" w:sz="4" w:space="0" w:color="auto"/>
              <w:right w:val="single" w:sz="4" w:space="0" w:color="auto"/>
            </w:tcBorders>
            <w:noWrap/>
            <w:vAlign w:val="bottom"/>
            <w:hideMark/>
          </w:tcPr>
          <w:p w14:paraId="01A93E0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28" w:type="dxa"/>
            <w:tcBorders>
              <w:top w:val="nil"/>
              <w:left w:val="nil"/>
              <w:bottom w:val="single" w:sz="4" w:space="0" w:color="auto"/>
              <w:right w:val="single" w:sz="4" w:space="0" w:color="auto"/>
            </w:tcBorders>
            <w:noWrap/>
            <w:vAlign w:val="bottom"/>
            <w:hideMark/>
          </w:tcPr>
          <w:p w14:paraId="54BD05BB"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4,84</w:t>
            </w:r>
          </w:p>
        </w:tc>
      </w:tr>
      <w:tr w:rsidR="00F4724C" w14:paraId="0A60A1AB"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9DE5D1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42A57FF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82,47</w:t>
            </w:r>
          </w:p>
        </w:tc>
        <w:tc>
          <w:tcPr>
            <w:tcW w:w="672" w:type="dxa"/>
            <w:tcBorders>
              <w:top w:val="nil"/>
              <w:left w:val="nil"/>
              <w:bottom w:val="single" w:sz="4" w:space="0" w:color="auto"/>
              <w:right w:val="single" w:sz="4" w:space="0" w:color="auto"/>
            </w:tcBorders>
            <w:noWrap/>
            <w:vAlign w:val="bottom"/>
            <w:hideMark/>
          </w:tcPr>
          <w:p w14:paraId="6229F27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728" w:type="dxa"/>
            <w:tcBorders>
              <w:top w:val="nil"/>
              <w:left w:val="nil"/>
              <w:bottom w:val="single" w:sz="4" w:space="0" w:color="auto"/>
              <w:right w:val="single" w:sz="4" w:space="0" w:color="auto"/>
            </w:tcBorders>
            <w:noWrap/>
            <w:vAlign w:val="bottom"/>
            <w:hideMark/>
          </w:tcPr>
          <w:p w14:paraId="7E4724E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2,93</w:t>
            </w:r>
          </w:p>
        </w:tc>
      </w:tr>
      <w:tr w:rsidR="00F4724C" w14:paraId="53E62B98"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826E37B"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46F1AEAA"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92,99</w:t>
            </w:r>
          </w:p>
        </w:tc>
        <w:tc>
          <w:tcPr>
            <w:tcW w:w="672" w:type="dxa"/>
            <w:tcBorders>
              <w:top w:val="nil"/>
              <w:left w:val="nil"/>
              <w:bottom w:val="single" w:sz="4" w:space="0" w:color="auto"/>
              <w:right w:val="single" w:sz="4" w:space="0" w:color="auto"/>
            </w:tcBorders>
            <w:noWrap/>
            <w:vAlign w:val="bottom"/>
            <w:hideMark/>
          </w:tcPr>
          <w:p w14:paraId="40C6867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728" w:type="dxa"/>
            <w:tcBorders>
              <w:top w:val="nil"/>
              <w:left w:val="nil"/>
              <w:bottom w:val="single" w:sz="4" w:space="0" w:color="auto"/>
              <w:right w:val="single" w:sz="4" w:space="0" w:color="auto"/>
            </w:tcBorders>
            <w:noWrap/>
            <w:vAlign w:val="bottom"/>
            <w:hideMark/>
          </w:tcPr>
          <w:p w14:paraId="1B20C9B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5,01</w:t>
            </w:r>
          </w:p>
        </w:tc>
      </w:tr>
      <w:tr w:rsidR="00F4724C" w14:paraId="6B9D4F2F"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0234B13"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2503DE1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97,16</w:t>
            </w:r>
          </w:p>
        </w:tc>
        <w:tc>
          <w:tcPr>
            <w:tcW w:w="672" w:type="dxa"/>
            <w:tcBorders>
              <w:top w:val="nil"/>
              <w:left w:val="nil"/>
              <w:bottom w:val="single" w:sz="4" w:space="0" w:color="auto"/>
              <w:right w:val="single" w:sz="4" w:space="0" w:color="auto"/>
            </w:tcBorders>
            <w:noWrap/>
            <w:vAlign w:val="bottom"/>
            <w:hideMark/>
          </w:tcPr>
          <w:p w14:paraId="206CB99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728" w:type="dxa"/>
            <w:tcBorders>
              <w:top w:val="nil"/>
              <w:left w:val="nil"/>
              <w:bottom w:val="single" w:sz="4" w:space="0" w:color="auto"/>
              <w:right w:val="single" w:sz="4" w:space="0" w:color="auto"/>
            </w:tcBorders>
            <w:noWrap/>
            <w:vAlign w:val="bottom"/>
            <w:hideMark/>
          </w:tcPr>
          <w:p w14:paraId="061841B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4,26</w:t>
            </w:r>
          </w:p>
        </w:tc>
      </w:tr>
      <w:tr w:rsidR="00F4724C" w14:paraId="2AC53E17"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CF3B224"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887" w:type="dxa"/>
            <w:tcBorders>
              <w:top w:val="nil"/>
              <w:left w:val="nil"/>
              <w:bottom w:val="single" w:sz="4" w:space="0" w:color="auto"/>
              <w:right w:val="single" w:sz="4" w:space="0" w:color="auto"/>
            </w:tcBorders>
            <w:noWrap/>
            <w:vAlign w:val="bottom"/>
            <w:hideMark/>
          </w:tcPr>
          <w:p w14:paraId="7C05D07D"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100,17</w:t>
            </w:r>
          </w:p>
        </w:tc>
        <w:tc>
          <w:tcPr>
            <w:tcW w:w="672" w:type="dxa"/>
            <w:tcBorders>
              <w:top w:val="nil"/>
              <w:left w:val="nil"/>
              <w:bottom w:val="single" w:sz="4" w:space="0" w:color="auto"/>
              <w:right w:val="single" w:sz="4" w:space="0" w:color="auto"/>
            </w:tcBorders>
            <w:noWrap/>
            <w:vAlign w:val="bottom"/>
            <w:hideMark/>
          </w:tcPr>
          <w:p w14:paraId="061C3B35"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04181409"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16,63</w:t>
            </w:r>
          </w:p>
        </w:tc>
      </w:tr>
      <w:tr w:rsidR="00F4724C" w14:paraId="52AEE620"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BEBC142"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4E61F71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115,44</w:t>
            </w:r>
          </w:p>
        </w:tc>
        <w:tc>
          <w:tcPr>
            <w:tcW w:w="672" w:type="dxa"/>
            <w:tcBorders>
              <w:top w:val="nil"/>
              <w:left w:val="nil"/>
              <w:bottom w:val="single" w:sz="4" w:space="0" w:color="auto"/>
              <w:right w:val="single" w:sz="4" w:space="0" w:color="auto"/>
            </w:tcBorders>
            <w:noWrap/>
            <w:vAlign w:val="bottom"/>
            <w:hideMark/>
          </w:tcPr>
          <w:p w14:paraId="1F5004D8"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728" w:type="dxa"/>
            <w:tcBorders>
              <w:top w:val="nil"/>
              <w:left w:val="nil"/>
              <w:bottom w:val="single" w:sz="4" w:space="0" w:color="auto"/>
              <w:right w:val="single" w:sz="4" w:space="0" w:color="auto"/>
            </w:tcBorders>
            <w:noWrap/>
            <w:vAlign w:val="bottom"/>
            <w:hideMark/>
          </w:tcPr>
          <w:p w14:paraId="5BD698C0" w14:textId="77777777" w:rsidR="00F4724C" w:rsidRDefault="00F4724C" w:rsidP="003F06B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6,79</w:t>
            </w:r>
          </w:p>
        </w:tc>
      </w:tr>
    </w:tbl>
    <w:p w14:paraId="4D9F1B28" w14:textId="77777777" w:rsidR="004C6FDC" w:rsidRDefault="00F4724C" w:rsidP="004C6FDC">
      <w:pPr>
        <w:autoSpaceDE w:val="0"/>
        <w:autoSpaceDN w:val="0"/>
        <w:adjustRightInd w:val="0"/>
        <w:spacing w:before="360" w:after="0" w:line="360" w:lineRule="auto"/>
        <w:rPr>
          <w:rFonts w:cs="Times New Roman"/>
          <w:szCs w:val="24"/>
        </w:rPr>
      </w:pPr>
      <w:r>
        <w:rPr>
          <w:rFonts w:cs="Times New Roman"/>
          <w:szCs w:val="24"/>
        </w:rPr>
        <w:lastRenderedPageBreak/>
        <w:t>Sin la aplicación de potasio, el promedio obtenido es superior que cuando se aplican 40 kg/ha</w:t>
      </w:r>
      <w:r>
        <w:rPr>
          <w:rFonts w:cs="Times New Roman"/>
          <w:szCs w:val="24"/>
          <w:vertAlign w:val="superscript"/>
        </w:rPr>
        <w:t>-1</w:t>
      </w:r>
      <w:r>
        <w:rPr>
          <w:rFonts w:cs="Times New Roman"/>
          <w:szCs w:val="24"/>
        </w:rPr>
        <w:t xml:space="preserve">, por lo que no se percibe una relación directa entre las dosis empleadas y el promedio obtenido.  </w:t>
      </w:r>
      <w:bookmarkStart w:id="1614" w:name="_Toc79314076"/>
    </w:p>
    <w:p w14:paraId="115748FE" w14:textId="11427264" w:rsidR="00D35FEF" w:rsidRPr="004C6FDC" w:rsidRDefault="00D35FEF" w:rsidP="004C6FDC">
      <w:pPr>
        <w:autoSpaceDE w:val="0"/>
        <w:autoSpaceDN w:val="0"/>
        <w:adjustRightInd w:val="0"/>
        <w:spacing w:before="360" w:after="0" w:line="360" w:lineRule="auto"/>
        <w:rPr>
          <w:rFonts w:cs="Times New Roman"/>
          <w:szCs w:val="24"/>
        </w:rPr>
      </w:pPr>
      <w:r w:rsidRPr="00D35FEF">
        <w:rPr>
          <w:rFonts w:cs="Times New Roman"/>
          <w:b/>
          <w:szCs w:val="24"/>
        </w:rPr>
        <w:t xml:space="preserve">Cuadro </w:t>
      </w:r>
      <w:r w:rsidRPr="00D35FEF">
        <w:rPr>
          <w:rFonts w:cs="Times New Roman"/>
          <w:b/>
          <w:i/>
          <w:iCs/>
          <w:szCs w:val="24"/>
        </w:rPr>
        <w:fldChar w:fldCharType="begin"/>
      </w:r>
      <w:r w:rsidRPr="00D35FEF">
        <w:rPr>
          <w:rFonts w:cs="Times New Roman"/>
          <w:b/>
          <w:szCs w:val="24"/>
        </w:rPr>
        <w:instrText xml:space="preserve"> SEQ Cuadro \* ARABIC </w:instrText>
      </w:r>
      <w:r w:rsidRPr="00D35FEF">
        <w:rPr>
          <w:rFonts w:cs="Times New Roman"/>
          <w:b/>
          <w:i/>
          <w:iCs/>
          <w:szCs w:val="24"/>
        </w:rPr>
        <w:fldChar w:fldCharType="separate"/>
      </w:r>
      <w:r w:rsidR="000D1F55">
        <w:rPr>
          <w:rFonts w:cs="Times New Roman"/>
          <w:b/>
          <w:noProof/>
          <w:szCs w:val="24"/>
        </w:rPr>
        <w:t>84</w:t>
      </w:r>
      <w:r w:rsidRPr="00D35FEF">
        <w:rPr>
          <w:rFonts w:cs="Times New Roman"/>
          <w:b/>
          <w:i/>
          <w:iCs/>
          <w:szCs w:val="24"/>
        </w:rPr>
        <w:fldChar w:fldCharType="end"/>
      </w:r>
      <w:r w:rsidRPr="00D35FEF">
        <w:rPr>
          <w:rFonts w:cs="Times New Roman"/>
          <w:b/>
          <w:szCs w:val="24"/>
        </w:rPr>
        <w:t>.</w:t>
      </w:r>
      <w:r w:rsidRPr="00D35FEF">
        <w:rPr>
          <w:rFonts w:cs="Times New Roman"/>
          <w:szCs w:val="24"/>
        </w:rPr>
        <w:t xml:space="preserve"> Absorción total de potasio para diversas dosis de azufre evaluadas en la provincia de Chimborazo 2012-2014.</w:t>
      </w:r>
      <w:bookmarkEnd w:id="1614"/>
    </w:p>
    <w:tbl>
      <w:tblPr>
        <w:tblW w:w="5267" w:type="dxa"/>
        <w:jc w:val="center"/>
        <w:tblCellMar>
          <w:left w:w="70" w:type="dxa"/>
          <w:right w:w="70" w:type="dxa"/>
        </w:tblCellMar>
        <w:tblLook w:val="04A0" w:firstRow="1" w:lastRow="0" w:firstColumn="1" w:lastColumn="0" w:noHBand="0" w:noVBand="1"/>
      </w:tblPr>
      <w:tblGrid>
        <w:gridCol w:w="1980"/>
        <w:gridCol w:w="887"/>
        <w:gridCol w:w="672"/>
        <w:gridCol w:w="1728"/>
      </w:tblGrid>
      <w:tr w:rsidR="00F4724C" w14:paraId="26CCE72B" w14:textId="77777777" w:rsidTr="005A49B7">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613478F"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0CAD23A7"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693D63F4"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733080DF"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5D3ED558"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DCD35B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64925FD5"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78,52</w:t>
            </w:r>
          </w:p>
        </w:tc>
        <w:tc>
          <w:tcPr>
            <w:tcW w:w="672" w:type="dxa"/>
            <w:tcBorders>
              <w:top w:val="nil"/>
              <w:left w:val="nil"/>
              <w:bottom w:val="single" w:sz="4" w:space="0" w:color="auto"/>
              <w:right w:val="single" w:sz="4" w:space="0" w:color="auto"/>
            </w:tcBorders>
            <w:noWrap/>
            <w:vAlign w:val="bottom"/>
            <w:hideMark/>
          </w:tcPr>
          <w:p w14:paraId="5E734A9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28" w:type="dxa"/>
            <w:tcBorders>
              <w:top w:val="nil"/>
              <w:left w:val="nil"/>
              <w:bottom w:val="single" w:sz="4" w:space="0" w:color="auto"/>
              <w:right w:val="single" w:sz="4" w:space="0" w:color="auto"/>
            </w:tcBorders>
            <w:noWrap/>
            <w:vAlign w:val="bottom"/>
            <w:hideMark/>
          </w:tcPr>
          <w:p w14:paraId="080259E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4,84</w:t>
            </w:r>
          </w:p>
        </w:tc>
      </w:tr>
      <w:tr w:rsidR="00F4724C" w14:paraId="22A3FF8A"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E8B6B2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559BB839"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83,82</w:t>
            </w:r>
          </w:p>
        </w:tc>
        <w:tc>
          <w:tcPr>
            <w:tcW w:w="672" w:type="dxa"/>
            <w:tcBorders>
              <w:top w:val="nil"/>
              <w:left w:val="nil"/>
              <w:bottom w:val="single" w:sz="4" w:space="0" w:color="auto"/>
              <w:right w:val="single" w:sz="4" w:space="0" w:color="auto"/>
            </w:tcBorders>
            <w:noWrap/>
            <w:vAlign w:val="bottom"/>
            <w:hideMark/>
          </w:tcPr>
          <w:p w14:paraId="51F74DD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w:t>
            </w:r>
          </w:p>
        </w:tc>
        <w:tc>
          <w:tcPr>
            <w:tcW w:w="1728" w:type="dxa"/>
            <w:tcBorders>
              <w:top w:val="nil"/>
              <w:left w:val="nil"/>
              <w:bottom w:val="single" w:sz="4" w:space="0" w:color="auto"/>
              <w:right w:val="single" w:sz="4" w:space="0" w:color="auto"/>
            </w:tcBorders>
            <w:noWrap/>
            <w:vAlign w:val="bottom"/>
            <w:hideMark/>
          </w:tcPr>
          <w:p w14:paraId="17729AA9"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2,89</w:t>
            </w:r>
          </w:p>
        </w:tc>
      </w:tr>
      <w:tr w:rsidR="00F4724C" w14:paraId="4C0F41FF"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88F292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772B673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94,78</w:t>
            </w:r>
          </w:p>
        </w:tc>
        <w:tc>
          <w:tcPr>
            <w:tcW w:w="672" w:type="dxa"/>
            <w:tcBorders>
              <w:top w:val="nil"/>
              <w:left w:val="nil"/>
              <w:bottom w:val="single" w:sz="4" w:space="0" w:color="auto"/>
              <w:right w:val="single" w:sz="4" w:space="0" w:color="auto"/>
            </w:tcBorders>
            <w:noWrap/>
            <w:vAlign w:val="bottom"/>
            <w:hideMark/>
          </w:tcPr>
          <w:p w14:paraId="5724320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728" w:type="dxa"/>
            <w:tcBorders>
              <w:top w:val="nil"/>
              <w:left w:val="nil"/>
              <w:bottom w:val="single" w:sz="4" w:space="0" w:color="auto"/>
              <w:right w:val="single" w:sz="4" w:space="0" w:color="auto"/>
            </w:tcBorders>
            <w:noWrap/>
            <w:vAlign w:val="bottom"/>
            <w:hideMark/>
          </w:tcPr>
          <w:p w14:paraId="229F15A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5,01</w:t>
            </w:r>
          </w:p>
        </w:tc>
      </w:tr>
      <w:tr w:rsidR="00F4724C" w14:paraId="029DEC35" w14:textId="77777777" w:rsidTr="005A49B7">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063BDA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0D6FD71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103,94</w:t>
            </w:r>
          </w:p>
        </w:tc>
        <w:tc>
          <w:tcPr>
            <w:tcW w:w="672" w:type="dxa"/>
            <w:tcBorders>
              <w:top w:val="nil"/>
              <w:left w:val="nil"/>
              <w:bottom w:val="single" w:sz="4" w:space="0" w:color="auto"/>
              <w:right w:val="single" w:sz="4" w:space="0" w:color="auto"/>
            </w:tcBorders>
            <w:noWrap/>
            <w:vAlign w:val="bottom"/>
            <w:hideMark/>
          </w:tcPr>
          <w:p w14:paraId="169A2C0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728" w:type="dxa"/>
            <w:tcBorders>
              <w:top w:val="nil"/>
              <w:left w:val="nil"/>
              <w:bottom w:val="single" w:sz="4" w:space="0" w:color="auto"/>
              <w:right w:val="single" w:sz="4" w:space="0" w:color="auto"/>
            </w:tcBorders>
            <w:noWrap/>
            <w:vAlign w:val="bottom"/>
            <w:hideMark/>
          </w:tcPr>
          <w:p w14:paraId="3398A92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3,68</w:t>
            </w:r>
          </w:p>
        </w:tc>
      </w:tr>
    </w:tbl>
    <w:p w14:paraId="1BA7E766" w14:textId="77777777" w:rsidR="004C6FDC" w:rsidRDefault="00F4724C" w:rsidP="004C6FDC">
      <w:pPr>
        <w:autoSpaceDE w:val="0"/>
        <w:autoSpaceDN w:val="0"/>
        <w:adjustRightInd w:val="0"/>
        <w:spacing w:before="360" w:after="0" w:line="360" w:lineRule="auto"/>
        <w:rPr>
          <w:rFonts w:cs="Times New Roman"/>
          <w:szCs w:val="24"/>
        </w:rPr>
      </w:pPr>
      <w:r>
        <w:rPr>
          <w:rFonts w:cs="Times New Roman"/>
          <w:szCs w:val="24"/>
        </w:rPr>
        <w:t>Se puede ver que aun sin la presencia de azufre, el promedio obtenido es superior a aquel en el que se dosific</w:t>
      </w:r>
      <w:r w:rsidR="00D35FEF">
        <w:rPr>
          <w:rFonts w:cs="Times New Roman"/>
          <w:szCs w:val="24"/>
        </w:rPr>
        <w:t>an 40 medidas de este elemento.</w:t>
      </w:r>
      <w:bookmarkStart w:id="1615" w:name="_Toc79314077"/>
    </w:p>
    <w:p w14:paraId="13FAB51A" w14:textId="45625481" w:rsidR="00D35FEF" w:rsidRPr="004C6FDC" w:rsidRDefault="00D35FEF" w:rsidP="004C6FDC">
      <w:pPr>
        <w:autoSpaceDE w:val="0"/>
        <w:autoSpaceDN w:val="0"/>
        <w:adjustRightInd w:val="0"/>
        <w:spacing w:before="360" w:after="0" w:line="360" w:lineRule="auto"/>
        <w:rPr>
          <w:rFonts w:cs="Times New Roman"/>
          <w:szCs w:val="24"/>
        </w:rPr>
      </w:pPr>
      <w:r w:rsidRPr="00D35FEF">
        <w:rPr>
          <w:rFonts w:cs="Times New Roman"/>
          <w:b/>
          <w:szCs w:val="24"/>
        </w:rPr>
        <w:t xml:space="preserve">Cuadro </w:t>
      </w:r>
      <w:r w:rsidRPr="00D35FEF">
        <w:rPr>
          <w:rFonts w:cs="Times New Roman"/>
          <w:b/>
          <w:i/>
          <w:iCs/>
          <w:szCs w:val="24"/>
        </w:rPr>
        <w:fldChar w:fldCharType="begin"/>
      </w:r>
      <w:r w:rsidRPr="00D35FEF">
        <w:rPr>
          <w:rFonts w:cs="Times New Roman"/>
          <w:b/>
          <w:szCs w:val="24"/>
        </w:rPr>
        <w:instrText xml:space="preserve"> SEQ Cuadro \* ARABIC </w:instrText>
      </w:r>
      <w:r w:rsidRPr="00D35FEF">
        <w:rPr>
          <w:rFonts w:cs="Times New Roman"/>
          <w:b/>
          <w:i/>
          <w:iCs/>
          <w:szCs w:val="24"/>
        </w:rPr>
        <w:fldChar w:fldCharType="separate"/>
      </w:r>
      <w:r w:rsidR="000D1F55">
        <w:rPr>
          <w:rFonts w:cs="Times New Roman"/>
          <w:b/>
          <w:noProof/>
          <w:szCs w:val="24"/>
        </w:rPr>
        <w:t>85</w:t>
      </w:r>
      <w:r w:rsidRPr="00D35FEF">
        <w:rPr>
          <w:rFonts w:cs="Times New Roman"/>
          <w:b/>
          <w:i/>
          <w:iCs/>
          <w:szCs w:val="24"/>
        </w:rPr>
        <w:fldChar w:fldCharType="end"/>
      </w:r>
      <w:r w:rsidRPr="00D35FEF">
        <w:rPr>
          <w:rFonts w:cs="Times New Roman"/>
          <w:b/>
          <w:szCs w:val="24"/>
        </w:rPr>
        <w:t>.</w:t>
      </w:r>
      <w:r w:rsidRPr="00D35FEF">
        <w:rPr>
          <w:rFonts w:cs="Times New Roman"/>
          <w:szCs w:val="24"/>
        </w:rPr>
        <w:t xml:space="preserve"> Absorción total de potasio para diversas dosis de magnesio evaluadas en la provincia de Chimborazo 2012-2014.</w:t>
      </w:r>
      <w:bookmarkEnd w:id="1615"/>
    </w:p>
    <w:tbl>
      <w:tblPr>
        <w:tblW w:w="5000" w:type="pct"/>
        <w:tblCellMar>
          <w:left w:w="70" w:type="dxa"/>
          <w:right w:w="70" w:type="dxa"/>
        </w:tblCellMar>
        <w:tblLook w:val="04A0" w:firstRow="1" w:lastRow="0" w:firstColumn="1" w:lastColumn="0" w:noHBand="0" w:noVBand="1"/>
      </w:tblPr>
      <w:tblGrid>
        <w:gridCol w:w="2041"/>
        <w:gridCol w:w="887"/>
        <w:gridCol w:w="779"/>
        <w:gridCol w:w="1693"/>
        <w:gridCol w:w="761"/>
        <w:gridCol w:w="1127"/>
        <w:gridCol w:w="639"/>
      </w:tblGrid>
      <w:tr w:rsidR="00F4724C" w14:paraId="2DC7127D" w14:textId="77777777" w:rsidTr="00D35FEF">
        <w:trPr>
          <w:trHeight w:val="300"/>
        </w:trPr>
        <w:tc>
          <w:tcPr>
            <w:tcW w:w="1202" w:type="pct"/>
            <w:tcBorders>
              <w:top w:val="single" w:sz="4" w:space="0" w:color="auto"/>
              <w:left w:val="single" w:sz="4" w:space="0" w:color="auto"/>
              <w:bottom w:val="single" w:sz="4" w:space="0" w:color="auto"/>
              <w:right w:val="single" w:sz="4" w:space="0" w:color="auto"/>
            </w:tcBorders>
            <w:noWrap/>
            <w:vAlign w:val="bottom"/>
            <w:hideMark/>
          </w:tcPr>
          <w:p w14:paraId="09C3DC25"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22" w:type="pct"/>
            <w:tcBorders>
              <w:top w:val="single" w:sz="4" w:space="0" w:color="auto"/>
              <w:left w:val="nil"/>
              <w:bottom w:val="single" w:sz="4" w:space="0" w:color="auto"/>
              <w:right w:val="single" w:sz="4" w:space="0" w:color="auto"/>
            </w:tcBorders>
            <w:noWrap/>
            <w:vAlign w:val="bottom"/>
            <w:hideMark/>
          </w:tcPr>
          <w:p w14:paraId="39E11FD4"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72" w:type="pct"/>
            <w:tcBorders>
              <w:top w:val="single" w:sz="4" w:space="0" w:color="auto"/>
              <w:left w:val="nil"/>
              <w:bottom w:val="single" w:sz="4" w:space="0" w:color="auto"/>
              <w:right w:val="single" w:sz="4" w:space="0" w:color="auto"/>
            </w:tcBorders>
            <w:noWrap/>
            <w:vAlign w:val="bottom"/>
            <w:hideMark/>
          </w:tcPr>
          <w:p w14:paraId="0C8EDE30"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997" w:type="pct"/>
            <w:tcBorders>
              <w:top w:val="single" w:sz="4" w:space="0" w:color="auto"/>
              <w:left w:val="nil"/>
              <w:bottom w:val="single" w:sz="4" w:space="0" w:color="auto"/>
              <w:right w:val="single" w:sz="4" w:space="0" w:color="auto"/>
            </w:tcBorders>
            <w:noWrap/>
            <w:vAlign w:val="bottom"/>
            <w:hideMark/>
          </w:tcPr>
          <w:p w14:paraId="5FEE8691"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561" w:type="pct"/>
            <w:tcBorders>
              <w:top w:val="single" w:sz="4" w:space="0" w:color="auto"/>
              <w:left w:val="single" w:sz="4" w:space="0" w:color="auto"/>
              <w:bottom w:val="single" w:sz="4" w:space="0" w:color="auto"/>
              <w:right w:val="nil"/>
            </w:tcBorders>
            <w:noWrap/>
            <w:vAlign w:val="bottom"/>
            <w:hideMark/>
          </w:tcPr>
          <w:p w14:paraId="5CAD4C2E"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663" w:type="pct"/>
            <w:tcBorders>
              <w:top w:val="single" w:sz="4" w:space="0" w:color="auto"/>
              <w:left w:val="nil"/>
              <w:bottom w:val="single" w:sz="4" w:space="0" w:color="auto"/>
              <w:right w:val="nil"/>
            </w:tcBorders>
            <w:noWrap/>
            <w:vAlign w:val="bottom"/>
            <w:hideMark/>
          </w:tcPr>
          <w:p w14:paraId="7F5062F0" w14:textId="77777777" w:rsidR="00F4724C" w:rsidRDefault="00F4724C" w:rsidP="004C6FDC">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 0,05  </w:t>
            </w:r>
          </w:p>
        </w:tc>
        <w:tc>
          <w:tcPr>
            <w:tcW w:w="483" w:type="pct"/>
            <w:tcBorders>
              <w:top w:val="single" w:sz="4" w:space="0" w:color="auto"/>
              <w:left w:val="nil"/>
              <w:bottom w:val="single" w:sz="4" w:space="0" w:color="auto"/>
              <w:right w:val="single" w:sz="4" w:space="0" w:color="auto"/>
            </w:tcBorders>
            <w:noWrap/>
            <w:vAlign w:val="bottom"/>
            <w:hideMark/>
          </w:tcPr>
          <w:p w14:paraId="49F09669" w14:textId="77777777" w:rsidR="00F4724C" w:rsidRDefault="00F4724C" w:rsidP="004C6FDC">
            <w:pPr>
              <w:spacing w:line="240" w:lineRule="auto"/>
              <w:rPr>
                <w:rFonts w:eastAsia="Times New Roman" w:cs="Times New Roman"/>
                <w:b/>
                <w:bCs/>
                <w:color w:val="000000"/>
                <w:szCs w:val="24"/>
                <w:lang w:eastAsia="es-EC"/>
              </w:rPr>
            </w:pPr>
          </w:p>
        </w:tc>
      </w:tr>
      <w:tr w:rsidR="00F4724C" w14:paraId="407501F4" w14:textId="77777777" w:rsidTr="00D35FEF">
        <w:trPr>
          <w:trHeight w:val="300"/>
        </w:trPr>
        <w:tc>
          <w:tcPr>
            <w:tcW w:w="1202" w:type="pct"/>
            <w:tcBorders>
              <w:top w:val="nil"/>
              <w:left w:val="single" w:sz="4" w:space="0" w:color="auto"/>
              <w:bottom w:val="single" w:sz="4" w:space="0" w:color="auto"/>
              <w:right w:val="single" w:sz="4" w:space="0" w:color="auto"/>
            </w:tcBorders>
            <w:noWrap/>
            <w:vAlign w:val="bottom"/>
            <w:hideMark/>
          </w:tcPr>
          <w:p w14:paraId="491CFEC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522" w:type="pct"/>
            <w:tcBorders>
              <w:top w:val="nil"/>
              <w:left w:val="nil"/>
              <w:bottom w:val="single" w:sz="4" w:space="0" w:color="auto"/>
              <w:right w:val="single" w:sz="4" w:space="0" w:color="auto"/>
            </w:tcBorders>
            <w:noWrap/>
            <w:vAlign w:val="bottom"/>
            <w:hideMark/>
          </w:tcPr>
          <w:p w14:paraId="786803E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71,7</w:t>
            </w:r>
          </w:p>
        </w:tc>
        <w:tc>
          <w:tcPr>
            <w:tcW w:w="572" w:type="pct"/>
            <w:tcBorders>
              <w:top w:val="nil"/>
              <w:left w:val="nil"/>
              <w:bottom w:val="single" w:sz="4" w:space="0" w:color="auto"/>
              <w:right w:val="single" w:sz="4" w:space="0" w:color="auto"/>
            </w:tcBorders>
            <w:noWrap/>
            <w:vAlign w:val="bottom"/>
            <w:hideMark/>
          </w:tcPr>
          <w:p w14:paraId="496B3B7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997" w:type="pct"/>
            <w:tcBorders>
              <w:top w:val="nil"/>
              <w:left w:val="nil"/>
              <w:bottom w:val="single" w:sz="4" w:space="0" w:color="auto"/>
              <w:right w:val="single" w:sz="4" w:space="0" w:color="auto"/>
            </w:tcBorders>
            <w:noWrap/>
            <w:vAlign w:val="bottom"/>
            <w:hideMark/>
          </w:tcPr>
          <w:p w14:paraId="31D5300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5,88</w:t>
            </w:r>
          </w:p>
        </w:tc>
        <w:tc>
          <w:tcPr>
            <w:tcW w:w="561" w:type="pct"/>
            <w:tcBorders>
              <w:top w:val="single" w:sz="4" w:space="0" w:color="auto"/>
              <w:left w:val="nil"/>
              <w:bottom w:val="single" w:sz="4" w:space="0" w:color="auto"/>
              <w:right w:val="single" w:sz="4" w:space="0" w:color="auto"/>
            </w:tcBorders>
            <w:noWrap/>
            <w:vAlign w:val="bottom"/>
            <w:hideMark/>
          </w:tcPr>
          <w:p w14:paraId="5AA14B2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63" w:type="pct"/>
            <w:tcBorders>
              <w:top w:val="single" w:sz="4" w:space="0" w:color="auto"/>
              <w:left w:val="nil"/>
              <w:bottom w:val="single" w:sz="4" w:space="0" w:color="auto"/>
              <w:right w:val="single" w:sz="4" w:space="0" w:color="auto"/>
            </w:tcBorders>
            <w:noWrap/>
            <w:vAlign w:val="bottom"/>
            <w:hideMark/>
          </w:tcPr>
          <w:p w14:paraId="78CDB8C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83" w:type="pct"/>
            <w:tcBorders>
              <w:top w:val="single" w:sz="4" w:space="0" w:color="auto"/>
              <w:left w:val="nil"/>
              <w:bottom w:val="single" w:sz="4" w:space="0" w:color="auto"/>
              <w:right w:val="single" w:sz="4" w:space="0" w:color="auto"/>
            </w:tcBorders>
            <w:noWrap/>
            <w:vAlign w:val="bottom"/>
            <w:hideMark/>
          </w:tcPr>
          <w:p w14:paraId="0736129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38B0453C" w14:textId="77777777" w:rsidTr="00D35FEF">
        <w:trPr>
          <w:trHeight w:val="300"/>
        </w:trPr>
        <w:tc>
          <w:tcPr>
            <w:tcW w:w="1202" w:type="pct"/>
            <w:tcBorders>
              <w:top w:val="nil"/>
              <w:left w:val="single" w:sz="4" w:space="0" w:color="auto"/>
              <w:bottom w:val="single" w:sz="4" w:space="0" w:color="auto"/>
              <w:right w:val="single" w:sz="4" w:space="0" w:color="auto"/>
            </w:tcBorders>
            <w:noWrap/>
            <w:vAlign w:val="bottom"/>
            <w:hideMark/>
          </w:tcPr>
          <w:p w14:paraId="63D8BD3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22" w:type="pct"/>
            <w:tcBorders>
              <w:top w:val="nil"/>
              <w:left w:val="nil"/>
              <w:bottom w:val="single" w:sz="4" w:space="0" w:color="auto"/>
              <w:right w:val="single" w:sz="4" w:space="0" w:color="auto"/>
            </w:tcBorders>
            <w:noWrap/>
            <w:vAlign w:val="bottom"/>
            <w:hideMark/>
          </w:tcPr>
          <w:p w14:paraId="0CDFBD1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87,6</w:t>
            </w:r>
          </w:p>
        </w:tc>
        <w:tc>
          <w:tcPr>
            <w:tcW w:w="572" w:type="pct"/>
            <w:tcBorders>
              <w:top w:val="nil"/>
              <w:left w:val="nil"/>
              <w:bottom w:val="single" w:sz="4" w:space="0" w:color="auto"/>
              <w:right w:val="single" w:sz="4" w:space="0" w:color="auto"/>
            </w:tcBorders>
            <w:noWrap/>
            <w:vAlign w:val="bottom"/>
            <w:hideMark/>
          </w:tcPr>
          <w:p w14:paraId="7E65506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w:t>
            </w:r>
          </w:p>
        </w:tc>
        <w:tc>
          <w:tcPr>
            <w:tcW w:w="997" w:type="pct"/>
            <w:tcBorders>
              <w:top w:val="nil"/>
              <w:left w:val="nil"/>
              <w:bottom w:val="single" w:sz="4" w:space="0" w:color="auto"/>
              <w:right w:val="single" w:sz="4" w:space="0" w:color="auto"/>
            </w:tcBorders>
            <w:noWrap/>
            <w:vAlign w:val="bottom"/>
            <w:hideMark/>
          </w:tcPr>
          <w:p w14:paraId="0FCB4D3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2,11</w:t>
            </w:r>
          </w:p>
        </w:tc>
        <w:tc>
          <w:tcPr>
            <w:tcW w:w="561" w:type="pct"/>
            <w:tcBorders>
              <w:top w:val="nil"/>
              <w:left w:val="nil"/>
              <w:bottom w:val="single" w:sz="4" w:space="0" w:color="auto"/>
              <w:right w:val="single" w:sz="4" w:space="0" w:color="auto"/>
            </w:tcBorders>
            <w:noWrap/>
            <w:vAlign w:val="bottom"/>
            <w:hideMark/>
          </w:tcPr>
          <w:p w14:paraId="055E65A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116E079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83" w:type="pct"/>
            <w:tcBorders>
              <w:top w:val="nil"/>
              <w:left w:val="nil"/>
              <w:bottom w:val="single" w:sz="4" w:space="0" w:color="auto"/>
              <w:right w:val="single" w:sz="4" w:space="0" w:color="auto"/>
            </w:tcBorders>
            <w:noWrap/>
            <w:vAlign w:val="bottom"/>
            <w:hideMark/>
          </w:tcPr>
          <w:p w14:paraId="452507F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62084AD9" w14:textId="77777777" w:rsidTr="00D35FEF">
        <w:trPr>
          <w:trHeight w:val="300"/>
        </w:trPr>
        <w:tc>
          <w:tcPr>
            <w:tcW w:w="1202" w:type="pct"/>
            <w:tcBorders>
              <w:top w:val="nil"/>
              <w:left w:val="single" w:sz="4" w:space="0" w:color="auto"/>
              <w:bottom w:val="single" w:sz="4" w:space="0" w:color="auto"/>
              <w:right w:val="single" w:sz="4" w:space="0" w:color="auto"/>
            </w:tcBorders>
            <w:noWrap/>
            <w:vAlign w:val="bottom"/>
            <w:hideMark/>
          </w:tcPr>
          <w:p w14:paraId="5D5CDDD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522" w:type="pct"/>
            <w:tcBorders>
              <w:top w:val="nil"/>
              <w:left w:val="nil"/>
              <w:bottom w:val="single" w:sz="4" w:space="0" w:color="auto"/>
              <w:right w:val="single" w:sz="4" w:space="0" w:color="auto"/>
            </w:tcBorders>
            <w:noWrap/>
            <w:vAlign w:val="bottom"/>
            <w:hideMark/>
          </w:tcPr>
          <w:p w14:paraId="4EB7998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113,69</w:t>
            </w:r>
          </w:p>
        </w:tc>
        <w:tc>
          <w:tcPr>
            <w:tcW w:w="572" w:type="pct"/>
            <w:tcBorders>
              <w:top w:val="nil"/>
              <w:left w:val="nil"/>
              <w:bottom w:val="single" w:sz="4" w:space="0" w:color="auto"/>
              <w:right w:val="single" w:sz="4" w:space="0" w:color="auto"/>
            </w:tcBorders>
            <w:noWrap/>
            <w:vAlign w:val="bottom"/>
            <w:hideMark/>
          </w:tcPr>
          <w:p w14:paraId="7488FB99"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997" w:type="pct"/>
            <w:tcBorders>
              <w:top w:val="nil"/>
              <w:left w:val="nil"/>
              <w:bottom w:val="single" w:sz="4" w:space="0" w:color="auto"/>
              <w:right w:val="single" w:sz="4" w:space="0" w:color="auto"/>
            </w:tcBorders>
            <w:noWrap/>
            <w:vAlign w:val="bottom"/>
            <w:hideMark/>
          </w:tcPr>
          <w:p w14:paraId="4629019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7,44</w:t>
            </w:r>
          </w:p>
        </w:tc>
        <w:tc>
          <w:tcPr>
            <w:tcW w:w="561" w:type="pct"/>
            <w:tcBorders>
              <w:top w:val="nil"/>
              <w:left w:val="nil"/>
              <w:bottom w:val="single" w:sz="4" w:space="0" w:color="auto"/>
              <w:right w:val="single" w:sz="4" w:space="0" w:color="auto"/>
            </w:tcBorders>
            <w:noWrap/>
            <w:vAlign w:val="bottom"/>
            <w:hideMark/>
          </w:tcPr>
          <w:p w14:paraId="2E2EABA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4F7B656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83" w:type="pct"/>
            <w:tcBorders>
              <w:top w:val="nil"/>
              <w:left w:val="nil"/>
              <w:bottom w:val="single" w:sz="4" w:space="0" w:color="auto"/>
              <w:right w:val="single" w:sz="4" w:space="0" w:color="auto"/>
            </w:tcBorders>
            <w:noWrap/>
            <w:vAlign w:val="bottom"/>
            <w:hideMark/>
          </w:tcPr>
          <w:p w14:paraId="4BED19E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F4724C" w14:paraId="690C357B" w14:textId="77777777" w:rsidTr="00D35FEF">
        <w:trPr>
          <w:trHeight w:val="300"/>
        </w:trPr>
        <w:tc>
          <w:tcPr>
            <w:tcW w:w="1202" w:type="pct"/>
            <w:tcBorders>
              <w:top w:val="nil"/>
              <w:left w:val="single" w:sz="4" w:space="0" w:color="auto"/>
              <w:bottom w:val="single" w:sz="4" w:space="0" w:color="auto"/>
              <w:right w:val="single" w:sz="4" w:space="0" w:color="auto"/>
            </w:tcBorders>
            <w:noWrap/>
            <w:vAlign w:val="bottom"/>
            <w:hideMark/>
          </w:tcPr>
          <w:p w14:paraId="732C580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522" w:type="pct"/>
            <w:tcBorders>
              <w:top w:val="nil"/>
              <w:left w:val="nil"/>
              <w:bottom w:val="single" w:sz="4" w:space="0" w:color="auto"/>
              <w:right w:val="single" w:sz="4" w:space="0" w:color="auto"/>
            </w:tcBorders>
            <w:noWrap/>
            <w:vAlign w:val="bottom"/>
            <w:hideMark/>
          </w:tcPr>
          <w:p w14:paraId="073AAFC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123,65</w:t>
            </w:r>
          </w:p>
        </w:tc>
        <w:tc>
          <w:tcPr>
            <w:tcW w:w="572" w:type="pct"/>
            <w:tcBorders>
              <w:top w:val="nil"/>
              <w:left w:val="nil"/>
              <w:bottom w:val="single" w:sz="4" w:space="0" w:color="auto"/>
              <w:right w:val="single" w:sz="4" w:space="0" w:color="auto"/>
            </w:tcBorders>
            <w:noWrap/>
            <w:vAlign w:val="bottom"/>
            <w:hideMark/>
          </w:tcPr>
          <w:p w14:paraId="71775DF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997" w:type="pct"/>
            <w:tcBorders>
              <w:top w:val="nil"/>
              <w:left w:val="nil"/>
              <w:bottom w:val="single" w:sz="4" w:space="0" w:color="auto"/>
              <w:right w:val="single" w:sz="4" w:space="0" w:color="auto"/>
            </w:tcBorders>
            <w:noWrap/>
            <w:vAlign w:val="bottom"/>
            <w:hideMark/>
          </w:tcPr>
          <w:p w14:paraId="0B5C5DF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8,31</w:t>
            </w:r>
          </w:p>
        </w:tc>
        <w:tc>
          <w:tcPr>
            <w:tcW w:w="561" w:type="pct"/>
            <w:tcBorders>
              <w:top w:val="nil"/>
              <w:left w:val="nil"/>
              <w:bottom w:val="single" w:sz="4" w:space="0" w:color="auto"/>
              <w:right w:val="single" w:sz="4" w:space="0" w:color="auto"/>
            </w:tcBorders>
            <w:noWrap/>
            <w:vAlign w:val="bottom"/>
            <w:hideMark/>
          </w:tcPr>
          <w:p w14:paraId="718D9E2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60FA0F3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83" w:type="pct"/>
            <w:tcBorders>
              <w:top w:val="nil"/>
              <w:left w:val="nil"/>
              <w:bottom w:val="single" w:sz="4" w:space="0" w:color="auto"/>
              <w:right w:val="single" w:sz="4" w:space="0" w:color="auto"/>
            </w:tcBorders>
            <w:noWrap/>
            <w:vAlign w:val="bottom"/>
            <w:hideMark/>
          </w:tcPr>
          <w:p w14:paraId="7425CBE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146CA480" w14:textId="77777777" w:rsidR="00F4724C" w:rsidRDefault="00F4724C" w:rsidP="00F4724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0DE65CC0" w14:textId="425DD5B7" w:rsidR="006F445B" w:rsidRDefault="00F4724C" w:rsidP="004C6FDC">
      <w:pPr>
        <w:autoSpaceDE w:val="0"/>
        <w:autoSpaceDN w:val="0"/>
        <w:adjustRightInd w:val="0"/>
        <w:spacing w:before="360" w:after="360" w:line="360" w:lineRule="auto"/>
        <w:rPr>
          <w:rFonts w:cs="Times New Roman"/>
          <w:bCs/>
          <w:szCs w:val="24"/>
        </w:rPr>
      </w:pPr>
      <w:r>
        <w:rPr>
          <w:rFonts w:cs="Times New Roman"/>
          <w:bCs/>
          <w:szCs w:val="24"/>
        </w:rPr>
        <w:t>El efecto de los nutrientes que fueron significativos</w:t>
      </w:r>
      <w:r w:rsidR="00FC53D5">
        <w:rPr>
          <w:rFonts w:cs="Times New Roman"/>
          <w:bCs/>
          <w:szCs w:val="24"/>
        </w:rPr>
        <w:t xml:space="preserve"> (p&lt;0,001)</w:t>
      </w:r>
      <w:r>
        <w:rPr>
          <w:rFonts w:cs="Times New Roman"/>
          <w:bCs/>
          <w:szCs w:val="24"/>
        </w:rPr>
        <w:t xml:space="preserve"> sobre la absorción de potasio en la provincia de Chimborazo se observa en</w:t>
      </w:r>
      <w:r w:rsidR="00185D16">
        <w:rPr>
          <w:rFonts w:cs="Times New Roman"/>
          <w:bCs/>
          <w:szCs w:val="24"/>
        </w:rPr>
        <w:t xml:space="preserve"> </w:t>
      </w:r>
      <w:r>
        <w:rPr>
          <w:rFonts w:cs="Times New Roman"/>
          <w:bCs/>
          <w:szCs w:val="24"/>
        </w:rPr>
        <w:t>l</w:t>
      </w:r>
      <w:r w:rsidR="00185D16">
        <w:rPr>
          <w:rFonts w:cs="Times New Roman"/>
          <w:bCs/>
          <w:szCs w:val="24"/>
        </w:rPr>
        <w:t>a</w:t>
      </w:r>
      <w:r>
        <w:rPr>
          <w:rFonts w:cs="Times New Roman"/>
          <w:bCs/>
          <w:szCs w:val="24"/>
        </w:rPr>
        <w:t xml:space="preserve"> siguiente </w:t>
      </w:r>
      <w:r w:rsidR="00185D16">
        <w:rPr>
          <w:rFonts w:cs="Times New Roman"/>
          <w:bCs/>
          <w:szCs w:val="24"/>
        </w:rPr>
        <w:t>figura</w:t>
      </w:r>
      <w:r w:rsidR="00DC4FC3">
        <w:rPr>
          <w:rFonts w:cs="Times New Roman"/>
          <w:bCs/>
          <w:szCs w:val="24"/>
        </w:rPr>
        <w:t>:</w:t>
      </w:r>
    </w:p>
    <w:p w14:paraId="49B7C461" w14:textId="1FCD9A41" w:rsidR="00F4724C" w:rsidRPr="006F445B" w:rsidRDefault="006F445B" w:rsidP="00135DE8">
      <w:pPr>
        <w:pStyle w:val="Ttulo1"/>
        <w:numPr>
          <w:ilvl w:val="0"/>
          <w:numId w:val="16"/>
        </w:numPr>
        <w:spacing w:after="0"/>
        <w:rPr>
          <w:rFonts w:eastAsiaTheme="minorHAnsi"/>
          <w:b w:val="0"/>
          <w:bCs w:val="0"/>
        </w:rPr>
      </w:pPr>
      <w:bookmarkStart w:id="1616" w:name="_Toc72704605"/>
      <w:bookmarkStart w:id="1617" w:name="_Toc72705670"/>
      <w:bookmarkStart w:id="1618" w:name="_Toc72706309"/>
      <w:bookmarkStart w:id="1619" w:name="_Toc72741259"/>
      <w:bookmarkStart w:id="1620" w:name="_Toc72742855"/>
      <w:bookmarkStart w:id="1621" w:name="_Toc72881218"/>
      <w:bookmarkStart w:id="1622" w:name="_Toc72881589"/>
      <w:bookmarkStart w:id="1623" w:name="_Toc75606458"/>
      <w:bookmarkStart w:id="1624" w:name="_Toc75611937"/>
      <w:bookmarkStart w:id="1625" w:name="_Toc75612783"/>
      <w:bookmarkStart w:id="1626" w:name="_Toc75679939"/>
      <w:bookmarkStart w:id="1627" w:name="_Toc75702547"/>
      <w:bookmarkStart w:id="1628" w:name="_Toc79313226"/>
      <w:bookmarkStart w:id="1629" w:name="_Toc80008433"/>
      <w:bookmarkStart w:id="1630" w:name="_Toc80312326"/>
      <w:r w:rsidRPr="00EA3391">
        <w:rPr>
          <w:rFonts w:eastAsiaTheme="minorHAnsi"/>
          <w:b w:val="0"/>
          <w:bCs w:val="0"/>
          <w:lang w:val="es-EC"/>
        </w:rPr>
        <w:t>Nitrógeno</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EA3391">
        <w:rPr>
          <w:rFonts w:eastAsiaTheme="minorHAnsi"/>
          <w:b w:val="0"/>
          <w:bCs w:val="0"/>
          <w:lang w:val="es-EC"/>
        </w:rPr>
        <w:t xml:space="preserve"> </w:t>
      </w:r>
    </w:p>
    <w:p w14:paraId="653F57C2" w14:textId="4A169900" w:rsidR="006F445B" w:rsidRDefault="00F4724C" w:rsidP="00F4724C">
      <w:pPr>
        <w:autoSpaceDE w:val="0"/>
        <w:autoSpaceDN w:val="0"/>
        <w:adjustRightInd w:val="0"/>
        <w:spacing w:after="0" w:line="360" w:lineRule="auto"/>
        <w:jc w:val="center"/>
        <w:rPr>
          <w:rFonts w:cs="Times New Roman"/>
          <w:szCs w:val="24"/>
        </w:rPr>
      </w:pPr>
      <w:r>
        <w:rPr>
          <w:rFonts w:cs="Times New Roman"/>
          <w:noProof/>
          <w:szCs w:val="24"/>
          <w:lang w:eastAsia="es-EC"/>
        </w:rPr>
        <w:drawing>
          <wp:inline distT="0" distB="0" distL="0" distR="0" wp14:anchorId="78FD4024" wp14:editId="68A6B9A6">
            <wp:extent cx="3951798" cy="1932167"/>
            <wp:effectExtent l="0" t="0" r="10795" b="11430"/>
            <wp:docPr id="54" name="Gráfico 54">
              <a:extLst xmlns:a="http://schemas.openxmlformats.org/drawingml/2006/main">
                <a:ext uri="{FF2B5EF4-FFF2-40B4-BE49-F238E27FC236}">
                  <a16:creationId xmlns:a16="http://schemas.microsoft.com/office/drawing/2014/main" id="{0382285B-93F1-474B-AB09-1815AE66B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A74FA6" w14:textId="67C19F32" w:rsidR="00741F60" w:rsidRPr="00EA3391" w:rsidRDefault="00741F60" w:rsidP="00135DE8">
      <w:pPr>
        <w:pStyle w:val="Ttulo1"/>
        <w:numPr>
          <w:ilvl w:val="0"/>
          <w:numId w:val="16"/>
        </w:numPr>
        <w:spacing w:after="0"/>
        <w:rPr>
          <w:rFonts w:eastAsiaTheme="minorHAnsi"/>
          <w:b w:val="0"/>
          <w:bCs w:val="0"/>
          <w:lang w:val="es-EC"/>
        </w:rPr>
      </w:pPr>
      <w:bookmarkStart w:id="1631" w:name="_Toc72704607"/>
      <w:bookmarkStart w:id="1632" w:name="_Toc72705672"/>
      <w:bookmarkStart w:id="1633" w:name="_Toc72706311"/>
      <w:bookmarkStart w:id="1634" w:name="_Toc72741261"/>
      <w:bookmarkStart w:id="1635" w:name="_Toc72742857"/>
      <w:bookmarkStart w:id="1636" w:name="_Toc72881219"/>
      <w:bookmarkStart w:id="1637" w:name="_Toc72881590"/>
      <w:bookmarkStart w:id="1638" w:name="_Toc75606459"/>
      <w:bookmarkStart w:id="1639" w:name="_Toc75611938"/>
      <w:bookmarkStart w:id="1640" w:name="_Toc75612784"/>
      <w:bookmarkStart w:id="1641" w:name="_Toc75679940"/>
      <w:bookmarkStart w:id="1642" w:name="_Toc75702548"/>
      <w:bookmarkStart w:id="1643" w:name="_Toc79313227"/>
      <w:bookmarkStart w:id="1644" w:name="_Toc80008434"/>
      <w:bookmarkStart w:id="1645" w:name="_Toc80312327"/>
      <w:r w:rsidRPr="00EA3391">
        <w:rPr>
          <w:rFonts w:eastAsiaTheme="minorHAnsi"/>
          <w:b w:val="0"/>
          <w:bCs w:val="0"/>
          <w:lang w:val="es-EC"/>
        </w:rPr>
        <w:lastRenderedPageBreak/>
        <w:t>Magnesio</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26FBAFF0" w14:textId="053DFCC6" w:rsidR="00180B04" w:rsidRDefault="00180B04" w:rsidP="00C330A8">
      <w:pPr>
        <w:jc w:val="center"/>
        <w:rPr>
          <w:lang w:val="en-US"/>
        </w:rPr>
      </w:pPr>
      <w:r>
        <w:rPr>
          <w:noProof/>
          <w:lang w:eastAsia="es-EC"/>
        </w:rPr>
        <w:drawing>
          <wp:inline distT="0" distB="0" distL="0" distR="0" wp14:anchorId="4DB42D16" wp14:editId="105B5FDB">
            <wp:extent cx="3941909" cy="1905640"/>
            <wp:effectExtent l="0" t="0" r="1905" b="18415"/>
            <wp:docPr id="7" name="Gráfico 7">
              <a:extLst xmlns:a="http://schemas.openxmlformats.org/drawingml/2006/main">
                <a:ext uri="{FF2B5EF4-FFF2-40B4-BE49-F238E27FC236}">
                  <a16:creationId xmlns:a16="http://schemas.microsoft.com/office/drawing/2014/main" id="{1FAFE1E4-33DE-4161-A80D-C45B5B4A2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52FBB7" w14:textId="6CF75F05" w:rsidR="00F4724C" w:rsidRDefault="00F4724C" w:rsidP="004C6FDC">
      <w:pPr>
        <w:autoSpaceDE w:val="0"/>
        <w:autoSpaceDN w:val="0"/>
        <w:adjustRightInd w:val="0"/>
        <w:spacing w:before="360" w:after="360" w:line="360" w:lineRule="auto"/>
        <w:rPr>
          <w:rFonts w:cs="Times New Roman"/>
          <w:szCs w:val="24"/>
        </w:rPr>
      </w:pPr>
      <w:r>
        <w:rPr>
          <w:rFonts w:cs="Times New Roman"/>
          <w:szCs w:val="24"/>
        </w:rPr>
        <w:t xml:space="preserve">Efecto de los macronutrientes </w:t>
      </w:r>
      <w:r w:rsidR="00736DA4">
        <w:rPr>
          <w:rFonts w:cs="Times New Roman"/>
          <w:szCs w:val="24"/>
        </w:rPr>
        <w:t xml:space="preserve">a) nitrógeno y b) magnesio </w:t>
      </w:r>
      <w:r>
        <w:rPr>
          <w:rFonts w:cs="Times New Roman"/>
          <w:szCs w:val="24"/>
        </w:rPr>
        <w:t>sobre la a</w:t>
      </w:r>
      <w:r w:rsidR="00241B4C">
        <w:rPr>
          <w:rFonts w:cs="Times New Roman"/>
          <w:szCs w:val="24"/>
        </w:rPr>
        <w:t>b</w:t>
      </w:r>
      <w:r>
        <w:rPr>
          <w:rFonts w:cs="Times New Roman"/>
          <w:szCs w:val="24"/>
        </w:rPr>
        <w:t>sorción de potasio en maíz suave en la provincia de Chimborazo (2012-2014).</w:t>
      </w:r>
    </w:p>
    <w:p w14:paraId="691E9640" w14:textId="42D91FF6" w:rsidR="00F4724C" w:rsidRDefault="00F4724C" w:rsidP="004C6FDC">
      <w:pPr>
        <w:pStyle w:val="Ttulo3"/>
        <w:spacing w:before="360" w:after="360"/>
      </w:pPr>
      <w:bookmarkStart w:id="1646" w:name="_Toc80312328"/>
      <w:r>
        <w:t>A</w:t>
      </w:r>
      <w:r w:rsidR="00736DA4">
        <w:t>b</w:t>
      </w:r>
      <w:r>
        <w:t>sorción de azufre (Kg</w:t>
      </w:r>
      <w:r>
        <w:rPr>
          <w:rFonts w:eastAsia="Times New Roman"/>
          <w:lang w:eastAsia="es-EC"/>
        </w:rPr>
        <w:t>/</w:t>
      </w:r>
      <w:r>
        <w:t>ha</w:t>
      </w:r>
      <w:r>
        <w:rPr>
          <w:vertAlign w:val="superscript"/>
        </w:rPr>
        <w:t>-1</w:t>
      </w:r>
      <w:r>
        <w:t>)</w:t>
      </w:r>
      <w:bookmarkEnd w:id="1646"/>
      <w:r>
        <w:t xml:space="preserve">   </w:t>
      </w:r>
    </w:p>
    <w:p w14:paraId="6F7585E1" w14:textId="138D4362" w:rsidR="004C6FDC" w:rsidRDefault="00F4724C" w:rsidP="004C6FDC">
      <w:pPr>
        <w:autoSpaceDE w:val="0"/>
        <w:autoSpaceDN w:val="0"/>
        <w:adjustRightInd w:val="0"/>
        <w:spacing w:after="240" w:line="360" w:lineRule="auto"/>
        <w:rPr>
          <w:rFonts w:cs="Times New Roman"/>
          <w:szCs w:val="24"/>
        </w:rPr>
      </w:pPr>
      <w:r>
        <w:rPr>
          <w:rFonts w:cs="Times New Roman"/>
          <w:szCs w:val="24"/>
        </w:rPr>
        <w:t>Al utilizar el modelo estadístico para a</w:t>
      </w:r>
      <w:r w:rsidR="00241B4C">
        <w:rPr>
          <w:rFonts w:cs="Times New Roman"/>
          <w:szCs w:val="24"/>
        </w:rPr>
        <w:t>b</w:t>
      </w:r>
      <w:r>
        <w:rPr>
          <w:rFonts w:cs="Times New Roman"/>
          <w:szCs w:val="24"/>
        </w:rPr>
        <w:t>sorción total de azufre, se detectaron diferencias estadísticas significativas (p &lt;0,05) para las fuentes de variación de</w:t>
      </w:r>
      <w:r w:rsidR="00736DA4">
        <w:rPr>
          <w:rFonts w:cs="Times New Roman"/>
          <w:szCs w:val="24"/>
        </w:rPr>
        <w:t xml:space="preserve"> parroquia, </w:t>
      </w:r>
      <w:r>
        <w:rPr>
          <w:rFonts w:cs="Times New Roman"/>
          <w:szCs w:val="24"/>
        </w:rPr>
        <w:t xml:space="preserve">nitrógeno, fósforo y magnesio; mientras que no fueron significativos para </w:t>
      </w:r>
      <w:r w:rsidR="00736DA4">
        <w:rPr>
          <w:rFonts w:cs="Times New Roman"/>
          <w:szCs w:val="24"/>
        </w:rPr>
        <w:t>potasio</w:t>
      </w:r>
      <w:r>
        <w:rPr>
          <w:rFonts w:cs="Times New Roman"/>
          <w:szCs w:val="24"/>
        </w:rPr>
        <w:t xml:space="preserve"> y azufre (</w:t>
      </w:r>
      <w:r w:rsidR="001A3E5A">
        <w:rPr>
          <w:rFonts w:cs="Times New Roman"/>
          <w:szCs w:val="24"/>
        </w:rPr>
        <w:t xml:space="preserve">Cuadro </w:t>
      </w:r>
      <w:r>
        <w:rPr>
          <w:rFonts w:cs="Times New Roman"/>
          <w:szCs w:val="24"/>
        </w:rPr>
        <w:t>8</w:t>
      </w:r>
      <w:r w:rsidR="0039325D">
        <w:rPr>
          <w:rFonts w:cs="Times New Roman"/>
          <w:szCs w:val="24"/>
        </w:rPr>
        <w:t>5</w:t>
      </w:r>
      <w:r>
        <w:rPr>
          <w:rFonts w:cs="Times New Roman"/>
          <w:szCs w:val="24"/>
        </w:rPr>
        <w:t xml:space="preserve">). Por lo tanto, las dosis de los fertilizantes con nitrógeno, fósforo y magnesio afectaron a esta variable. El promedio general de </w:t>
      </w:r>
      <w:r w:rsidR="00736DA4">
        <w:rPr>
          <w:rFonts w:cs="Times New Roman"/>
          <w:szCs w:val="24"/>
        </w:rPr>
        <w:t xml:space="preserve">absorción de azufre </w:t>
      </w:r>
      <w:r>
        <w:rPr>
          <w:rFonts w:cs="Times New Roman"/>
          <w:szCs w:val="24"/>
        </w:rPr>
        <w:t>fue 9,21 Kg/ha; con un R</w:t>
      </w:r>
      <w:r>
        <w:rPr>
          <w:rFonts w:cs="Times New Roman"/>
          <w:szCs w:val="24"/>
          <w:vertAlign w:val="superscript"/>
        </w:rPr>
        <w:t>2</w:t>
      </w:r>
      <w:r>
        <w:rPr>
          <w:rFonts w:cs="Times New Roman"/>
          <w:szCs w:val="24"/>
        </w:rPr>
        <w:t xml:space="preserve"> de 0,68 y un coef</w:t>
      </w:r>
      <w:r w:rsidR="00D35FEF">
        <w:rPr>
          <w:rFonts w:cs="Times New Roman"/>
          <w:szCs w:val="24"/>
        </w:rPr>
        <w:t>iciente de variación de 18,26 %</w:t>
      </w:r>
      <w:bookmarkStart w:id="1647" w:name="_Toc79314078"/>
    </w:p>
    <w:p w14:paraId="7906FB59" w14:textId="211B4ABE" w:rsidR="00D35FEF" w:rsidRPr="004C6FDC" w:rsidRDefault="00D35FEF" w:rsidP="00954C1A">
      <w:pPr>
        <w:autoSpaceDE w:val="0"/>
        <w:autoSpaceDN w:val="0"/>
        <w:adjustRightInd w:val="0"/>
        <w:spacing w:after="0" w:line="360" w:lineRule="auto"/>
        <w:rPr>
          <w:rFonts w:cs="Times New Roman"/>
          <w:szCs w:val="24"/>
        </w:rPr>
      </w:pPr>
      <w:r w:rsidRPr="00D35FEF">
        <w:rPr>
          <w:rFonts w:cs="Times New Roman"/>
          <w:b/>
          <w:szCs w:val="24"/>
        </w:rPr>
        <w:t xml:space="preserve">Cuadro </w:t>
      </w:r>
      <w:r w:rsidRPr="00D35FEF">
        <w:rPr>
          <w:rFonts w:cs="Times New Roman"/>
          <w:b/>
          <w:i/>
          <w:iCs/>
          <w:szCs w:val="24"/>
        </w:rPr>
        <w:fldChar w:fldCharType="begin"/>
      </w:r>
      <w:r w:rsidRPr="00D35FEF">
        <w:rPr>
          <w:rFonts w:cs="Times New Roman"/>
          <w:b/>
          <w:szCs w:val="24"/>
        </w:rPr>
        <w:instrText xml:space="preserve"> SEQ Cuadro \* ARABIC </w:instrText>
      </w:r>
      <w:r w:rsidRPr="00D35FEF">
        <w:rPr>
          <w:rFonts w:cs="Times New Roman"/>
          <w:b/>
          <w:i/>
          <w:iCs/>
          <w:szCs w:val="24"/>
        </w:rPr>
        <w:fldChar w:fldCharType="separate"/>
      </w:r>
      <w:r w:rsidR="000D1F55">
        <w:rPr>
          <w:rFonts w:cs="Times New Roman"/>
          <w:b/>
          <w:noProof/>
          <w:szCs w:val="24"/>
        </w:rPr>
        <w:t>86</w:t>
      </w:r>
      <w:r w:rsidRPr="00D35FEF">
        <w:rPr>
          <w:rFonts w:cs="Times New Roman"/>
          <w:b/>
          <w:i/>
          <w:iCs/>
          <w:szCs w:val="24"/>
        </w:rPr>
        <w:fldChar w:fldCharType="end"/>
      </w:r>
      <w:r w:rsidRPr="00D35FEF">
        <w:rPr>
          <w:rFonts w:cs="Times New Roman"/>
          <w:b/>
          <w:szCs w:val="24"/>
        </w:rPr>
        <w:t xml:space="preserve">. </w:t>
      </w:r>
      <w:r w:rsidRPr="00D35FEF">
        <w:rPr>
          <w:rFonts w:cs="Times New Roman"/>
          <w:szCs w:val="24"/>
        </w:rPr>
        <w:t>Análisis de la Varianza (SC tipo I) y porcentaje de varianza para absorción de azufre, en maíz suave, evaluado en la provincia de Chimborazo (2012-2014)</w:t>
      </w:r>
      <w:bookmarkEnd w:id="1647"/>
    </w:p>
    <w:tbl>
      <w:tblPr>
        <w:tblW w:w="5000" w:type="pct"/>
        <w:tblCellMar>
          <w:left w:w="70" w:type="dxa"/>
          <w:right w:w="70" w:type="dxa"/>
        </w:tblCellMar>
        <w:tblLook w:val="04A0" w:firstRow="1" w:lastRow="0" w:firstColumn="1" w:lastColumn="0" w:noHBand="0" w:noVBand="1"/>
      </w:tblPr>
      <w:tblGrid>
        <w:gridCol w:w="1101"/>
        <w:gridCol w:w="1101"/>
        <w:gridCol w:w="785"/>
        <w:gridCol w:w="1170"/>
        <w:gridCol w:w="1100"/>
        <w:gridCol w:w="1100"/>
        <w:gridCol w:w="1570"/>
      </w:tblGrid>
      <w:tr w:rsidR="00F4724C" w14:paraId="6E0E9090" w14:textId="77777777" w:rsidTr="00F4724C">
        <w:trPr>
          <w:trHeight w:val="300"/>
        </w:trPr>
        <w:tc>
          <w:tcPr>
            <w:tcW w:w="694" w:type="pct"/>
            <w:tcBorders>
              <w:top w:val="single" w:sz="4" w:space="0" w:color="auto"/>
              <w:left w:val="single" w:sz="4" w:space="0" w:color="auto"/>
              <w:bottom w:val="single" w:sz="4" w:space="0" w:color="auto"/>
              <w:right w:val="single" w:sz="4" w:space="0" w:color="auto"/>
            </w:tcBorders>
            <w:noWrap/>
            <w:vAlign w:val="bottom"/>
            <w:hideMark/>
          </w:tcPr>
          <w:p w14:paraId="26D98771"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694" w:type="pct"/>
            <w:tcBorders>
              <w:top w:val="single" w:sz="4" w:space="0" w:color="auto"/>
              <w:left w:val="nil"/>
              <w:bottom w:val="single" w:sz="4" w:space="0" w:color="auto"/>
              <w:right w:val="single" w:sz="4" w:space="0" w:color="auto"/>
            </w:tcBorders>
            <w:noWrap/>
            <w:vAlign w:val="bottom"/>
            <w:hideMark/>
          </w:tcPr>
          <w:p w14:paraId="022DD34B"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495" w:type="pct"/>
            <w:tcBorders>
              <w:top w:val="single" w:sz="4" w:space="0" w:color="auto"/>
              <w:left w:val="nil"/>
              <w:bottom w:val="single" w:sz="4" w:space="0" w:color="auto"/>
              <w:right w:val="single" w:sz="4" w:space="0" w:color="auto"/>
            </w:tcBorders>
            <w:noWrap/>
            <w:vAlign w:val="bottom"/>
            <w:hideMark/>
          </w:tcPr>
          <w:p w14:paraId="330FA489"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Gl</w:t>
            </w:r>
          </w:p>
        </w:tc>
        <w:tc>
          <w:tcPr>
            <w:tcW w:w="738" w:type="pct"/>
            <w:tcBorders>
              <w:top w:val="single" w:sz="4" w:space="0" w:color="auto"/>
              <w:left w:val="nil"/>
              <w:bottom w:val="single" w:sz="4" w:space="0" w:color="auto"/>
              <w:right w:val="single" w:sz="4" w:space="0" w:color="auto"/>
            </w:tcBorders>
            <w:noWrap/>
            <w:vAlign w:val="bottom"/>
            <w:hideMark/>
          </w:tcPr>
          <w:p w14:paraId="7A27EFC3"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694" w:type="pct"/>
            <w:tcBorders>
              <w:top w:val="single" w:sz="4" w:space="0" w:color="auto"/>
              <w:left w:val="nil"/>
              <w:bottom w:val="single" w:sz="4" w:space="0" w:color="auto"/>
              <w:right w:val="single" w:sz="4" w:space="0" w:color="auto"/>
            </w:tcBorders>
            <w:noWrap/>
            <w:vAlign w:val="bottom"/>
            <w:hideMark/>
          </w:tcPr>
          <w:p w14:paraId="6926146F"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694" w:type="pct"/>
            <w:tcBorders>
              <w:top w:val="single" w:sz="4" w:space="0" w:color="auto"/>
              <w:left w:val="nil"/>
              <w:bottom w:val="single" w:sz="4" w:space="0" w:color="auto"/>
              <w:right w:val="single" w:sz="4" w:space="0" w:color="auto"/>
            </w:tcBorders>
            <w:noWrap/>
            <w:vAlign w:val="bottom"/>
            <w:hideMark/>
          </w:tcPr>
          <w:p w14:paraId="74EAC541"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990" w:type="pct"/>
            <w:tcBorders>
              <w:top w:val="single" w:sz="4" w:space="0" w:color="auto"/>
              <w:left w:val="nil"/>
              <w:bottom w:val="single" w:sz="4" w:space="0" w:color="auto"/>
              <w:right w:val="single" w:sz="4" w:space="0" w:color="auto"/>
            </w:tcBorders>
            <w:noWrap/>
            <w:vAlign w:val="bottom"/>
            <w:hideMark/>
          </w:tcPr>
          <w:p w14:paraId="6D9E5422"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F4724C" w14:paraId="2812275C"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3FCCDA0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94" w:type="pct"/>
            <w:tcBorders>
              <w:top w:val="nil"/>
              <w:left w:val="nil"/>
              <w:bottom w:val="single" w:sz="4" w:space="0" w:color="auto"/>
              <w:right w:val="single" w:sz="4" w:space="0" w:color="auto"/>
            </w:tcBorders>
            <w:noWrap/>
            <w:vAlign w:val="bottom"/>
            <w:hideMark/>
          </w:tcPr>
          <w:p w14:paraId="30D4FFC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355,69</w:t>
            </w:r>
          </w:p>
        </w:tc>
        <w:tc>
          <w:tcPr>
            <w:tcW w:w="495" w:type="pct"/>
            <w:tcBorders>
              <w:top w:val="nil"/>
              <w:left w:val="nil"/>
              <w:bottom w:val="single" w:sz="4" w:space="0" w:color="auto"/>
              <w:right w:val="single" w:sz="4" w:space="0" w:color="auto"/>
            </w:tcBorders>
            <w:noWrap/>
            <w:vAlign w:val="bottom"/>
            <w:hideMark/>
          </w:tcPr>
          <w:p w14:paraId="766663B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738" w:type="pct"/>
            <w:tcBorders>
              <w:top w:val="nil"/>
              <w:left w:val="nil"/>
              <w:bottom w:val="single" w:sz="4" w:space="0" w:color="auto"/>
              <w:right w:val="single" w:sz="4" w:space="0" w:color="auto"/>
            </w:tcBorders>
            <w:noWrap/>
            <w:vAlign w:val="bottom"/>
            <w:hideMark/>
          </w:tcPr>
          <w:p w14:paraId="510B5FA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16,17</w:t>
            </w:r>
          </w:p>
        </w:tc>
        <w:tc>
          <w:tcPr>
            <w:tcW w:w="694" w:type="pct"/>
            <w:tcBorders>
              <w:top w:val="nil"/>
              <w:left w:val="nil"/>
              <w:bottom w:val="single" w:sz="4" w:space="0" w:color="auto"/>
              <w:right w:val="single" w:sz="4" w:space="0" w:color="auto"/>
            </w:tcBorders>
            <w:noWrap/>
            <w:vAlign w:val="bottom"/>
            <w:hideMark/>
          </w:tcPr>
          <w:p w14:paraId="3C628315"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5,72</w:t>
            </w:r>
          </w:p>
        </w:tc>
        <w:tc>
          <w:tcPr>
            <w:tcW w:w="694" w:type="pct"/>
            <w:tcBorders>
              <w:top w:val="nil"/>
              <w:left w:val="nil"/>
              <w:bottom w:val="single" w:sz="4" w:space="0" w:color="auto"/>
              <w:right w:val="single" w:sz="4" w:space="0" w:color="auto"/>
            </w:tcBorders>
            <w:noWrap/>
            <w:vAlign w:val="bottom"/>
            <w:hideMark/>
          </w:tcPr>
          <w:p w14:paraId="2A4B938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990" w:type="pct"/>
            <w:tcBorders>
              <w:top w:val="nil"/>
              <w:left w:val="nil"/>
              <w:bottom w:val="single" w:sz="4" w:space="0" w:color="auto"/>
              <w:right w:val="single" w:sz="4" w:space="0" w:color="auto"/>
            </w:tcBorders>
            <w:noWrap/>
            <w:vAlign w:val="bottom"/>
            <w:hideMark/>
          </w:tcPr>
          <w:p w14:paraId="3068305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68,08</w:t>
            </w:r>
          </w:p>
        </w:tc>
      </w:tr>
      <w:tr w:rsidR="00F4724C" w14:paraId="1BE55AE5"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5B7CB409"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694" w:type="pct"/>
            <w:tcBorders>
              <w:top w:val="nil"/>
              <w:left w:val="nil"/>
              <w:bottom w:val="single" w:sz="4" w:space="0" w:color="auto"/>
              <w:right w:val="single" w:sz="4" w:space="0" w:color="auto"/>
            </w:tcBorders>
            <w:noWrap/>
            <w:vAlign w:val="bottom"/>
            <w:hideMark/>
          </w:tcPr>
          <w:p w14:paraId="5A139F4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41,78</w:t>
            </w:r>
          </w:p>
        </w:tc>
        <w:tc>
          <w:tcPr>
            <w:tcW w:w="495" w:type="pct"/>
            <w:tcBorders>
              <w:top w:val="nil"/>
              <w:left w:val="nil"/>
              <w:bottom w:val="single" w:sz="4" w:space="0" w:color="auto"/>
              <w:right w:val="single" w:sz="4" w:space="0" w:color="auto"/>
            </w:tcBorders>
            <w:noWrap/>
            <w:vAlign w:val="bottom"/>
            <w:hideMark/>
          </w:tcPr>
          <w:p w14:paraId="3DD230B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738" w:type="pct"/>
            <w:tcBorders>
              <w:top w:val="nil"/>
              <w:left w:val="nil"/>
              <w:bottom w:val="single" w:sz="4" w:space="0" w:color="auto"/>
              <w:right w:val="single" w:sz="4" w:space="0" w:color="auto"/>
            </w:tcBorders>
            <w:noWrap/>
            <w:vAlign w:val="bottom"/>
            <w:hideMark/>
          </w:tcPr>
          <w:p w14:paraId="43A4F3F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20,89</w:t>
            </w:r>
          </w:p>
        </w:tc>
        <w:tc>
          <w:tcPr>
            <w:tcW w:w="694" w:type="pct"/>
            <w:tcBorders>
              <w:top w:val="nil"/>
              <w:left w:val="nil"/>
              <w:bottom w:val="single" w:sz="4" w:space="0" w:color="auto"/>
              <w:right w:val="single" w:sz="4" w:space="0" w:color="auto"/>
            </w:tcBorders>
            <w:noWrap/>
            <w:vAlign w:val="bottom"/>
            <w:hideMark/>
          </w:tcPr>
          <w:p w14:paraId="2A2F354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7,39</w:t>
            </w:r>
          </w:p>
        </w:tc>
        <w:tc>
          <w:tcPr>
            <w:tcW w:w="694" w:type="pct"/>
            <w:tcBorders>
              <w:top w:val="nil"/>
              <w:left w:val="nil"/>
              <w:bottom w:val="single" w:sz="4" w:space="0" w:color="auto"/>
              <w:right w:val="single" w:sz="4" w:space="0" w:color="auto"/>
            </w:tcBorders>
            <w:noWrap/>
            <w:vAlign w:val="bottom"/>
            <w:hideMark/>
          </w:tcPr>
          <w:p w14:paraId="701AA3C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0,0014</w:t>
            </w:r>
          </w:p>
        </w:tc>
        <w:tc>
          <w:tcPr>
            <w:tcW w:w="990" w:type="pct"/>
            <w:tcBorders>
              <w:top w:val="nil"/>
              <w:left w:val="nil"/>
              <w:bottom w:val="single" w:sz="4" w:space="0" w:color="auto"/>
              <w:right w:val="single" w:sz="4" w:space="0" w:color="auto"/>
            </w:tcBorders>
            <w:noWrap/>
            <w:vAlign w:val="bottom"/>
            <w:hideMark/>
          </w:tcPr>
          <w:p w14:paraId="4909E6B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8,00</w:t>
            </w:r>
          </w:p>
        </w:tc>
      </w:tr>
      <w:tr w:rsidR="00F4724C" w14:paraId="3657A8E5"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48DCB73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94" w:type="pct"/>
            <w:tcBorders>
              <w:top w:val="nil"/>
              <w:left w:val="nil"/>
              <w:bottom w:val="single" w:sz="4" w:space="0" w:color="auto"/>
              <w:right w:val="single" w:sz="4" w:space="0" w:color="auto"/>
            </w:tcBorders>
            <w:noWrap/>
            <w:vAlign w:val="bottom"/>
            <w:hideMark/>
          </w:tcPr>
          <w:p w14:paraId="566CAEE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225,52</w:t>
            </w:r>
          </w:p>
        </w:tc>
        <w:tc>
          <w:tcPr>
            <w:tcW w:w="495" w:type="pct"/>
            <w:tcBorders>
              <w:top w:val="nil"/>
              <w:left w:val="nil"/>
              <w:bottom w:val="single" w:sz="4" w:space="0" w:color="auto"/>
              <w:right w:val="single" w:sz="4" w:space="0" w:color="auto"/>
            </w:tcBorders>
            <w:noWrap/>
            <w:vAlign w:val="bottom"/>
            <w:hideMark/>
          </w:tcPr>
          <w:p w14:paraId="227E1D5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w:t>
            </w:r>
          </w:p>
        </w:tc>
        <w:tc>
          <w:tcPr>
            <w:tcW w:w="738" w:type="pct"/>
            <w:tcBorders>
              <w:top w:val="nil"/>
              <w:left w:val="nil"/>
              <w:bottom w:val="single" w:sz="4" w:space="0" w:color="auto"/>
              <w:right w:val="single" w:sz="4" w:space="0" w:color="auto"/>
            </w:tcBorders>
            <w:noWrap/>
            <w:vAlign w:val="bottom"/>
            <w:hideMark/>
          </w:tcPr>
          <w:p w14:paraId="5B39965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32,22</w:t>
            </w:r>
          </w:p>
        </w:tc>
        <w:tc>
          <w:tcPr>
            <w:tcW w:w="694" w:type="pct"/>
            <w:tcBorders>
              <w:top w:val="nil"/>
              <w:left w:val="nil"/>
              <w:bottom w:val="single" w:sz="4" w:space="0" w:color="auto"/>
              <w:right w:val="single" w:sz="4" w:space="0" w:color="auto"/>
            </w:tcBorders>
            <w:noWrap/>
            <w:vAlign w:val="bottom"/>
            <w:hideMark/>
          </w:tcPr>
          <w:p w14:paraId="4B4A20E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11,4</w:t>
            </w:r>
          </w:p>
        </w:tc>
        <w:tc>
          <w:tcPr>
            <w:tcW w:w="694" w:type="pct"/>
            <w:tcBorders>
              <w:top w:val="nil"/>
              <w:left w:val="nil"/>
              <w:bottom w:val="single" w:sz="4" w:space="0" w:color="auto"/>
              <w:right w:val="single" w:sz="4" w:space="0" w:color="auto"/>
            </w:tcBorders>
            <w:noWrap/>
            <w:vAlign w:val="bottom"/>
            <w:hideMark/>
          </w:tcPr>
          <w:p w14:paraId="75DC79A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990" w:type="pct"/>
            <w:tcBorders>
              <w:top w:val="nil"/>
              <w:left w:val="nil"/>
              <w:bottom w:val="single" w:sz="4" w:space="0" w:color="auto"/>
              <w:right w:val="single" w:sz="4" w:space="0" w:color="auto"/>
            </w:tcBorders>
            <w:noWrap/>
            <w:vAlign w:val="bottom"/>
            <w:hideMark/>
          </w:tcPr>
          <w:p w14:paraId="2634100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43,16</w:t>
            </w:r>
          </w:p>
        </w:tc>
      </w:tr>
      <w:tr w:rsidR="00F4724C" w14:paraId="41D79473"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5BF7368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94" w:type="pct"/>
            <w:tcBorders>
              <w:top w:val="nil"/>
              <w:left w:val="nil"/>
              <w:bottom w:val="single" w:sz="4" w:space="0" w:color="auto"/>
              <w:right w:val="single" w:sz="4" w:space="0" w:color="auto"/>
            </w:tcBorders>
            <w:noWrap/>
            <w:vAlign w:val="bottom"/>
            <w:hideMark/>
          </w:tcPr>
          <w:p w14:paraId="35F4A58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32,47</w:t>
            </w:r>
          </w:p>
        </w:tc>
        <w:tc>
          <w:tcPr>
            <w:tcW w:w="495" w:type="pct"/>
            <w:tcBorders>
              <w:top w:val="nil"/>
              <w:left w:val="nil"/>
              <w:bottom w:val="single" w:sz="4" w:space="0" w:color="auto"/>
              <w:right w:val="single" w:sz="4" w:space="0" w:color="auto"/>
            </w:tcBorders>
            <w:noWrap/>
            <w:vAlign w:val="bottom"/>
            <w:hideMark/>
          </w:tcPr>
          <w:p w14:paraId="057DF705"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738" w:type="pct"/>
            <w:tcBorders>
              <w:top w:val="nil"/>
              <w:left w:val="nil"/>
              <w:bottom w:val="single" w:sz="4" w:space="0" w:color="auto"/>
              <w:right w:val="single" w:sz="4" w:space="0" w:color="auto"/>
            </w:tcBorders>
            <w:noWrap/>
            <w:vAlign w:val="bottom"/>
            <w:hideMark/>
          </w:tcPr>
          <w:p w14:paraId="4C7A3449"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8,12</w:t>
            </w:r>
          </w:p>
        </w:tc>
        <w:tc>
          <w:tcPr>
            <w:tcW w:w="694" w:type="pct"/>
            <w:tcBorders>
              <w:top w:val="nil"/>
              <w:left w:val="nil"/>
              <w:bottom w:val="single" w:sz="4" w:space="0" w:color="auto"/>
              <w:right w:val="single" w:sz="4" w:space="0" w:color="auto"/>
            </w:tcBorders>
            <w:noWrap/>
            <w:vAlign w:val="bottom"/>
            <w:hideMark/>
          </w:tcPr>
          <w:p w14:paraId="0734BA9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2,87</w:t>
            </w:r>
          </w:p>
        </w:tc>
        <w:tc>
          <w:tcPr>
            <w:tcW w:w="694" w:type="pct"/>
            <w:tcBorders>
              <w:top w:val="nil"/>
              <w:left w:val="nil"/>
              <w:bottom w:val="single" w:sz="4" w:space="0" w:color="auto"/>
              <w:right w:val="single" w:sz="4" w:space="0" w:color="auto"/>
            </w:tcBorders>
            <w:noWrap/>
            <w:vAlign w:val="bottom"/>
            <w:hideMark/>
          </w:tcPr>
          <w:p w14:paraId="0CE65C0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0,0305</w:t>
            </w:r>
          </w:p>
        </w:tc>
        <w:tc>
          <w:tcPr>
            <w:tcW w:w="990" w:type="pct"/>
            <w:tcBorders>
              <w:top w:val="nil"/>
              <w:left w:val="nil"/>
              <w:bottom w:val="single" w:sz="4" w:space="0" w:color="auto"/>
              <w:right w:val="single" w:sz="4" w:space="0" w:color="auto"/>
            </w:tcBorders>
            <w:noWrap/>
            <w:vAlign w:val="bottom"/>
            <w:hideMark/>
          </w:tcPr>
          <w:p w14:paraId="7C64CB4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6,21</w:t>
            </w:r>
          </w:p>
        </w:tc>
      </w:tr>
      <w:tr w:rsidR="00F4724C" w14:paraId="6684B82D"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0666CD0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94" w:type="pct"/>
            <w:tcBorders>
              <w:top w:val="nil"/>
              <w:left w:val="nil"/>
              <w:bottom w:val="single" w:sz="4" w:space="0" w:color="auto"/>
              <w:right w:val="single" w:sz="4" w:space="0" w:color="auto"/>
            </w:tcBorders>
            <w:noWrap/>
            <w:vAlign w:val="bottom"/>
            <w:hideMark/>
          </w:tcPr>
          <w:p w14:paraId="30D469C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23,18</w:t>
            </w:r>
          </w:p>
        </w:tc>
        <w:tc>
          <w:tcPr>
            <w:tcW w:w="495" w:type="pct"/>
            <w:tcBorders>
              <w:top w:val="nil"/>
              <w:left w:val="nil"/>
              <w:bottom w:val="single" w:sz="4" w:space="0" w:color="auto"/>
              <w:right w:val="single" w:sz="4" w:space="0" w:color="auto"/>
            </w:tcBorders>
            <w:noWrap/>
            <w:vAlign w:val="bottom"/>
            <w:hideMark/>
          </w:tcPr>
          <w:p w14:paraId="5FEB924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738" w:type="pct"/>
            <w:tcBorders>
              <w:top w:val="nil"/>
              <w:left w:val="nil"/>
              <w:bottom w:val="single" w:sz="4" w:space="0" w:color="auto"/>
              <w:right w:val="single" w:sz="4" w:space="0" w:color="auto"/>
            </w:tcBorders>
            <w:noWrap/>
            <w:vAlign w:val="bottom"/>
            <w:hideMark/>
          </w:tcPr>
          <w:p w14:paraId="6B58499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5,79</w:t>
            </w:r>
          </w:p>
        </w:tc>
        <w:tc>
          <w:tcPr>
            <w:tcW w:w="694" w:type="pct"/>
            <w:tcBorders>
              <w:top w:val="nil"/>
              <w:left w:val="nil"/>
              <w:bottom w:val="single" w:sz="4" w:space="0" w:color="auto"/>
              <w:right w:val="single" w:sz="4" w:space="0" w:color="auto"/>
            </w:tcBorders>
            <w:noWrap/>
            <w:vAlign w:val="bottom"/>
            <w:hideMark/>
          </w:tcPr>
          <w:p w14:paraId="350D34B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2,05</w:t>
            </w:r>
          </w:p>
        </w:tc>
        <w:tc>
          <w:tcPr>
            <w:tcW w:w="694" w:type="pct"/>
            <w:tcBorders>
              <w:top w:val="nil"/>
              <w:left w:val="nil"/>
              <w:bottom w:val="single" w:sz="4" w:space="0" w:color="auto"/>
              <w:right w:val="single" w:sz="4" w:space="0" w:color="auto"/>
            </w:tcBorders>
            <w:noWrap/>
            <w:vAlign w:val="bottom"/>
            <w:hideMark/>
          </w:tcPr>
          <w:p w14:paraId="56AB8C1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0,099</w:t>
            </w:r>
          </w:p>
        </w:tc>
        <w:tc>
          <w:tcPr>
            <w:tcW w:w="990" w:type="pct"/>
            <w:tcBorders>
              <w:top w:val="nil"/>
              <w:left w:val="nil"/>
              <w:bottom w:val="single" w:sz="4" w:space="0" w:color="auto"/>
              <w:right w:val="single" w:sz="4" w:space="0" w:color="auto"/>
            </w:tcBorders>
            <w:noWrap/>
            <w:vAlign w:val="bottom"/>
            <w:hideMark/>
          </w:tcPr>
          <w:p w14:paraId="0E296E9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4,44</w:t>
            </w:r>
          </w:p>
        </w:tc>
      </w:tr>
      <w:tr w:rsidR="00F4724C" w14:paraId="2C7E2F80"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0C9A72F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94" w:type="pct"/>
            <w:tcBorders>
              <w:top w:val="nil"/>
              <w:left w:val="nil"/>
              <w:bottom w:val="single" w:sz="4" w:space="0" w:color="auto"/>
              <w:right w:val="single" w:sz="4" w:space="0" w:color="auto"/>
            </w:tcBorders>
            <w:noWrap/>
            <w:vAlign w:val="bottom"/>
            <w:hideMark/>
          </w:tcPr>
          <w:p w14:paraId="1C390E5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6,75</w:t>
            </w:r>
          </w:p>
        </w:tc>
        <w:tc>
          <w:tcPr>
            <w:tcW w:w="495" w:type="pct"/>
            <w:tcBorders>
              <w:top w:val="nil"/>
              <w:left w:val="nil"/>
              <w:bottom w:val="single" w:sz="4" w:space="0" w:color="auto"/>
              <w:right w:val="single" w:sz="4" w:space="0" w:color="auto"/>
            </w:tcBorders>
            <w:noWrap/>
            <w:vAlign w:val="bottom"/>
            <w:hideMark/>
          </w:tcPr>
          <w:p w14:paraId="53E7608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738" w:type="pct"/>
            <w:tcBorders>
              <w:top w:val="nil"/>
              <w:left w:val="nil"/>
              <w:bottom w:val="single" w:sz="4" w:space="0" w:color="auto"/>
              <w:right w:val="single" w:sz="4" w:space="0" w:color="auto"/>
            </w:tcBorders>
            <w:noWrap/>
            <w:vAlign w:val="bottom"/>
            <w:hideMark/>
          </w:tcPr>
          <w:p w14:paraId="6E6E840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2,25</w:t>
            </w:r>
          </w:p>
        </w:tc>
        <w:tc>
          <w:tcPr>
            <w:tcW w:w="694" w:type="pct"/>
            <w:tcBorders>
              <w:top w:val="nil"/>
              <w:left w:val="nil"/>
              <w:bottom w:val="single" w:sz="4" w:space="0" w:color="auto"/>
              <w:right w:val="single" w:sz="4" w:space="0" w:color="auto"/>
            </w:tcBorders>
            <w:noWrap/>
            <w:vAlign w:val="bottom"/>
            <w:hideMark/>
          </w:tcPr>
          <w:p w14:paraId="20CC568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w:t>
            </w:r>
          </w:p>
        </w:tc>
        <w:tc>
          <w:tcPr>
            <w:tcW w:w="694" w:type="pct"/>
            <w:tcBorders>
              <w:top w:val="nil"/>
              <w:left w:val="nil"/>
              <w:bottom w:val="single" w:sz="4" w:space="0" w:color="auto"/>
              <w:right w:val="single" w:sz="4" w:space="0" w:color="auto"/>
            </w:tcBorders>
            <w:noWrap/>
            <w:vAlign w:val="bottom"/>
            <w:hideMark/>
          </w:tcPr>
          <w:p w14:paraId="5A20BCF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0,5013</w:t>
            </w:r>
          </w:p>
        </w:tc>
        <w:tc>
          <w:tcPr>
            <w:tcW w:w="990" w:type="pct"/>
            <w:tcBorders>
              <w:top w:val="nil"/>
              <w:left w:val="nil"/>
              <w:bottom w:val="single" w:sz="4" w:space="0" w:color="auto"/>
              <w:right w:val="single" w:sz="4" w:space="0" w:color="auto"/>
            </w:tcBorders>
            <w:noWrap/>
            <w:vAlign w:val="bottom"/>
            <w:hideMark/>
          </w:tcPr>
          <w:p w14:paraId="34FEC2A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1,29</w:t>
            </w:r>
          </w:p>
        </w:tc>
      </w:tr>
      <w:tr w:rsidR="00F4724C" w14:paraId="632C6322"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7FF1092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694" w:type="pct"/>
            <w:tcBorders>
              <w:top w:val="nil"/>
              <w:left w:val="nil"/>
              <w:bottom w:val="single" w:sz="4" w:space="0" w:color="auto"/>
              <w:right w:val="single" w:sz="4" w:space="0" w:color="auto"/>
            </w:tcBorders>
            <w:noWrap/>
            <w:vAlign w:val="bottom"/>
            <w:hideMark/>
          </w:tcPr>
          <w:p w14:paraId="5CF829B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25,99</w:t>
            </w:r>
          </w:p>
        </w:tc>
        <w:tc>
          <w:tcPr>
            <w:tcW w:w="495" w:type="pct"/>
            <w:tcBorders>
              <w:top w:val="nil"/>
              <w:left w:val="nil"/>
              <w:bottom w:val="single" w:sz="4" w:space="0" w:color="auto"/>
              <w:right w:val="single" w:sz="4" w:space="0" w:color="auto"/>
            </w:tcBorders>
            <w:noWrap/>
            <w:vAlign w:val="bottom"/>
            <w:hideMark/>
          </w:tcPr>
          <w:p w14:paraId="3764BBD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738" w:type="pct"/>
            <w:tcBorders>
              <w:top w:val="nil"/>
              <w:left w:val="nil"/>
              <w:bottom w:val="single" w:sz="4" w:space="0" w:color="auto"/>
              <w:right w:val="single" w:sz="4" w:space="0" w:color="auto"/>
            </w:tcBorders>
            <w:noWrap/>
            <w:vAlign w:val="bottom"/>
            <w:hideMark/>
          </w:tcPr>
          <w:p w14:paraId="2E867AE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694" w:type="pct"/>
            <w:tcBorders>
              <w:top w:val="nil"/>
              <w:left w:val="nil"/>
              <w:bottom w:val="single" w:sz="4" w:space="0" w:color="auto"/>
              <w:right w:val="single" w:sz="4" w:space="0" w:color="auto"/>
            </w:tcBorders>
            <w:noWrap/>
            <w:vAlign w:val="bottom"/>
            <w:hideMark/>
          </w:tcPr>
          <w:p w14:paraId="78259CF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694" w:type="pct"/>
            <w:tcBorders>
              <w:top w:val="nil"/>
              <w:left w:val="nil"/>
              <w:bottom w:val="single" w:sz="4" w:space="0" w:color="auto"/>
              <w:right w:val="single" w:sz="4" w:space="0" w:color="auto"/>
            </w:tcBorders>
            <w:noWrap/>
            <w:vAlign w:val="bottom"/>
            <w:hideMark/>
          </w:tcPr>
          <w:p w14:paraId="5602F67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0,0139</w:t>
            </w:r>
          </w:p>
        </w:tc>
        <w:tc>
          <w:tcPr>
            <w:tcW w:w="990" w:type="pct"/>
            <w:tcBorders>
              <w:top w:val="nil"/>
              <w:left w:val="nil"/>
              <w:bottom w:val="single" w:sz="4" w:space="0" w:color="auto"/>
              <w:right w:val="single" w:sz="4" w:space="0" w:color="auto"/>
            </w:tcBorders>
            <w:noWrap/>
            <w:vAlign w:val="bottom"/>
            <w:hideMark/>
          </w:tcPr>
          <w:p w14:paraId="4AB6D59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4,97</w:t>
            </w:r>
          </w:p>
        </w:tc>
      </w:tr>
      <w:tr w:rsidR="00F4724C" w14:paraId="3411CB19"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38E3FD6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94" w:type="pct"/>
            <w:tcBorders>
              <w:top w:val="nil"/>
              <w:left w:val="nil"/>
              <w:bottom w:val="single" w:sz="4" w:space="0" w:color="auto"/>
              <w:right w:val="single" w:sz="4" w:space="0" w:color="auto"/>
            </w:tcBorders>
            <w:noWrap/>
            <w:vAlign w:val="bottom"/>
            <w:hideMark/>
          </w:tcPr>
          <w:p w14:paraId="1D7DEB8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166,79</w:t>
            </w:r>
          </w:p>
        </w:tc>
        <w:tc>
          <w:tcPr>
            <w:tcW w:w="495" w:type="pct"/>
            <w:tcBorders>
              <w:top w:val="nil"/>
              <w:left w:val="nil"/>
              <w:bottom w:val="single" w:sz="4" w:space="0" w:color="auto"/>
              <w:right w:val="single" w:sz="4" w:space="0" w:color="auto"/>
            </w:tcBorders>
            <w:noWrap/>
            <w:vAlign w:val="bottom"/>
            <w:hideMark/>
          </w:tcPr>
          <w:p w14:paraId="02C27FD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59</w:t>
            </w:r>
          </w:p>
        </w:tc>
        <w:tc>
          <w:tcPr>
            <w:tcW w:w="738" w:type="pct"/>
            <w:tcBorders>
              <w:top w:val="nil"/>
              <w:left w:val="nil"/>
              <w:bottom w:val="single" w:sz="4" w:space="0" w:color="auto"/>
              <w:right w:val="single" w:sz="4" w:space="0" w:color="auto"/>
            </w:tcBorders>
            <w:noWrap/>
            <w:vAlign w:val="bottom"/>
            <w:hideMark/>
          </w:tcPr>
          <w:p w14:paraId="7AAEA84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2,83</w:t>
            </w:r>
          </w:p>
        </w:tc>
        <w:tc>
          <w:tcPr>
            <w:tcW w:w="694" w:type="pct"/>
            <w:tcBorders>
              <w:top w:val="nil"/>
              <w:left w:val="nil"/>
              <w:bottom w:val="single" w:sz="4" w:space="0" w:color="auto"/>
              <w:right w:val="single" w:sz="4" w:space="0" w:color="auto"/>
            </w:tcBorders>
            <w:noWrap/>
            <w:vAlign w:val="bottom"/>
            <w:hideMark/>
          </w:tcPr>
          <w:p w14:paraId="197B8C5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4" w:type="pct"/>
            <w:tcBorders>
              <w:top w:val="nil"/>
              <w:left w:val="nil"/>
              <w:bottom w:val="single" w:sz="4" w:space="0" w:color="auto"/>
              <w:right w:val="single" w:sz="4" w:space="0" w:color="auto"/>
            </w:tcBorders>
            <w:noWrap/>
            <w:vAlign w:val="bottom"/>
            <w:hideMark/>
          </w:tcPr>
          <w:p w14:paraId="33C37B1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90" w:type="pct"/>
            <w:tcBorders>
              <w:top w:val="nil"/>
              <w:left w:val="nil"/>
              <w:bottom w:val="single" w:sz="4" w:space="0" w:color="auto"/>
              <w:right w:val="single" w:sz="4" w:space="0" w:color="auto"/>
            </w:tcBorders>
            <w:noWrap/>
            <w:vAlign w:val="bottom"/>
            <w:hideMark/>
          </w:tcPr>
          <w:p w14:paraId="6D56C00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31,92</w:t>
            </w:r>
          </w:p>
        </w:tc>
      </w:tr>
      <w:tr w:rsidR="00F4724C" w14:paraId="34789DFE" w14:textId="77777777" w:rsidTr="00F4724C">
        <w:trPr>
          <w:trHeight w:val="300"/>
        </w:trPr>
        <w:tc>
          <w:tcPr>
            <w:tcW w:w="694" w:type="pct"/>
            <w:tcBorders>
              <w:top w:val="nil"/>
              <w:left w:val="single" w:sz="4" w:space="0" w:color="auto"/>
              <w:bottom w:val="single" w:sz="4" w:space="0" w:color="auto"/>
              <w:right w:val="single" w:sz="4" w:space="0" w:color="auto"/>
            </w:tcBorders>
            <w:noWrap/>
            <w:vAlign w:val="bottom"/>
            <w:hideMark/>
          </w:tcPr>
          <w:p w14:paraId="29A94FF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94" w:type="pct"/>
            <w:tcBorders>
              <w:top w:val="nil"/>
              <w:left w:val="nil"/>
              <w:bottom w:val="single" w:sz="4" w:space="0" w:color="auto"/>
              <w:right w:val="single" w:sz="4" w:space="0" w:color="auto"/>
            </w:tcBorders>
            <w:noWrap/>
            <w:vAlign w:val="bottom"/>
            <w:hideMark/>
          </w:tcPr>
          <w:p w14:paraId="5F6E181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522,48</w:t>
            </w:r>
          </w:p>
        </w:tc>
        <w:tc>
          <w:tcPr>
            <w:tcW w:w="495" w:type="pct"/>
            <w:tcBorders>
              <w:top w:val="nil"/>
              <w:left w:val="nil"/>
              <w:bottom w:val="single" w:sz="4" w:space="0" w:color="auto"/>
              <w:right w:val="single" w:sz="4" w:space="0" w:color="auto"/>
            </w:tcBorders>
            <w:noWrap/>
            <w:vAlign w:val="bottom"/>
            <w:hideMark/>
          </w:tcPr>
          <w:p w14:paraId="1D9FF8C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w:t>
            </w:r>
          </w:p>
        </w:tc>
        <w:tc>
          <w:tcPr>
            <w:tcW w:w="738" w:type="pct"/>
            <w:tcBorders>
              <w:top w:val="nil"/>
              <w:left w:val="nil"/>
              <w:bottom w:val="single" w:sz="4" w:space="0" w:color="auto"/>
              <w:right w:val="single" w:sz="4" w:space="0" w:color="auto"/>
            </w:tcBorders>
            <w:noWrap/>
            <w:vAlign w:val="bottom"/>
            <w:hideMark/>
          </w:tcPr>
          <w:p w14:paraId="1D171DB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4" w:type="pct"/>
            <w:tcBorders>
              <w:top w:val="nil"/>
              <w:left w:val="nil"/>
              <w:bottom w:val="single" w:sz="4" w:space="0" w:color="auto"/>
              <w:right w:val="single" w:sz="4" w:space="0" w:color="auto"/>
            </w:tcBorders>
            <w:noWrap/>
            <w:vAlign w:val="bottom"/>
            <w:hideMark/>
          </w:tcPr>
          <w:p w14:paraId="1ADBDD4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4" w:type="pct"/>
            <w:tcBorders>
              <w:top w:val="nil"/>
              <w:left w:val="nil"/>
              <w:bottom w:val="single" w:sz="4" w:space="0" w:color="auto"/>
              <w:right w:val="single" w:sz="4" w:space="0" w:color="auto"/>
            </w:tcBorders>
            <w:noWrap/>
            <w:vAlign w:val="bottom"/>
            <w:hideMark/>
          </w:tcPr>
          <w:p w14:paraId="7FC3F66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90" w:type="pct"/>
            <w:tcBorders>
              <w:top w:val="nil"/>
              <w:left w:val="nil"/>
              <w:bottom w:val="single" w:sz="4" w:space="0" w:color="auto"/>
              <w:right w:val="single" w:sz="4" w:space="0" w:color="auto"/>
            </w:tcBorders>
            <w:noWrap/>
            <w:vAlign w:val="bottom"/>
            <w:hideMark/>
          </w:tcPr>
          <w:p w14:paraId="1BD0CDE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6B6A2268" w14:textId="2BFFC494" w:rsidR="00F4724C" w:rsidRDefault="00F4724C" w:rsidP="004C6FDC">
      <w:pPr>
        <w:autoSpaceDE w:val="0"/>
        <w:autoSpaceDN w:val="0"/>
        <w:adjustRightInd w:val="0"/>
        <w:spacing w:before="360" w:after="0" w:line="360" w:lineRule="auto"/>
        <w:rPr>
          <w:rFonts w:cs="Times New Roman"/>
          <w:bCs/>
          <w:szCs w:val="24"/>
        </w:rPr>
      </w:pPr>
      <w:r>
        <w:rPr>
          <w:rFonts w:cs="Times New Roman"/>
          <w:bCs/>
          <w:szCs w:val="24"/>
        </w:rPr>
        <w:lastRenderedPageBreak/>
        <w:t xml:space="preserve">El modelo estadístico establecido explica el 68,08 % de la variación observada en los datos; siendo que el azufre aplicado explicó menos del </w:t>
      </w:r>
      <w:r w:rsidR="000029E1">
        <w:rPr>
          <w:rFonts w:cs="Times New Roman"/>
          <w:bCs/>
          <w:szCs w:val="24"/>
        </w:rPr>
        <w:t>2</w:t>
      </w:r>
      <w:r>
        <w:rPr>
          <w:rFonts w:cs="Times New Roman"/>
          <w:bCs/>
          <w:szCs w:val="24"/>
        </w:rPr>
        <w:t>% de absorción de azufre con un 1,29% de la variación observada. Un 31,92 % de la variación se les atribuyó a efectos aleatorios que el modelo no pudo explicar (error). La parroquia, nitrógeno fósforo potasio y el magnesio explicaron el 8,00 %, 43,16 %, 6,21 %, 4,44 %, y 4,97 % de a</w:t>
      </w:r>
      <w:r w:rsidR="000029E1">
        <w:rPr>
          <w:rFonts w:cs="Times New Roman"/>
          <w:bCs/>
          <w:szCs w:val="24"/>
        </w:rPr>
        <w:t>b</w:t>
      </w:r>
      <w:r>
        <w:rPr>
          <w:rFonts w:cs="Times New Roman"/>
          <w:bCs/>
          <w:szCs w:val="24"/>
        </w:rPr>
        <w:t>sorción de azufre, respectivamente (</w:t>
      </w:r>
      <w:r w:rsidR="001A3E5A">
        <w:rPr>
          <w:rFonts w:cs="Times New Roman"/>
          <w:bCs/>
          <w:szCs w:val="24"/>
        </w:rPr>
        <w:t>Cuadro</w:t>
      </w:r>
      <w:r>
        <w:rPr>
          <w:rFonts w:cs="Times New Roman"/>
          <w:bCs/>
          <w:szCs w:val="24"/>
        </w:rPr>
        <w:t xml:space="preserve"> 86).  </w:t>
      </w:r>
    </w:p>
    <w:p w14:paraId="4FA81C50" w14:textId="77777777" w:rsidR="004C6FDC" w:rsidRDefault="00F4724C" w:rsidP="004C6FDC">
      <w:pPr>
        <w:autoSpaceDE w:val="0"/>
        <w:autoSpaceDN w:val="0"/>
        <w:adjustRightInd w:val="0"/>
        <w:spacing w:before="360" w:after="0" w:line="360" w:lineRule="auto"/>
        <w:rPr>
          <w:rFonts w:cs="Times New Roman"/>
          <w:bCs/>
          <w:szCs w:val="24"/>
        </w:rPr>
      </w:pPr>
      <w:r>
        <w:rPr>
          <w:rFonts w:cs="Times New Roman"/>
          <w:bCs/>
          <w:szCs w:val="24"/>
        </w:rPr>
        <w:t>En l</w:t>
      </w:r>
      <w:r w:rsidR="001A3E5A">
        <w:rPr>
          <w:rFonts w:cs="Times New Roman"/>
          <w:bCs/>
          <w:szCs w:val="24"/>
        </w:rPr>
        <w:t xml:space="preserve">os cuadros </w:t>
      </w:r>
      <w:r>
        <w:rPr>
          <w:rFonts w:cs="Times New Roman"/>
          <w:bCs/>
          <w:szCs w:val="24"/>
        </w:rPr>
        <w:t>8</w:t>
      </w:r>
      <w:r w:rsidR="0039325D">
        <w:rPr>
          <w:rFonts w:cs="Times New Roman"/>
          <w:bCs/>
          <w:szCs w:val="24"/>
        </w:rPr>
        <w:t xml:space="preserve">6, 87, 88, 89, 90 y 91 </w:t>
      </w:r>
      <w:r>
        <w:rPr>
          <w:rFonts w:cs="Times New Roman"/>
          <w:bCs/>
          <w:szCs w:val="24"/>
        </w:rPr>
        <w:t>se presentan los promedios y el error estándar de absorción de fósforo por efecto de las localidades (parroquia) y los niveles de fertilizantes aplicados en los ensayos.</w:t>
      </w:r>
      <w:bookmarkStart w:id="1648" w:name="_Toc79314079"/>
    </w:p>
    <w:p w14:paraId="491ED8AD" w14:textId="0443D19D" w:rsidR="00D35FEF" w:rsidRPr="004C6FDC" w:rsidRDefault="00D35FEF" w:rsidP="004C6FDC">
      <w:pPr>
        <w:autoSpaceDE w:val="0"/>
        <w:autoSpaceDN w:val="0"/>
        <w:adjustRightInd w:val="0"/>
        <w:spacing w:before="360" w:after="0" w:line="360" w:lineRule="auto"/>
        <w:rPr>
          <w:rFonts w:cs="Times New Roman"/>
          <w:bCs/>
          <w:szCs w:val="24"/>
        </w:rPr>
      </w:pPr>
      <w:r w:rsidRPr="00D35FEF">
        <w:rPr>
          <w:rFonts w:cs="Times New Roman"/>
          <w:b/>
          <w:bCs/>
          <w:szCs w:val="24"/>
        </w:rPr>
        <w:t xml:space="preserve">Cuadro </w:t>
      </w:r>
      <w:r w:rsidRPr="00D35FEF">
        <w:rPr>
          <w:rFonts w:cs="Times New Roman"/>
          <w:b/>
          <w:bCs/>
          <w:i/>
          <w:iCs/>
          <w:szCs w:val="24"/>
        </w:rPr>
        <w:fldChar w:fldCharType="begin"/>
      </w:r>
      <w:r w:rsidRPr="00D35FEF">
        <w:rPr>
          <w:rFonts w:cs="Times New Roman"/>
          <w:b/>
          <w:bCs/>
          <w:szCs w:val="24"/>
        </w:rPr>
        <w:instrText xml:space="preserve"> SEQ Cuadro \* ARABIC </w:instrText>
      </w:r>
      <w:r w:rsidRPr="00D35FEF">
        <w:rPr>
          <w:rFonts w:cs="Times New Roman"/>
          <w:b/>
          <w:bCs/>
          <w:i/>
          <w:iCs/>
          <w:szCs w:val="24"/>
        </w:rPr>
        <w:fldChar w:fldCharType="separate"/>
      </w:r>
      <w:r w:rsidR="000D1F55">
        <w:rPr>
          <w:rFonts w:cs="Times New Roman"/>
          <w:b/>
          <w:bCs/>
          <w:noProof/>
          <w:szCs w:val="24"/>
        </w:rPr>
        <w:t>87</w:t>
      </w:r>
      <w:r w:rsidRPr="00D35FEF">
        <w:rPr>
          <w:rFonts w:cs="Times New Roman"/>
          <w:b/>
          <w:bCs/>
          <w:i/>
          <w:iCs/>
          <w:szCs w:val="24"/>
        </w:rPr>
        <w:fldChar w:fldCharType="end"/>
      </w:r>
      <w:r w:rsidRPr="00D35FEF">
        <w:rPr>
          <w:rFonts w:cs="Times New Roman"/>
          <w:b/>
          <w:bCs/>
          <w:szCs w:val="24"/>
        </w:rPr>
        <w:t>.</w:t>
      </w:r>
      <w:r w:rsidRPr="00D35FEF">
        <w:rPr>
          <w:rFonts w:cs="Times New Roman"/>
          <w:bCs/>
          <w:szCs w:val="24"/>
        </w:rPr>
        <w:t xml:space="preserve"> Absorción total de azufre en plantas de maíz evaluado por localidades (parroquia) en la provincia de Chimborazo 2012-2014.</w:t>
      </w:r>
      <w:bookmarkEnd w:id="1648"/>
    </w:p>
    <w:tbl>
      <w:tblPr>
        <w:tblW w:w="7200" w:type="dxa"/>
        <w:jc w:val="center"/>
        <w:tblCellMar>
          <w:left w:w="70" w:type="dxa"/>
          <w:right w:w="70" w:type="dxa"/>
        </w:tblCellMar>
        <w:tblLook w:val="04A0" w:firstRow="1" w:lastRow="0" w:firstColumn="1" w:lastColumn="0" w:noHBand="0" w:noVBand="1"/>
      </w:tblPr>
      <w:tblGrid>
        <w:gridCol w:w="1200"/>
        <w:gridCol w:w="1200"/>
        <w:gridCol w:w="572"/>
        <w:gridCol w:w="1828"/>
        <w:gridCol w:w="1200"/>
        <w:gridCol w:w="1200"/>
      </w:tblGrid>
      <w:tr w:rsidR="00F4724C" w14:paraId="56F459CF" w14:textId="77777777" w:rsidTr="00180B04">
        <w:trPr>
          <w:trHeight w:val="300"/>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03A4818A"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Parroquia</w:t>
            </w:r>
          </w:p>
        </w:tc>
        <w:tc>
          <w:tcPr>
            <w:tcW w:w="1200" w:type="dxa"/>
            <w:tcBorders>
              <w:top w:val="single" w:sz="4" w:space="0" w:color="auto"/>
              <w:left w:val="nil"/>
              <w:bottom w:val="single" w:sz="4" w:space="0" w:color="auto"/>
              <w:right w:val="single" w:sz="4" w:space="0" w:color="auto"/>
            </w:tcBorders>
            <w:noWrap/>
            <w:vAlign w:val="bottom"/>
            <w:hideMark/>
          </w:tcPr>
          <w:p w14:paraId="590A3B03"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72" w:type="dxa"/>
            <w:tcBorders>
              <w:top w:val="single" w:sz="4" w:space="0" w:color="auto"/>
              <w:left w:val="nil"/>
              <w:bottom w:val="single" w:sz="4" w:space="0" w:color="auto"/>
              <w:right w:val="single" w:sz="4" w:space="0" w:color="auto"/>
            </w:tcBorders>
            <w:noWrap/>
            <w:vAlign w:val="bottom"/>
            <w:hideMark/>
          </w:tcPr>
          <w:p w14:paraId="7886BE8C"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28" w:type="dxa"/>
            <w:tcBorders>
              <w:top w:val="single" w:sz="4" w:space="0" w:color="auto"/>
              <w:left w:val="nil"/>
              <w:bottom w:val="single" w:sz="4" w:space="0" w:color="auto"/>
              <w:right w:val="single" w:sz="4" w:space="0" w:color="auto"/>
            </w:tcBorders>
            <w:noWrap/>
            <w:vAlign w:val="bottom"/>
            <w:hideMark/>
          </w:tcPr>
          <w:p w14:paraId="6449069B" w14:textId="77777777" w:rsidR="00F4724C" w:rsidRDefault="00F4724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608F4AFD" w14:textId="77777777" w:rsidR="00F4724C" w:rsidRDefault="00F4724C" w:rsidP="004C6FDC">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743CAE37" w14:textId="77777777" w:rsidR="00F4724C" w:rsidRDefault="00F4724C" w:rsidP="004C6FDC">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5D20E038" w14:textId="77777777" w:rsidTr="00180B04">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77262E5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Licto    </w:t>
            </w:r>
          </w:p>
        </w:tc>
        <w:tc>
          <w:tcPr>
            <w:tcW w:w="1200" w:type="dxa"/>
            <w:tcBorders>
              <w:top w:val="nil"/>
              <w:left w:val="nil"/>
              <w:bottom w:val="single" w:sz="4" w:space="0" w:color="auto"/>
              <w:right w:val="single" w:sz="4" w:space="0" w:color="auto"/>
            </w:tcBorders>
            <w:noWrap/>
            <w:vAlign w:val="bottom"/>
            <w:hideMark/>
          </w:tcPr>
          <w:p w14:paraId="0ECCBF2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7,87</w:t>
            </w:r>
          </w:p>
        </w:tc>
        <w:tc>
          <w:tcPr>
            <w:tcW w:w="572" w:type="dxa"/>
            <w:tcBorders>
              <w:top w:val="nil"/>
              <w:left w:val="nil"/>
              <w:bottom w:val="single" w:sz="4" w:space="0" w:color="auto"/>
              <w:right w:val="single" w:sz="4" w:space="0" w:color="auto"/>
            </w:tcBorders>
            <w:noWrap/>
            <w:vAlign w:val="bottom"/>
            <w:hideMark/>
          </w:tcPr>
          <w:p w14:paraId="5FCD5B2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28" w:type="dxa"/>
            <w:tcBorders>
              <w:top w:val="nil"/>
              <w:left w:val="nil"/>
              <w:bottom w:val="single" w:sz="4" w:space="0" w:color="auto"/>
              <w:right w:val="single" w:sz="4" w:space="0" w:color="auto"/>
            </w:tcBorders>
            <w:noWrap/>
            <w:vAlign w:val="bottom"/>
            <w:hideMark/>
          </w:tcPr>
          <w:p w14:paraId="6430002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0,37</w:t>
            </w:r>
          </w:p>
        </w:tc>
        <w:tc>
          <w:tcPr>
            <w:tcW w:w="1200" w:type="dxa"/>
            <w:tcBorders>
              <w:top w:val="single" w:sz="4" w:space="0" w:color="auto"/>
              <w:left w:val="nil"/>
              <w:bottom w:val="single" w:sz="4" w:space="0" w:color="auto"/>
              <w:right w:val="single" w:sz="4" w:space="0" w:color="auto"/>
            </w:tcBorders>
            <w:noWrap/>
            <w:vAlign w:val="bottom"/>
            <w:hideMark/>
          </w:tcPr>
          <w:p w14:paraId="2081B49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2AFA3DC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5BD89B4" w14:textId="77777777" w:rsidTr="00180B04">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5146B7E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Chazo    </w:t>
            </w:r>
          </w:p>
        </w:tc>
        <w:tc>
          <w:tcPr>
            <w:tcW w:w="1200" w:type="dxa"/>
            <w:tcBorders>
              <w:top w:val="nil"/>
              <w:left w:val="nil"/>
              <w:bottom w:val="single" w:sz="4" w:space="0" w:color="auto"/>
              <w:right w:val="single" w:sz="4" w:space="0" w:color="auto"/>
            </w:tcBorders>
            <w:noWrap/>
            <w:vAlign w:val="bottom"/>
            <w:hideMark/>
          </w:tcPr>
          <w:p w14:paraId="2109366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8,96</w:t>
            </w:r>
          </w:p>
        </w:tc>
        <w:tc>
          <w:tcPr>
            <w:tcW w:w="572" w:type="dxa"/>
            <w:tcBorders>
              <w:top w:val="nil"/>
              <w:left w:val="nil"/>
              <w:bottom w:val="single" w:sz="4" w:space="0" w:color="auto"/>
              <w:right w:val="single" w:sz="4" w:space="0" w:color="auto"/>
            </w:tcBorders>
            <w:noWrap/>
            <w:vAlign w:val="bottom"/>
            <w:hideMark/>
          </w:tcPr>
          <w:p w14:paraId="79785345"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28" w:type="dxa"/>
            <w:tcBorders>
              <w:top w:val="nil"/>
              <w:left w:val="nil"/>
              <w:bottom w:val="single" w:sz="4" w:space="0" w:color="auto"/>
              <w:right w:val="single" w:sz="4" w:space="0" w:color="auto"/>
            </w:tcBorders>
            <w:noWrap/>
            <w:vAlign w:val="bottom"/>
            <w:hideMark/>
          </w:tcPr>
          <w:p w14:paraId="181F801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c>
          <w:tcPr>
            <w:tcW w:w="1200" w:type="dxa"/>
            <w:tcBorders>
              <w:top w:val="nil"/>
              <w:left w:val="nil"/>
              <w:bottom w:val="single" w:sz="4" w:space="0" w:color="auto"/>
              <w:right w:val="single" w:sz="4" w:space="0" w:color="auto"/>
            </w:tcBorders>
            <w:noWrap/>
            <w:vAlign w:val="bottom"/>
            <w:hideMark/>
          </w:tcPr>
          <w:p w14:paraId="0B80EBB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6BDF6F4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74CF25B5" w14:textId="77777777" w:rsidTr="00180B04">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0358A92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Quimiag  </w:t>
            </w:r>
          </w:p>
        </w:tc>
        <w:tc>
          <w:tcPr>
            <w:tcW w:w="1200" w:type="dxa"/>
            <w:tcBorders>
              <w:top w:val="nil"/>
              <w:left w:val="nil"/>
              <w:bottom w:val="single" w:sz="4" w:space="0" w:color="auto"/>
              <w:right w:val="single" w:sz="4" w:space="0" w:color="auto"/>
            </w:tcBorders>
            <w:noWrap/>
            <w:vAlign w:val="bottom"/>
            <w:hideMark/>
          </w:tcPr>
          <w:p w14:paraId="7B5E83F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10,01</w:t>
            </w:r>
          </w:p>
        </w:tc>
        <w:tc>
          <w:tcPr>
            <w:tcW w:w="572" w:type="dxa"/>
            <w:tcBorders>
              <w:top w:val="nil"/>
              <w:left w:val="nil"/>
              <w:bottom w:val="single" w:sz="4" w:space="0" w:color="auto"/>
              <w:right w:val="single" w:sz="4" w:space="0" w:color="auto"/>
            </w:tcBorders>
            <w:noWrap/>
            <w:vAlign w:val="bottom"/>
            <w:hideMark/>
          </w:tcPr>
          <w:p w14:paraId="73F8FD5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1828" w:type="dxa"/>
            <w:tcBorders>
              <w:top w:val="nil"/>
              <w:left w:val="nil"/>
              <w:bottom w:val="single" w:sz="4" w:space="0" w:color="auto"/>
              <w:right w:val="single" w:sz="4" w:space="0" w:color="auto"/>
            </w:tcBorders>
            <w:noWrap/>
            <w:vAlign w:val="bottom"/>
            <w:hideMark/>
          </w:tcPr>
          <w:p w14:paraId="321C847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c>
          <w:tcPr>
            <w:tcW w:w="1200" w:type="dxa"/>
            <w:tcBorders>
              <w:top w:val="nil"/>
              <w:left w:val="nil"/>
              <w:bottom w:val="single" w:sz="4" w:space="0" w:color="auto"/>
              <w:right w:val="single" w:sz="4" w:space="0" w:color="auto"/>
            </w:tcBorders>
            <w:noWrap/>
            <w:vAlign w:val="bottom"/>
            <w:hideMark/>
          </w:tcPr>
          <w:p w14:paraId="0B12C58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6A30FFB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2BAC0F82" w14:textId="2F37E2BF" w:rsidR="004C6FDC" w:rsidRDefault="00954C1A" w:rsidP="004C6FDC">
      <w:pPr>
        <w:autoSpaceDE w:val="0"/>
        <w:autoSpaceDN w:val="0"/>
        <w:adjustRightInd w:val="0"/>
        <w:spacing w:after="0" w:line="360" w:lineRule="auto"/>
        <w:rPr>
          <w:rFonts w:cs="Times New Roman"/>
          <w:szCs w:val="24"/>
        </w:rPr>
      </w:pPr>
      <w:r>
        <w:rPr>
          <w:rFonts w:cs="Times New Roman"/>
          <w:szCs w:val="24"/>
        </w:rPr>
        <w:t xml:space="preserve">     </w:t>
      </w:r>
      <w:r w:rsidR="00F4724C">
        <w:rPr>
          <w:rFonts w:cs="Times New Roman"/>
          <w:szCs w:val="24"/>
        </w:rPr>
        <w:t>Medias con una letra común no son significa</w:t>
      </w:r>
      <w:bookmarkStart w:id="1649" w:name="_Toc72704610"/>
      <w:bookmarkStart w:id="1650" w:name="_Toc72705675"/>
      <w:bookmarkStart w:id="1651" w:name="_Toc72706314"/>
      <w:bookmarkStart w:id="1652" w:name="_Toc72741264"/>
      <w:bookmarkStart w:id="1653" w:name="_Toc72742062"/>
      <w:bookmarkStart w:id="1654" w:name="_Toc72881222"/>
      <w:bookmarkStart w:id="1655" w:name="_Toc72882675"/>
      <w:bookmarkStart w:id="1656" w:name="_Toc75606462"/>
      <w:bookmarkStart w:id="1657" w:name="_Toc75612787"/>
      <w:bookmarkStart w:id="1658" w:name="_Toc75679943"/>
      <w:bookmarkStart w:id="1659" w:name="_Toc75702551"/>
      <w:r w:rsidR="00D35FEF">
        <w:rPr>
          <w:rFonts w:cs="Times New Roman"/>
          <w:szCs w:val="24"/>
        </w:rPr>
        <w:t>tivamente diferentes (p &gt; 0,05)</w:t>
      </w:r>
      <w:bookmarkStart w:id="1660" w:name="_Toc79314080"/>
      <w:bookmarkEnd w:id="1649"/>
      <w:bookmarkEnd w:id="1650"/>
      <w:bookmarkEnd w:id="1651"/>
      <w:bookmarkEnd w:id="1652"/>
      <w:bookmarkEnd w:id="1653"/>
      <w:bookmarkEnd w:id="1654"/>
      <w:bookmarkEnd w:id="1655"/>
      <w:bookmarkEnd w:id="1656"/>
      <w:bookmarkEnd w:id="1657"/>
      <w:bookmarkEnd w:id="1658"/>
      <w:bookmarkEnd w:id="1659"/>
    </w:p>
    <w:p w14:paraId="0A76B3FA" w14:textId="0DB051D9" w:rsidR="00D35FEF" w:rsidRPr="00954C1A" w:rsidRDefault="00D35FEF" w:rsidP="00954C1A">
      <w:pPr>
        <w:autoSpaceDE w:val="0"/>
        <w:autoSpaceDN w:val="0"/>
        <w:adjustRightInd w:val="0"/>
        <w:spacing w:before="360" w:after="0" w:line="360" w:lineRule="auto"/>
        <w:rPr>
          <w:rFonts w:cs="Times New Roman"/>
          <w:b/>
          <w:szCs w:val="24"/>
        </w:rPr>
      </w:pPr>
      <w:r w:rsidRPr="00D35FEF">
        <w:rPr>
          <w:rFonts w:cs="Times New Roman"/>
          <w:b/>
          <w:szCs w:val="24"/>
        </w:rPr>
        <w:t xml:space="preserve">Cuadro </w:t>
      </w:r>
      <w:r w:rsidRPr="00D35FEF">
        <w:rPr>
          <w:rFonts w:cs="Times New Roman"/>
          <w:b/>
          <w:i/>
          <w:iCs/>
          <w:szCs w:val="24"/>
        </w:rPr>
        <w:fldChar w:fldCharType="begin"/>
      </w:r>
      <w:r w:rsidRPr="00D35FEF">
        <w:rPr>
          <w:rFonts w:cs="Times New Roman"/>
          <w:b/>
          <w:szCs w:val="24"/>
        </w:rPr>
        <w:instrText xml:space="preserve"> SEQ Cuadro \* ARABIC </w:instrText>
      </w:r>
      <w:r w:rsidRPr="00D35FEF">
        <w:rPr>
          <w:rFonts w:cs="Times New Roman"/>
          <w:b/>
          <w:i/>
          <w:iCs/>
          <w:szCs w:val="24"/>
        </w:rPr>
        <w:fldChar w:fldCharType="separate"/>
      </w:r>
      <w:r w:rsidR="000D1F55">
        <w:rPr>
          <w:rFonts w:cs="Times New Roman"/>
          <w:b/>
          <w:noProof/>
          <w:szCs w:val="24"/>
        </w:rPr>
        <w:t>88</w:t>
      </w:r>
      <w:r w:rsidRPr="00D35FEF">
        <w:rPr>
          <w:rFonts w:cs="Times New Roman"/>
          <w:b/>
          <w:i/>
          <w:iCs/>
          <w:szCs w:val="24"/>
        </w:rPr>
        <w:fldChar w:fldCharType="end"/>
      </w:r>
      <w:r w:rsidRPr="00D35FEF">
        <w:rPr>
          <w:rFonts w:cs="Times New Roman"/>
          <w:b/>
          <w:szCs w:val="24"/>
        </w:rPr>
        <w:t>.</w:t>
      </w:r>
      <w:r w:rsidRPr="00D35FEF">
        <w:rPr>
          <w:rFonts w:cs="Times New Roman"/>
          <w:szCs w:val="24"/>
        </w:rPr>
        <w:t xml:space="preserve"> Absorción total de azufre para diversas dosis de nitrógeno evaluadas en la provincia de Chimborazo 2012-2014.</w:t>
      </w:r>
      <w:bookmarkEnd w:id="1660"/>
    </w:p>
    <w:tbl>
      <w:tblPr>
        <w:tblW w:w="8075" w:type="dxa"/>
        <w:tblCellMar>
          <w:left w:w="70" w:type="dxa"/>
          <w:right w:w="70" w:type="dxa"/>
        </w:tblCellMar>
        <w:tblLook w:val="04A0" w:firstRow="1" w:lastRow="0" w:firstColumn="1" w:lastColumn="0" w:noHBand="0" w:noVBand="1"/>
      </w:tblPr>
      <w:tblGrid>
        <w:gridCol w:w="2227"/>
        <w:gridCol w:w="887"/>
        <w:gridCol w:w="572"/>
        <w:gridCol w:w="1828"/>
        <w:gridCol w:w="718"/>
        <w:gridCol w:w="527"/>
        <w:gridCol w:w="749"/>
        <w:gridCol w:w="567"/>
      </w:tblGrid>
      <w:tr w:rsidR="004C6FDC" w14:paraId="0A172995" w14:textId="77777777" w:rsidTr="003A1E83">
        <w:trPr>
          <w:trHeight w:val="300"/>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4DF4D482" w14:textId="77777777" w:rsidR="004C6FDC" w:rsidRDefault="004C6FD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44896DBF" w14:textId="77777777" w:rsidR="004C6FDC" w:rsidRDefault="004C6FD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72" w:type="dxa"/>
            <w:tcBorders>
              <w:top w:val="single" w:sz="4" w:space="0" w:color="auto"/>
              <w:left w:val="nil"/>
              <w:bottom w:val="single" w:sz="4" w:space="0" w:color="auto"/>
              <w:right w:val="single" w:sz="4" w:space="0" w:color="auto"/>
            </w:tcBorders>
            <w:noWrap/>
            <w:vAlign w:val="bottom"/>
            <w:hideMark/>
          </w:tcPr>
          <w:p w14:paraId="67440F27" w14:textId="52E5C233" w:rsidR="004C6FDC" w:rsidRDefault="004C6FD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828" w:type="dxa"/>
            <w:tcBorders>
              <w:top w:val="single" w:sz="4" w:space="0" w:color="auto"/>
              <w:left w:val="nil"/>
              <w:bottom w:val="single" w:sz="4" w:space="0" w:color="auto"/>
              <w:right w:val="single" w:sz="4" w:space="0" w:color="auto"/>
            </w:tcBorders>
            <w:noWrap/>
            <w:vAlign w:val="bottom"/>
            <w:hideMark/>
          </w:tcPr>
          <w:p w14:paraId="3906320C" w14:textId="77777777" w:rsidR="004C6FDC" w:rsidRDefault="004C6FD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2561" w:type="dxa"/>
            <w:gridSpan w:val="4"/>
            <w:tcBorders>
              <w:top w:val="single" w:sz="4" w:space="0" w:color="auto"/>
              <w:left w:val="single" w:sz="4" w:space="0" w:color="auto"/>
              <w:bottom w:val="single" w:sz="4" w:space="0" w:color="auto"/>
              <w:right w:val="single" w:sz="4" w:space="0" w:color="auto"/>
            </w:tcBorders>
            <w:noWrap/>
            <w:vAlign w:val="bottom"/>
            <w:hideMark/>
          </w:tcPr>
          <w:p w14:paraId="79CEB588" w14:textId="5357F525" w:rsidR="004C6FDC" w:rsidRDefault="004C6FDC" w:rsidP="004C6FD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Lsd 0,05</w:t>
            </w:r>
          </w:p>
        </w:tc>
      </w:tr>
      <w:tr w:rsidR="00F4724C" w14:paraId="0C8702EF" w14:textId="77777777" w:rsidTr="00F4724C">
        <w:trPr>
          <w:trHeight w:val="300"/>
        </w:trPr>
        <w:tc>
          <w:tcPr>
            <w:tcW w:w="2227" w:type="dxa"/>
            <w:tcBorders>
              <w:top w:val="nil"/>
              <w:left w:val="single" w:sz="4" w:space="0" w:color="auto"/>
              <w:bottom w:val="single" w:sz="4" w:space="0" w:color="auto"/>
              <w:right w:val="single" w:sz="4" w:space="0" w:color="auto"/>
            </w:tcBorders>
            <w:noWrap/>
            <w:vAlign w:val="bottom"/>
            <w:hideMark/>
          </w:tcPr>
          <w:p w14:paraId="35A2E05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44845D3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7,35</w:t>
            </w:r>
          </w:p>
        </w:tc>
        <w:tc>
          <w:tcPr>
            <w:tcW w:w="572" w:type="dxa"/>
            <w:tcBorders>
              <w:top w:val="nil"/>
              <w:left w:val="nil"/>
              <w:bottom w:val="single" w:sz="4" w:space="0" w:color="auto"/>
              <w:right w:val="single" w:sz="4" w:space="0" w:color="auto"/>
            </w:tcBorders>
            <w:noWrap/>
            <w:vAlign w:val="bottom"/>
            <w:hideMark/>
          </w:tcPr>
          <w:p w14:paraId="24F7EB8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w:t>
            </w:r>
          </w:p>
        </w:tc>
        <w:tc>
          <w:tcPr>
            <w:tcW w:w="1828" w:type="dxa"/>
            <w:tcBorders>
              <w:top w:val="nil"/>
              <w:left w:val="nil"/>
              <w:bottom w:val="single" w:sz="4" w:space="0" w:color="auto"/>
              <w:right w:val="single" w:sz="4" w:space="0" w:color="auto"/>
            </w:tcBorders>
            <w:noWrap/>
            <w:vAlign w:val="bottom"/>
            <w:hideMark/>
          </w:tcPr>
          <w:p w14:paraId="5612915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0,31</w:t>
            </w:r>
          </w:p>
        </w:tc>
        <w:tc>
          <w:tcPr>
            <w:tcW w:w="718" w:type="dxa"/>
            <w:tcBorders>
              <w:top w:val="single" w:sz="4" w:space="0" w:color="auto"/>
              <w:left w:val="nil"/>
              <w:bottom w:val="single" w:sz="4" w:space="0" w:color="auto"/>
              <w:right w:val="single" w:sz="4" w:space="0" w:color="auto"/>
            </w:tcBorders>
            <w:noWrap/>
            <w:vAlign w:val="bottom"/>
            <w:hideMark/>
          </w:tcPr>
          <w:p w14:paraId="215FDDB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527" w:type="dxa"/>
            <w:tcBorders>
              <w:top w:val="single" w:sz="4" w:space="0" w:color="auto"/>
              <w:left w:val="nil"/>
              <w:bottom w:val="single" w:sz="4" w:space="0" w:color="auto"/>
              <w:right w:val="single" w:sz="4" w:space="0" w:color="auto"/>
            </w:tcBorders>
            <w:noWrap/>
            <w:vAlign w:val="bottom"/>
            <w:hideMark/>
          </w:tcPr>
          <w:p w14:paraId="75C9F7D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49" w:type="dxa"/>
            <w:tcBorders>
              <w:top w:val="single" w:sz="4" w:space="0" w:color="auto"/>
              <w:left w:val="nil"/>
              <w:bottom w:val="single" w:sz="4" w:space="0" w:color="auto"/>
              <w:right w:val="single" w:sz="4" w:space="0" w:color="auto"/>
            </w:tcBorders>
            <w:noWrap/>
            <w:vAlign w:val="bottom"/>
            <w:hideMark/>
          </w:tcPr>
          <w:p w14:paraId="6035FA0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7" w:type="dxa"/>
            <w:tcBorders>
              <w:top w:val="single" w:sz="4" w:space="0" w:color="auto"/>
              <w:left w:val="nil"/>
              <w:bottom w:val="single" w:sz="4" w:space="0" w:color="auto"/>
              <w:right w:val="single" w:sz="4" w:space="0" w:color="auto"/>
            </w:tcBorders>
            <w:noWrap/>
            <w:vAlign w:val="bottom"/>
            <w:hideMark/>
          </w:tcPr>
          <w:p w14:paraId="11C6A3C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D2A3A45" w14:textId="77777777" w:rsidTr="00F4724C">
        <w:trPr>
          <w:trHeight w:val="300"/>
        </w:trPr>
        <w:tc>
          <w:tcPr>
            <w:tcW w:w="2227" w:type="dxa"/>
            <w:tcBorders>
              <w:top w:val="nil"/>
              <w:left w:val="single" w:sz="4" w:space="0" w:color="auto"/>
              <w:bottom w:val="single" w:sz="4" w:space="0" w:color="auto"/>
              <w:right w:val="single" w:sz="4" w:space="0" w:color="auto"/>
            </w:tcBorders>
            <w:noWrap/>
            <w:vAlign w:val="bottom"/>
            <w:hideMark/>
          </w:tcPr>
          <w:p w14:paraId="32885049"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887" w:type="dxa"/>
            <w:tcBorders>
              <w:top w:val="nil"/>
              <w:left w:val="nil"/>
              <w:bottom w:val="single" w:sz="4" w:space="0" w:color="auto"/>
              <w:right w:val="single" w:sz="4" w:space="0" w:color="auto"/>
            </w:tcBorders>
            <w:noWrap/>
            <w:vAlign w:val="bottom"/>
            <w:hideMark/>
          </w:tcPr>
          <w:p w14:paraId="327CC29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8,26</w:t>
            </w:r>
          </w:p>
        </w:tc>
        <w:tc>
          <w:tcPr>
            <w:tcW w:w="572" w:type="dxa"/>
            <w:tcBorders>
              <w:top w:val="nil"/>
              <w:left w:val="nil"/>
              <w:bottom w:val="single" w:sz="4" w:space="0" w:color="auto"/>
              <w:right w:val="single" w:sz="4" w:space="0" w:color="auto"/>
            </w:tcBorders>
            <w:noWrap/>
            <w:vAlign w:val="bottom"/>
            <w:hideMark/>
          </w:tcPr>
          <w:p w14:paraId="7742961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28" w:type="dxa"/>
            <w:tcBorders>
              <w:top w:val="nil"/>
              <w:left w:val="nil"/>
              <w:bottom w:val="single" w:sz="4" w:space="0" w:color="auto"/>
              <w:right w:val="single" w:sz="4" w:space="0" w:color="auto"/>
            </w:tcBorders>
            <w:noWrap/>
            <w:vAlign w:val="bottom"/>
            <w:hideMark/>
          </w:tcPr>
          <w:p w14:paraId="5084CBC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1,73</w:t>
            </w:r>
          </w:p>
        </w:tc>
        <w:tc>
          <w:tcPr>
            <w:tcW w:w="718" w:type="dxa"/>
            <w:tcBorders>
              <w:top w:val="nil"/>
              <w:left w:val="nil"/>
              <w:bottom w:val="single" w:sz="4" w:space="0" w:color="auto"/>
              <w:right w:val="single" w:sz="4" w:space="0" w:color="auto"/>
            </w:tcBorders>
            <w:noWrap/>
            <w:vAlign w:val="bottom"/>
            <w:hideMark/>
          </w:tcPr>
          <w:p w14:paraId="118A0F2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527" w:type="dxa"/>
            <w:tcBorders>
              <w:top w:val="nil"/>
              <w:left w:val="nil"/>
              <w:bottom w:val="single" w:sz="4" w:space="0" w:color="auto"/>
              <w:right w:val="single" w:sz="4" w:space="0" w:color="auto"/>
            </w:tcBorders>
            <w:noWrap/>
            <w:vAlign w:val="bottom"/>
            <w:hideMark/>
          </w:tcPr>
          <w:p w14:paraId="7872E7D5"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49" w:type="dxa"/>
            <w:tcBorders>
              <w:top w:val="nil"/>
              <w:left w:val="nil"/>
              <w:bottom w:val="single" w:sz="4" w:space="0" w:color="auto"/>
              <w:right w:val="single" w:sz="4" w:space="0" w:color="auto"/>
            </w:tcBorders>
            <w:noWrap/>
            <w:vAlign w:val="bottom"/>
            <w:hideMark/>
          </w:tcPr>
          <w:p w14:paraId="6B34D2D5"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7" w:type="dxa"/>
            <w:tcBorders>
              <w:top w:val="nil"/>
              <w:left w:val="nil"/>
              <w:bottom w:val="single" w:sz="4" w:space="0" w:color="auto"/>
              <w:right w:val="single" w:sz="4" w:space="0" w:color="auto"/>
            </w:tcBorders>
            <w:noWrap/>
            <w:vAlign w:val="bottom"/>
            <w:hideMark/>
          </w:tcPr>
          <w:p w14:paraId="64892A5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5CA530DF" w14:textId="77777777" w:rsidTr="00F4724C">
        <w:trPr>
          <w:trHeight w:val="300"/>
        </w:trPr>
        <w:tc>
          <w:tcPr>
            <w:tcW w:w="2227" w:type="dxa"/>
            <w:tcBorders>
              <w:top w:val="nil"/>
              <w:left w:val="single" w:sz="4" w:space="0" w:color="auto"/>
              <w:bottom w:val="single" w:sz="4" w:space="0" w:color="auto"/>
              <w:right w:val="single" w:sz="4" w:space="0" w:color="auto"/>
            </w:tcBorders>
            <w:noWrap/>
            <w:vAlign w:val="bottom"/>
            <w:hideMark/>
          </w:tcPr>
          <w:p w14:paraId="580A742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887" w:type="dxa"/>
            <w:tcBorders>
              <w:top w:val="nil"/>
              <w:left w:val="nil"/>
              <w:bottom w:val="single" w:sz="4" w:space="0" w:color="auto"/>
              <w:right w:val="single" w:sz="4" w:space="0" w:color="auto"/>
            </w:tcBorders>
            <w:noWrap/>
            <w:vAlign w:val="bottom"/>
            <w:hideMark/>
          </w:tcPr>
          <w:p w14:paraId="24161AF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10,12</w:t>
            </w:r>
          </w:p>
        </w:tc>
        <w:tc>
          <w:tcPr>
            <w:tcW w:w="572" w:type="dxa"/>
            <w:tcBorders>
              <w:top w:val="nil"/>
              <w:left w:val="nil"/>
              <w:bottom w:val="single" w:sz="4" w:space="0" w:color="auto"/>
              <w:right w:val="single" w:sz="4" w:space="0" w:color="auto"/>
            </w:tcBorders>
            <w:noWrap/>
            <w:vAlign w:val="bottom"/>
            <w:hideMark/>
          </w:tcPr>
          <w:p w14:paraId="7F161F3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28" w:type="dxa"/>
            <w:tcBorders>
              <w:top w:val="nil"/>
              <w:left w:val="nil"/>
              <w:bottom w:val="single" w:sz="4" w:space="0" w:color="auto"/>
              <w:right w:val="single" w:sz="4" w:space="0" w:color="auto"/>
            </w:tcBorders>
            <w:noWrap/>
            <w:vAlign w:val="bottom"/>
            <w:hideMark/>
          </w:tcPr>
          <w:p w14:paraId="0EB79F5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1,73</w:t>
            </w:r>
          </w:p>
        </w:tc>
        <w:tc>
          <w:tcPr>
            <w:tcW w:w="718" w:type="dxa"/>
            <w:tcBorders>
              <w:top w:val="nil"/>
              <w:left w:val="nil"/>
              <w:bottom w:val="single" w:sz="4" w:space="0" w:color="auto"/>
              <w:right w:val="single" w:sz="4" w:space="0" w:color="auto"/>
            </w:tcBorders>
            <w:noWrap/>
            <w:vAlign w:val="bottom"/>
            <w:hideMark/>
          </w:tcPr>
          <w:p w14:paraId="3568FF9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527" w:type="dxa"/>
            <w:tcBorders>
              <w:top w:val="nil"/>
              <w:left w:val="nil"/>
              <w:bottom w:val="single" w:sz="4" w:space="0" w:color="auto"/>
              <w:right w:val="single" w:sz="4" w:space="0" w:color="auto"/>
            </w:tcBorders>
            <w:noWrap/>
            <w:vAlign w:val="bottom"/>
            <w:hideMark/>
          </w:tcPr>
          <w:p w14:paraId="1822DB31"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49" w:type="dxa"/>
            <w:tcBorders>
              <w:top w:val="nil"/>
              <w:left w:val="nil"/>
              <w:bottom w:val="single" w:sz="4" w:space="0" w:color="auto"/>
              <w:right w:val="single" w:sz="4" w:space="0" w:color="auto"/>
            </w:tcBorders>
            <w:noWrap/>
            <w:vAlign w:val="bottom"/>
            <w:hideMark/>
          </w:tcPr>
          <w:p w14:paraId="0C3FA04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567" w:type="dxa"/>
            <w:tcBorders>
              <w:top w:val="nil"/>
              <w:left w:val="nil"/>
              <w:bottom w:val="single" w:sz="4" w:space="0" w:color="auto"/>
              <w:right w:val="single" w:sz="4" w:space="0" w:color="auto"/>
            </w:tcBorders>
            <w:noWrap/>
            <w:vAlign w:val="bottom"/>
            <w:hideMark/>
          </w:tcPr>
          <w:p w14:paraId="7FF45D1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307623AA" w14:textId="77777777" w:rsidTr="00F4724C">
        <w:trPr>
          <w:trHeight w:val="300"/>
        </w:trPr>
        <w:tc>
          <w:tcPr>
            <w:tcW w:w="2227" w:type="dxa"/>
            <w:tcBorders>
              <w:top w:val="nil"/>
              <w:left w:val="single" w:sz="4" w:space="0" w:color="auto"/>
              <w:bottom w:val="single" w:sz="4" w:space="0" w:color="auto"/>
              <w:right w:val="single" w:sz="4" w:space="0" w:color="auto"/>
            </w:tcBorders>
            <w:noWrap/>
            <w:vAlign w:val="bottom"/>
            <w:hideMark/>
          </w:tcPr>
          <w:p w14:paraId="4850C74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887" w:type="dxa"/>
            <w:tcBorders>
              <w:top w:val="nil"/>
              <w:left w:val="nil"/>
              <w:bottom w:val="single" w:sz="4" w:space="0" w:color="auto"/>
              <w:right w:val="single" w:sz="4" w:space="0" w:color="auto"/>
            </w:tcBorders>
            <w:noWrap/>
            <w:vAlign w:val="bottom"/>
            <w:hideMark/>
          </w:tcPr>
          <w:p w14:paraId="5DFA010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10,3</w:t>
            </w:r>
          </w:p>
        </w:tc>
        <w:tc>
          <w:tcPr>
            <w:tcW w:w="572" w:type="dxa"/>
            <w:tcBorders>
              <w:top w:val="nil"/>
              <w:left w:val="nil"/>
              <w:bottom w:val="single" w:sz="4" w:space="0" w:color="auto"/>
              <w:right w:val="single" w:sz="4" w:space="0" w:color="auto"/>
            </w:tcBorders>
            <w:noWrap/>
            <w:vAlign w:val="bottom"/>
            <w:hideMark/>
          </w:tcPr>
          <w:p w14:paraId="5B073F2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1828" w:type="dxa"/>
            <w:tcBorders>
              <w:top w:val="nil"/>
              <w:left w:val="nil"/>
              <w:bottom w:val="single" w:sz="4" w:space="0" w:color="auto"/>
              <w:right w:val="single" w:sz="4" w:space="0" w:color="auto"/>
            </w:tcBorders>
            <w:noWrap/>
            <w:vAlign w:val="bottom"/>
            <w:hideMark/>
          </w:tcPr>
          <w:p w14:paraId="400E25B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0,48</w:t>
            </w:r>
          </w:p>
        </w:tc>
        <w:tc>
          <w:tcPr>
            <w:tcW w:w="718" w:type="dxa"/>
            <w:tcBorders>
              <w:top w:val="nil"/>
              <w:left w:val="nil"/>
              <w:bottom w:val="single" w:sz="4" w:space="0" w:color="auto"/>
              <w:right w:val="single" w:sz="4" w:space="0" w:color="auto"/>
            </w:tcBorders>
            <w:noWrap/>
            <w:vAlign w:val="bottom"/>
            <w:hideMark/>
          </w:tcPr>
          <w:p w14:paraId="79CA9F7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27" w:type="dxa"/>
            <w:tcBorders>
              <w:top w:val="nil"/>
              <w:left w:val="nil"/>
              <w:bottom w:val="single" w:sz="4" w:space="0" w:color="auto"/>
              <w:right w:val="single" w:sz="4" w:space="0" w:color="auto"/>
            </w:tcBorders>
            <w:noWrap/>
            <w:vAlign w:val="bottom"/>
            <w:hideMark/>
          </w:tcPr>
          <w:p w14:paraId="6D53C5CF"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49" w:type="dxa"/>
            <w:tcBorders>
              <w:top w:val="nil"/>
              <w:left w:val="nil"/>
              <w:bottom w:val="single" w:sz="4" w:space="0" w:color="auto"/>
              <w:right w:val="single" w:sz="4" w:space="0" w:color="auto"/>
            </w:tcBorders>
            <w:noWrap/>
            <w:vAlign w:val="bottom"/>
            <w:hideMark/>
          </w:tcPr>
          <w:p w14:paraId="41D8778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567" w:type="dxa"/>
            <w:tcBorders>
              <w:top w:val="nil"/>
              <w:left w:val="nil"/>
              <w:bottom w:val="single" w:sz="4" w:space="0" w:color="auto"/>
              <w:right w:val="single" w:sz="4" w:space="0" w:color="auto"/>
            </w:tcBorders>
            <w:noWrap/>
            <w:vAlign w:val="bottom"/>
            <w:hideMark/>
          </w:tcPr>
          <w:p w14:paraId="286E747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4F5CD97E" w14:textId="77777777" w:rsidTr="00F4724C">
        <w:trPr>
          <w:trHeight w:val="300"/>
        </w:trPr>
        <w:tc>
          <w:tcPr>
            <w:tcW w:w="2227" w:type="dxa"/>
            <w:tcBorders>
              <w:top w:val="nil"/>
              <w:left w:val="single" w:sz="4" w:space="0" w:color="auto"/>
              <w:bottom w:val="single" w:sz="4" w:space="0" w:color="auto"/>
              <w:right w:val="single" w:sz="4" w:space="0" w:color="auto"/>
            </w:tcBorders>
            <w:noWrap/>
            <w:vAlign w:val="bottom"/>
            <w:hideMark/>
          </w:tcPr>
          <w:p w14:paraId="3F42F9F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noWrap/>
            <w:vAlign w:val="bottom"/>
            <w:hideMark/>
          </w:tcPr>
          <w:p w14:paraId="077C3DF8"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10,32</w:t>
            </w:r>
          </w:p>
        </w:tc>
        <w:tc>
          <w:tcPr>
            <w:tcW w:w="572" w:type="dxa"/>
            <w:tcBorders>
              <w:top w:val="nil"/>
              <w:left w:val="nil"/>
              <w:bottom w:val="single" w:sz="4" w:space="0" w:color="auto"/>
              <w:right w:val="single" w:sz="4" w:space="0" w:color="auto"/>
            </w:tcBorders>
            <w:noWrap/>
            <w:vAlign w:val="bottom"/>
            <w:hideMark/>
          </w:tcPr>
          <w:p w14:paraId="4462004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828" w:type="dxa"/>
            <w:tcBorders>
              <w:top w:val="nil"/>
              <w:left w:val="nil"/>
              <w:bottom w:val="single" w:sz="4" w:space="0" w:color="auto"/>
              <w:right w:val="single" w:sz="4" w:space="0" w:color="auto"/>
            </w:tcBorders>
            <w:noWrap/>
            <w:vAlign w:val="bottom"/>
            <w:hideMark/>
          </w:tcPr>
          <w:p w14:paraId="7EB16B9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0,33</w:t>
            </w:r>
          </w:p>
        </w:tc>
        <w:tc>
          <w:tcPr>
            <w:tcW w:w="718" w:type="dxa"/>
            <w:tcBorders>
              <w:top w:val="nil"/>
              <w:left w:val="nil"/>
              <w:bottom w:val="single" w:sz="4" w:space="0" w:color="auto"/>
              <w:right w:val="single" w:sz="4" w:space="0" w:color="auto"/>
            </w:tcBorders>
            <w:noWrap/>
            <w:vAlign w:val="bottom"/>
            <w:hideMark/>
          </w:tcPr>
          <w:p w14:paraId="7778C0B0"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27" w:type="dxa"/>
            <w:tcBorders>
              <w:top w:val="nil"/>
              <w:left w:val="nil"/>
              <w:bottom w:val="single" w:sz="4" w:space="0" w:color="auto"/>
              <w:right w:val="single" w:sz="4" w:space="0" w:color="auto"/>
            </w:tcBorders>
            <w:noWrap/>
            <w:vAlign w:val="bottom"/>
            <w:hideMark/>
          </w:tcPr>
          <w:p w14:paraId="6E851B7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49" w:type="dxa"/>
            <w:tcBorders>
              <w:top w:val="nil"/>
              <w:left w:val="nil"/>
              <w:bottom w:val="single" w:sz="4" w:space="0" w:color="auto"/>
              <w:right w:val="single" w:sz="4" w:space="0" w:color="auto"/>
            </w:tcBorders>
            <w:noWrap/>
            <w:vAlign w:val="bottom"/>
            <w:hideMark/>
          </w:tcPr>
          <w:p w14:paraId="037C9ED9"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567" w:type="dxa"/>
            <w:tcBorders>
              <w:top w:val="nil"/>
              <w:left w:val="nil"/>
              <w:bottom w:val="single" w:sz="4" w:space="0" w:color="auto"/>
              <w:right w:val="single" w:sz="4" w:space="0" w:color="auto"/>
            </w:tcBorders>
            <w:noWrap/>
            <w:vAlign w:val="bottom"/>
            <w:hideMark/>
          </w:tcPr>
          <w:p w14:paraId="5EE697D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468D929E" w14:textId="77777777" w:rsidTr="00F4724C">
        <w:trPr>
          <w:trHeight w:val="300"/>
        </w:trPr>
        <w:tc>
          <w:tcPr>
            <w:tcW w:w="2227" w:type="dxa"/>
            <w:tcBorders>
              <w:top w:val="nil"/>
              <w:left w:val="single" w:sz="4" w:space="0" w:color="auto"/>
              <w:bottom w:val="single" w:sz="4" w:space="0" w:color="auto"/>
              <w:right w:val="single" w:sz="4" w:space="0" w:color="auto"/>
            </w:tcBorders>
            <w:noWrap/>
            <w:vAlign w:val="bottom"/>
            <w:hideMark/>
          </w:tcPr>
          <w:p w14:paraId="3810994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6FD619B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13,25</w:t>
            </w:r>
          </w:p>
        </w:tc>
        <w:tc>
          <w:tcPr>
            <w:tcW w:w="572" w:type="dxa"/>
            <w:tcBorders>
              <w:top w:val="nil"/>
              <w:left w:val="nil"/>
              <w:bottom w:val="single" w:sz="4" w:space="0" w:color="auto"/>
              <w:right w:val="single" w:sz="4" w:space="0" w:color="auto"/>
            </w:tcBorders>
            <w:noWrap/>
            <w:vAlign w:val="bottom"/>
            <w:hideMark/>
          </w:tcPr>
          <w:p w14:paraId="03A4FC77"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28" w:type="dxa"/>
            <w:tcBorders>
              <w:top w:val="nil"/>
              <w:left w:val="nil"/>
              <w:bottom w:val="single" w:sz="4" w:space="0" w:color="auto"/>
              <w:right w:val="single" w:sz="4" w:space="0" w:color="auto"/>
            </w:tcBorders>
            <w:noWrap/>
            <w:vAlign w:val="bottom"/>
            <w:hideMark/>
          </w:tcPr>
          <w:p w14:paraId="6B760E4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1,73</w:t>
            </w:r>
          </w:p>
        </w:tc>
        <w:tc>
          <w:tcPr>
            <w:tcW w:w="718" w:type="dxa"/>
            <w:tcBorders>
              <w:top w:val="nil"/>
              <w:left w:val="nil"/>
              <w:bottom w:val="single" w:sz="4" w:space="0" w:color="auto"/>
              <w:right w:val="single" w:sz="4" w:space="0" w:color="auto"/>
            </w:tcBorders>
            <w:noWrap/>
            <w:vAlign w:val="bottom"/>
            <w:hideMark/>
          </w:tcPr>
          <w:p w14:paraId="2B0E008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27" w:type="dxa"/>
            <w:tcBorders>
              <w:top w:val="nil"/>
              <w:left w:val="nil"/>
              <w:bottom w:val="single" w:sz="4" w:space="0" w:color="auto"/>
              <w:right w:val="single" w:sz="4" w:space="0" w:color="auto"/>
            </w:tcBorders>
            <w:noWrap/>
            <w:vAlign w:val="bottom"/>
            <w:hideMark/>
          </w:tcPr>
          <w:p w14:paraId="5337DD64"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49" w:type="dxa"/>
            <w:tcBorders>
              <w:top w:val="nil"/>
              <w:left w:val="nil"/>
              <w:bottom w:val="single" w:sz="4" w:space="0" w:color="auto"/>
              <w:right w:val="single" w:sz="4" w:space="0" w:color="auto"/>
            </w:tcBorders>
            <w:noWrap/>
            <w:vAlign w:val="bottom"/>
            <w:hideMark/>
          </w:tcPr>
          <w:p w14:paraId="213519B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567" w:type="dxa"/>
            <w:tcBorders>
              <w:top w:val="nil"/>
              <w:left w:val="nil"/>
              <w:bottom w:val="single" w:sz="4" w:space="0" w:color="auto"/>
              <w:right w:val="single" w:sz="4" w:space="0" w:color="auto"/>
            </w:tcBorders>
            <w:noWrap/>
            <w:vAlign w:val="bottom"/>
            <w:hideMark/>
          </w:tcPr>
          <w:p w14:paraId="0D27AFB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r w:rsidR="00F4724C" w14:paraId="4189B5AF" w14:textId="77777777" w:rsidTr="00F4724C">
        <w:trPr>
          <w:trHeight w:val="300"/>
        </w:trPr>
        <w:tc>
          <w:tcPr>
            <w:tcW w:w="2227" w:type="dxa"/>
            <w:tcBorders>
              <w:top w:val="nil"/>
              <w:left w:val="single" w:sz="4" w:space="0" w:color="auto"/>
              <w:bottom w:val="single" w:sz="4" w:space="0" w:color="auto"/>
              <w:right w:val="single" w:sz="4" w:space="0" w:color="auto"/>
            </w:tcBorders>
            <w:noWrap/>
            <w:vAlign w:val="bottom"/>
            <w:hideMark/>
          </w:tcPr>
          <w:p w14:paraId="403E90A3"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887" w:type="dxa"/>
            <w:tcBorders>
              <w:top w:val="nil"/>
              <w:left w:val="nil"/>
              <w:bottom w:val="single" w:sz="4" w:space="0" w:color="auto"/>
              <w:right w:val="single" w:sz="4" w:space="0" w:color="auto"/>
            </w:tcBorders>
            <w:noWrap/>
            <w:vAlign w:val="bottom"/>
            <w:hideMark/>
          </w:tcPr>
          <w:p w14:paraId="3B3FA3D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14,71</w:t>
            </w:r>
          </w:p>
        </w:tc>
        <w:tc>
          <w:tcPr>
            <w:tcW w:w="572" w:type="dxa"/>
            <w:tcBorders>
              <w:top w:val="nil"/>
              <w:left w:val="nil"/>
              <w:bottom w:val="single" w:sz="4" w:space="0" w:color="auto"/>
              <w:right w:val="single" w:sz="4" w:space="0" w:color="auto"/>
            </w:tcBorders>
            <w:noWrap/>
            <w:vAlign w:val="bottom"/>
            <w:hideMark/>
          </w:tcPr>
          <w:p w14:paraId="137E4FA5"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28" w:type="dxa"/>
            <w:tcBorders>
              <w:top w:val="nil"/>
              <w:left w:val="nil"/>
              <w:bottom w:val="single" w:sz="4" w:space="0" w:color="auto"/>
              <w:right w:val="single" w:sz="4" w:space="0" w:color="auto"/>
            </w:tcBorders>
            <w:noWrap/>
            <w:vAlign w:val="bottom"/>
            <w:hideMark/>
          </w:tcPr>
          <w:p w14:paraId="6FC2382B"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1,73</w:t>
            </w:r>
          </w:p>
        </w:tc>
        <w:tc>
          <w:tcPr>
            <w:tcW w:w="718" w:type="dxa"/>
            <w:tcBorders>
              <w:top w:val="nil"/>
              <w:left w:val="nil"/>
              <w:bottom w:val="single" w:sz="4" w:space="0" w:color="auto"/>
              <w:right w:val="single" w:sz="4" w:space="0" w:color="auto"/>
            </w:tcBorders>
            <w:noWrap/>
            <w:vAlign w:val="bottom"/>
            <w:hideMark/>
          </w:tcPr>
          <w:p w14:paraId="08F1B18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27" w:type="dxa"/>
            <w:tcBorders>
              <w:top w:val="nil"/>
              <w:left w:val="nil"/>
              <w:bottom w:val="single" w:sz="4" w:space="0" w:color="auto"/>
              <w:right w:val="single" w:sz="4" w:space="0" w:color="auto"/>
            </w:tcBorders>
            <w:noWrap/>
            <w:vAlign w:val="bottom"/>
            <w:hideMark/>
          </w:tcPr>
          <w:p w14:paraId="3B351F4D"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49" w:type="dxa"/>
            <w:tcBorders>
              <w:top w:val="nil"/>
              <w:left w:val="nil"/>
              <w:bottom w:val="single" w:sz="4" w:space="0" w:color="auto"/>
              <w:right w:val="single" w:sz="4" w:space="0" w:color="auto"/>
            </w:tcBorders>
            <w:noWrap/>
            <w:vAlign w:val="bottom"/>
            <w:hideMark/>
          </w:tcPr>
          <w:p w14:paraId="7FFEA5D6"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567" w:type="dxa"/>
            <w:tcBorders>
              <w:top w:val="nil"/>
              <w:left w:val="nil"/>
              <w:bottom w:val="single" w:sz="4" w:space="0" w:color="auto"/>
              <w:right w:val="single" w:sz="4" w:space="0" w:color="auto"/>
            </w:tcBorders>
            <w:noWrap/>
            <w:vAlign w:val="bottom"/>
            <w:hideMark/>
          </w:tcPr>
          <w:p w14:paraId="672CECE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r w:rsidR="00F4724C" w14:paraId="554550A7" w14:textId="77777777" w:rsidTr="00F4724C">
        <w:trPr>
          <w:trHeight w:val="300"/>
        </w:trPr>
        <w:tc>
          <w:tcPr>
            <w:tcW w:w="2227" w:type="dxa"/>
            <w:tcBorders>
              <w:top w:val="nil"/>
              <w:left w:val="single" w:sz="4" w:space="0" w:color="auto"/>
              <w:bottom w:val="single" w:sz="4" w:space="0" w:color="auto"/>
              <w:right w:val="single" w:sz="4" w:space="0" w:color="auto"/>
            </w:tcBorders>
            <w:noWrap/>
            <w:vAlign w:val="bottom"/>
            <w:hideMark/>
          </w:tcPr>
          <w:p w14:paraId="5B0BCAE5"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887" w:type="dxa"/>
            <w:tcBorders>
              <w:top w:val="nil"/>
              <w:left w:val="nil"/>
              <w:bottom w:val="single" w:sz="4" w:space="0" w:color="auto"/>
              <w:right w:val="single" w:sz="4" w:space="0" w:color="auto"/>
            </w:tcBorders>
            <w:noWrap/>
            <w:vAlign w:val="bottom"/>
            <w:hideMark/>
          </w:tcPr>
          <w:p w14:paraId="6E73A89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14,96</w:t>
            </w:r>
          </w:p>
        </w:tc>
        <w:tc>
          <w:tcPr>
            <w:tcW w:w="572" w:type="dxa"/>
            <w:tcBorders>
              <w:top w:val="nil"/>
              <w:left w:val="nil"/>
              <w:bottom w:val="single" w:sz="4" w:space="0" w:color="auto"/>
              <w:right w:val="single" w:sz="4" w:space="0" w:color="auto"/>
            </w:tcBorders>
            <w:noWrap/>
            <w:vAlign w:val="bottom"/>
            <w:hideMark/>
          </w:tcPr>
          <w:p w14:paraId="66180DFC"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28" w:type="dxa"/>
            <w:tcBorders>
              <w:top w:val="nil"/>
              <w:left w:val="nil"/>
              <w:bottom w:val="single" w:sz="4" w:space="0" w:color="auto"/>
              <w:right w:val="single" w:sz="4" w:space="0" w:color="auto"/>
            </w:tcBorders>
            <w:noWrap/>
            <w:vAlign w:val="bottom"/>
            <w:hideMark/>
          </w:tcPr>
          <w:p w14:paraId="43DD681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1,73</w:t>
            </w:r>
          </w:p>
        </w:tc>
        <w:tc>
          <w:tcPr>
            <w:tcW w:w="718" w:type="dxa"/>
            <w:tcBorders>
              <w:top w:val="nil"/>
              <w:left w:val="nil"/>
              <w:bottom w:val="single" w:sz="4" w:space="0" w:color="auto"/>
              <w:right w:val="single" w:sz="4" w:space="0" w:color="auto"/>
            </w:tcBorders>
            <w:noWrap/>
            <w:vAlign w:val="bottom"/>
            <w:hideMark/>
          </w:tcPr>
          <w:p w14:paraId="1FEE471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27" w:type="dxa"/>
            <w:tcBorders>
              <w:top w:val="nil"/>
              <w:left w:val="nil"/>
              <w:bottom w:val="single" w:sz="4" w:space="0" w:color="auto"/>
              <w:right w:val="single" w:sz="4" w:space="0" w:color="auto"/>
            </w:tcBorders>
            <w:noWrap/>
            <w:vAlign w:val="bottom"/>
            <w:hideMark/>
          </w:tcPr>
          <w:p w14:paraId="132B15CE"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49" w:type="dxa"/>
            <w:tcBorders>
              <w:top w:val="nil"/>
              <w:left w:val="nil"/>
              <w:bottom w:val="single" w:sz="4" w:space="0" w:color="auto"/>
              <w:right w:val="single" w:sz="4" w:space="0" w:color="auto"/>
            </w:tcBorders>
            <w:noWrap/>
            <w:vAlign w:val="bottom"/>
            <w:hideMark/>
          </w:tcPr>
          <w:p w14:paraId="76F03362"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7" w:type="dxa"/>
            <w:tcBorders>
              <w:top w:val="nil"/>
              <w:left w:val="nil"/>
              <w:bottom w:val="single" w:sz="4" w:space="0" w:color="auto"/>
              <w:right w:val="single" w:sz="4" w:space="0" w:color="auto"/>
            </w:tcBorders>
            <w:noWrap/>
            <w:vAlign w:val="bottom"/>
            <w:hideMark/>
          </w:tcPr>
          <w:p w14:paraId="77F0359A" w14:textId="77777777" w:rsidR="00F4724C" w:rsidRDefault="00F4724C" w:rsidP="004C6FD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bl>
    <w:p w14:paraId="31423736" w14:textId="77777777" w:rsidR="00954C1A" w:rsidRDefault="00F4724C" w:rsidP="00954C1A">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1661" w:name="_Toc79314081"/>
    </w:p>
    <w:p w14:paraId="6407C202" w14:textId="77777777" w:rsidR="00954C1A" w:rsidRDefault="00954C1A" w:rsidP="00954C1A">
      <w:pPr>
        <w:autoSpaceDE w:val="0"/>
        <w:autoSpaceDN w:val="0"/>
        <w:adjustRightInd w:val="0"/>
        <w:spacing w:after="0" w:line="360" w:lineRule="auto"/>
        <w:rPr>
          <w:rFonts w:cs="Times New Roman"/>
          <w:b/>
          <w:szCs w:val="24"/>
        </w:rPr>
      </w:pPr>
      <w:r>
        <w:rPr>
          <w:rFonts w:cs="Times New Roman"/>
          <w:b/>
          <w:szCs w:val="24"/>
        </w:rPr>
        <w:br w:type="page"/>
      </w:r>
    </w:p>
    <w:p w14:paraId="4B418296" w14:textId="440932BC" w:rsidR="00D35FEF" w:rsidRPr="00023192" w:rsidRDefault="00D35FEF" w:rsidP="00954C1A">
      <w:pPr>
        <w:autoSpaceDE w:val="0"/>
        <w:autoSpaceDN w:val="0"/>
        <w:adjustRightInd w:val="0"/>
        <w:spacing w:after="0" w:line="360" w:lineRule="auto"/>
        <w:rPr>
          <w:rFonts w:cs="Times New Roman"/>
          <w:szCs w:val="24"/>
        </w:rPr>
      </w:pPr>
      <w:r w:rsidRPr="00D35FEF">
        <w:rPr>
          <w:rFonts w:cs="Times New Roman"/>
          <w:b/>
          <w:szCs w:val="24"/>
        </w:rPr>
        <w:lastRenderedPageBreak/>
        <w:t xml:space="preserve">Cuadro </w:t>
      </w:r>
      <w:r w:rsidRPr="00D35FEF">
        <w:rPr>
          <w:rFonts w:cs="Times New Roman"/>
          <w:b/>
          <w:i/>
          <w:iCs/>
          <w:szCs w:val="24"/>
        </w:rPr>
        <w:fldChar w:fldCharType="begin"/>
      </w:r>
      <w:r w:rsidRPr="00D35FEF">
        <w:rPr>
          <w:rFonts w:cs="Times New Roman"/>
          <w:b/>
          <w:szCs w:val="24"/>
        </w:rPr>
        <w:instrText xml:space="preserve"> SEQ Cuadro \* ARABIC </w:instrText>
      </w:r>
      <w:r w:rsidRPr="00D35FEF">
        <w:rPr>
          <w:rFonts w:cs="Times New Roman"/>
          <w:b/>
          <w:i/>
          <w:iCs/>
          <w:szCs w:val="24"/>
        </w:rPr>
        <w:fldChar w:fldCharType="separate"/>
      </w:r>
      <w:r w:rsidR="000D1F55">
        <w:rPr>
          <w:rFonts w:cs="Times New Roman"/>
          <w:b/>
          <w:noProof/>
          <w:szCs w:val="24"/>
        </w:rPr>
        <w:t>89</w:t>
      </w:r>
      <w:r w:rsidRPr="00D35FEF">
        <w:rPr>
          <w:rFonts w:cs="Times New Roman"/>
          <w:b/>
          <w:i/>
          <w:iCs/>
          <w:szCs w:val="24"/>
        </w:rPr>
        <w:fldChar w:fldCharType="end"/>
      </w:r>
      <w:r w:rsidRPr="00D35FEF">
        <w:rPr>
          <w:rFonts w:cs="Times New Roman"/>
          <w:b/>
          <w:szCs w:val="24"/>
        </w:rPr>
        <w:t>.</w:t>
      </w:r>
      <w:r w:rsidRPr="00D35FEF">
        <w:rPr>
          <w:rFonts w:cs="Times New Roman"/>
          <w:szCs w:val="24"/>
        </w:rPr>
        <w:t xml:space="preserve"> Absorción total de azufre para diversas dosis de fósforo evaluadas en la provincia de Chimborazo 2012-2014.</w:t>
      </w:r>
      <w:bookmarkEnd w:id="1661"/>
    </w:p>
    <w:tbl>
      <w:tblPr>
        <w:tblW w:w="7961" w:type="dxa"/>
        <w:tblCellMar>
          <w:left w:w="70" w:type="dxa"/>
          <w:right w:w="70" w:type="dxa"/>
        </w:tblCellMar>
        <w:tblLook w:val="04A0" w:firstRow="1" w:lastRow="0" w:firstColumn="1" w:lastColumn="0" w:noHBand="0" w:noVBand="1"/>
      </w:tblPr>
      <w:tblGrid>
        <w:gridCol w:w="2241"/>
        <w:gridCol w:w="892"/>
        <w:gridCol w:w="570"/>
        <w:gridCol w:w="1844"/>
        <w:gridCol w:w="1207"/>
        <w:gridCol w:w="1207"/>
      </w:tblGrid>
      <w:tr w:rsidR="00F4724C" w14:paraId="52493987" w14:textId="77777777" w:rsidTr="007C56AB">
        <w:trPr>
          <w:trHeight w:val="208"/>
        </w:trPr>
        <w:tc>
          <w:tcPr>
            <w:tcW w:w="2241" w:type="dxa"/>
            <w:tcBorders>
              <w:top w:val="single" w:sz="4" w:space="0" w:color="auto"/>
              <w:left w:val="single" w:sz="4" w:space="0" w:color="auto"/>
              <w:bottom w:val="single" w:sz="4" w:space="0" w:color="auto"/>
              <w:right w:val="single" w:sz="4" w:space="0" w:color="auto"/>
            </w:tcBorders>
            <w:noWrap/>
            <w:vAlign w:val="bottom"/>
            <w:hideMark/>
          </w:tcPr>
          <w:p w14:paraId="608AF2C8" w14:textId="77777777" w:rsidR="00F4724C" w:rsidRDefault="00F4724C" w:rsidP="007C56AB">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92" w:type="dxa"/>
            <w:tcBorders>
              <w:top w:val="single" w:sz="4" w:space="0" w:color="auto"/>
              <w:left w:val="nil"/>
              <w:bottom w:val="single" w:sz="4" w:space="0" w:color="auto"/>
              <w:right w:val="single" w:sz="4" w:space="0" w:color="auto"/>
            </w:tcBorders>
            <w:noWrap/>
            <w:vAlign w:val="bottom"/>
            <w:hideMark/>
          </w:tcPr>
          <w:p w14:paraId="4D90DA2B" w14:textId="77777777" w:rsidR="00F4724C" w:rsidRDefault="00F4724C" w:rsidP="007C56AB">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70" w:type="dxa"/>
            <w:tcBorders>
              <w:top w:val="single" w:sz="4" w:space="0" w:color="auto"/>
              <w:left w:val="nil"/>
              <w:bottom w:val="single" w:sz="4" w:space="0" w:color="auto"/>
              <w:right w:val="single" w:sz="4" w:space="0" w:color="auto"/>
            </w:tcBorders>
            <w:noWrap/>
            <w:vAlign w:val="bottom"/>
            <w:hideMark/>
          </w:tcPr>
          <w:p w14:paraId="490E7298" w14:textId="77777777" w:rsidR="00F4724C" w:rsidRDefault="00F4724C" w:rsidP="007C56AB">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44" w:type="dxa"/>
            <w:tcBorders>
              <w:top w:val="single" w:sz="4" w:space="0" w:color="auto"/>
              <w:left w:val="nil"/>
              <w:bottom w:val="single" w:sz="4" w:space="0" w:color="auto"/>
              <w:right w:val="single" w:sz="4" w:space="0" w:color="auto"/>
            </w:tcBorders>
            <w:noWrap/>
            <w:vAlign w:val="bottom"/>
            <w:hideMark/>
          </w:tcPr>
          <w:p w14:paraId="4A4F1C4A" w14:textId="77777777" w:rsidR="00F4724C" w:rsidRDefault="00F4724C" w:rsidP="007C56AB">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7" w:type="dxa"/>
            <w:tcBorders>
              <w:top w:val="single" w:sz="4" w:space="0" w:color="auto"/>
              <w:left w:val="single" w:sz="4" w:space="0" w:color="auto"/>
              <w:bottom w:val="single" w:sz="4" w:space="0" w:color="auto"/>
              <w:right w:val="nil"/>
            </w:tcBorders>
            <w:noWrap/>
            <w:vAlign w:val="bottom"/>
            <w:hideMark/>
          </w:tcPr>
          <w:p w14:paraId="57FD3260" w14:textId="77777777" w:rsidR="00F4724C" w:rsidRDefault="00F4724C" w:rsidP="007C56AB">
            <w:pPr>
              <w:spacing w:after="0"/>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7" w:type="dxa"/>
            <w:tcBorders>
              <w:top w:val="single" w:sz="4" w:space="0" w:color="auto"/>
              <w:left w:val="nil"/>
              <w:bottom w:val="single" w:sz="4" w:space="0" w:color="auto"/>
              <w:right w:val="single" w:sz="4" w:space="0" w:color="auto"/>
            </w:tcBorders>
            <w:noWrap/>
            <w:vAlign w:val="bottom"/>
            <w:hideMark/>
          </w:tcPr>
          <w:p w14:paraId="27827181" w14:textId="77777777" w:rsidR="00F4724C" w:rsidRDefault="00F4724C" w:rsidP="007C56AB">
            <w:pPr>
              <w:spacing w:after="0"/>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3D24DC2F" w14:textId="77777777" w:rsidTr="007C56AB">
        <w:trPr>
          <w:trHeight w:val="208"/>
        </w:trPr>
        <w:tc>
          <w:tcPr>
            <w:tcW w:w="2241" w:type="dxa"/>
            <w:tcBorders>
              <w:top w:val="nil"/>
              <w:left w:val="single" w:sz="4" w:space="0" w:color="auto"/>
              <w:bottom w:val="single" w:sz="4" w:space="0" w:color="auto"/>
              <w:right w:val="single" w:sz="4" w:space="0" w:color="auto"/>
            </w:tcBorders>
            <w:noWrap/>
            <w:vAlign w:val="bottom"/>
            <w:hideMark/>
          </w:tcPr>
          <w:p w14:paraId="5E30DDD0"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92" w:type="dxa"/>
            <w:tcBorders>
              <w:top w:val="nil"/>
              <w:left w:val="nil"/>
              <w:bottom w:val="single" w:sz="4" w:space="0" w:color="auto"/>
              <w:right w:val="single" w:sz="4" w:space="0" w:color="auto"/>
            </w:tcBorders>
            <w:noWrap/>
            <w:vAlign w:val="bottom"/>
            <w:hideMark/>
          </w:tcPr>
          <w:p w14:paraId="13BA5260"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7,3</w:t>
            </w:r>
          </w:p>
        </w:tc>
        <w:tc>
          <w:tcPr>
            <w:tcW w:w="570" w:type="dxa"/>
            <w:tcBorders>
              <w:top w:val="nil"/>
              <w:left w:val="nil"/>
              <w:bottom w:val="single" w:sz="4" w:space="0" w:color="auto"/>
              <w:right w:val="single" w:sz="4" w:space="0" w:color="auto"/>
            </w:tcBorders>
            <w:noWrap/>
            <w:vAlign w:val="bottom"/>
            <w:hideMark/>
          </w:tcPr>
          <w:p w14:paraId="6DF6F03C"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844" w:type="dxa"/>
            <w:tcBorders>
              <w:top w:val="nil"/>
              <w:left w:val="nil"/>
              <w:bottom w:val="single" w:sz="4" w:space="0" w:color="auto"/>
              <w:right w:val="single" w:sz="4" w:space="0" w:color="auto"/>
            </w:tcBorders>
            <w:noWrap/>
            <w:vAlign w:val="bottom"/>
            <w:hideMark/>
          </w:tcPr>
          <w:p w14:paraId="356B12F3"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0,61</w:t>
            </w:r>
          </w:p>
        </w:tc>
        <w:tc>
          <w:tcPr>
            <w:tcW w:w="1207" w:type="dxa"/>
            <w:tcBorders>
              <w:top w:val="single" w:sz="4" w:space="0" w:color="auto"/>
              <w:left w:val="nil"/>
              <w:bottom w:val="single" w:sz="4" w:space="0" w:color="auto"/>
              <w:right w:val="single" w:sz="4" w:space="0" w:color="auto"/>
            </w:tcBorders>
            <w:noWrap/>
            <w:vAlign w:val="bottom"/>
            <w:hideMark/>
          </w:tcPr>
          <w:p w14:paraId="67C2D682"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7" w:type="dxa"/>
            <w:tcBorders>
              <w:top w:val="single" w:sz="4" w:space="0" w:color="auto"/>
              <w:left w:val="nil"/>
              <w:bottom w:val="single" w:sz="4" w:space="0" w:color="auto"/>
              <w:right w:val="single" w:sz="4" w:space="0" w:color="auto"/>
            </w:tcBorders>
            <w:noWrap/>
            <w:vAlign w:val="bottom"/>
            <w:hideMark/>
          </w:tcPr>
          <w:p w14:paraId="38AC1816"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52923E92" w14:textId="77777777" w:rsidTr="007C56AB">
        <w:trPr>
          <w:trHeight w:val="208"/>
        </w:trPr>
        <w:tc>
          <w:tcPr>
            <w:tcW w:w="2241" w:type="dxa"/>
            <w:tcBorders>
              <w:top w:val="nil"/>
              <w:left w:val="single" w:sz="4" w:space="0" w:color="auto"/>
              <w:bottom w:val="single" w:sz="4" w:space="0" w:color="auto"/>
              <w:right w:val="single" w:sz="4" w:space="0" w:color="auto"/>
            </w:tcBorders>
            <w:noWrap/>
            <w:vAlign w:val="bottom"/>
            <w:hideMark/>
          </w:tcPr>
          <w:p w14:paraId="4A1FC8E5"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92" w:type="dxa"/>
            <w:tcBorders>
              <w:top w:val="nil"/>
              <w:left w:val="nil"/>
              <w:bottom w:val="single" w:sz="4" w:space="0" w:color="auto"/>
              <w:right w:val="single" w:sz="4" w:space="0" w:color="auto"/>
            </w:tcBorders>
            <w:noWrap/>
            <w:vAlign w:val="bottom"/>
            <w:hideMark/>
          </w:tcPr>
          <w:p w14:paraId="406AE085"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8,7</w:t>
            </w:r>
          </w:p>
        </w:tc>
        <w:tc>
          <w:tcPr>
            <w:tcW w:w="570" w:type="dxa"/>
            <w:tcBorders>
              <w:top w:val="nil"/>
              <w:left w:val="nil"/>
              <w:bottom w:val="single" w:sz="4" w:space="0" w:color="auto"/>
              <w:right w:val="single" w:sz="4" w:space="0" w:color="auto"/>
            </w:tcBorders>
            <w:noWrap/>
            <w:vAlign w:val="bottom"/>
            <w:hideMark/>
          </w:tcPr>
          <w:p w14:paraId="5F34144C"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844" w:type="dxa"/>
            <w:tcBorders>
              <w:top w:val="nil"/>
              <w:left w:val="nil"/>
              <w:bottom w:val="single" w:sz="4" w:space="0" w:color="auto"/>
              <w:right w:val="single" w:sz="4" w:space="0" w:color="auto"/>
            </w:tcBorders>
            <w:noWrap/>
            <w:vAlign w:val="bottom"/>
            <w:hideMark/>
          </w:tcPr>
          <w:p w14:paraId="6BFB9A79"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0,3</w:t>
            </w:r>
          </w:p>
        </w:tc>
        <w:tc>
          <w:tcPr>
            <w:tcW w:w="1207" w:type="dxa"/>
            <w:tcBorders>
              <w:top w:val="nil"/>
              <w:left w:val="nil"/>
              <w:bottom w:val="single" w:sz="4" w:space="0" w:color="auto"/>
              <w:right w:val="single" w:sz="4" w:space="0" w:color="auto"/>
            </w:tcBorders>
            <w:noWrap/>
            <w:vAlign w:val="bottom"/>
            <w:hideMark/>
          </w:tcPr>
          <w:p w14:paraId="2E61FF41"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7" w:type="dxa"/>
            <w:tcBorders>
              <w:top w:val="nil"/>
              <w:left w:val="nil"/>
              <w:bottom w:val="single" w:sz="4" w:space="0" w:color="auto"/>
              <w:right w:val="single" w:sz="4" w:space="0" w:color="auto"/>
            </w:tcBorders>
            <w:noWrap/>
            <w:vAlign w:val="bottom"/>
            <w:hideMark/>
          </w:tcPr>
          <w:p w14:paraId="008A3EA7"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5E0FA8BD" w14:textId="77777777" w:rsidTr="007C56AB">
        <w:trPr>
          <w:trHeight w:val="208"/>
        </w:trPr>
        <w:tc>
          <w:tcPr>
            <w:tcW w:w="2241" w:type="dxa"/>
            <w:tcBorders>
              <w:top w:val="nil"/>
              <w:left w:val="single" w:sz="4" w:space="0" w:color="auto"/>
              <w:bottom w:val="single" w:sz="4" w:space="0" w:color="auto"/>
              <w:right w:val="single" w:sz="4" w:space="0" w:color="auto"/>
            </w:tcBorders>
            <w:noWrap/>
            <w:vAlign w:val="bottom"/>
            <w:hideMark/>
          </w:tcPr>
          <w:p w14:paraId="4F773FD4"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92" w:type="dxa"/>
            <w:tcBorders>
              <w:top w:val="nil"/>
              <w:left w:val="nil"/>
              <w:bottom w:val="single" w:sz="4" w:space="0" w:color="auto"/>
              <w:right w:val="single" w:sz="4" w:space="0" w:color="auto"/>
            </w:tcBorders>
            <w:noWrap/>
            <w:vAlign w:val="bottom"/>
            <w:hideMark/>
          </w:tcPr>
          <w:p w14:paraId="2CD896B0"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9,14</w:t>
            </w:r>
          </w:p>
        </w:tc>
        <w:tc>
          <w:tcPr>
            <w:tcW w:w="570" w:type="dxa"/>
            <w:tcBorders>
              <w:top w:val="nil"/>
              <w:left w:val="nil"/>
              <w:bottom w:val="single" w:sz="4" w:space="0" w:color="auto"/>
              <w:right w:val="single" w:sz="4" w:space="0" w:color="auto"/>
            </w:tcBorders>
            <w:noWrap/>
            <w:vAlign w:val="bottom"/>
            <w:hideMark/>
          </w:tcPr>
          <w:p w14:paraId="0C199C48"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44" w:type="dxa"/>
            <w:tcBorders>
              <w:top w:val="nil"/>
              <w:left w:val="nil"/>
              <w:bottom w:val="single" w:sz="4" w:space="0" w:color="auto"/>
              <w:right w:val="single" w:sz="4" w:space="0" w:color="auto"/>
            </w:tcBorders>
            <w:noWrap/>
            <w:vAlign w:val="bottom"/>
            <w:hideMark/>
          </w:tcPr>
          <w:p w14:paraId="4D8D2E6D"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0,5</w:t>
            </w:r>
          </w:p>
        </w:tc>
        <w:tc>
          <w:tcPr>
            <w:tcW w:w="1207" w:type="dxa"/>
            <w:tcBorders>
              <w:top w:val="nil"/>
              <w:left w:val="nil"/>
              <w:bottom w:val="single" w:sz="4" w:space="0" w:color="auto"/>
              <w:right w:val="single" w:sz="4" w:space="0" w:color="auto"/>
            </w:tcBorders>
            <w:noWrap/>
            <w:vAlign w:val="bottom"/>
            <w:hideMark/>
          </w:tcPr>
          <w:p w14:paraId="3C3AF53F"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7" w:type="dxa"/>
            <w:tcBorders>
              <w:top w:val="nil"/>
              <w:left w:val="nil"/>
              <w:bottom w:val="single" w:sz="4" w:space="0" w:color="auto"/>
              <w:right w:val="single" w:sz="4" w:space="0" w:color="auto"/>
            </w:tcBorders>
            <w:noWrap/>
            <w:vAlign w:val="bottom"/>
            <w:hideMark/>
          </w:tcPr>
          <w:p w14:paraId="3CDF5012"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D1464D2" w14:textId="77777777" w:rsidTr="007C56AB">
        <w:trPr>
          <w:trHeight w:val="208"/>
        </w:trPr>
        <w:tc>
          <w:tcPr>
            <w:tcW w:w="2241" w:type="dxa"/>
            <w:tcBorders>
              <w:top w:val="nil"/>
              <w:left w:val="single" w:sz="4" w:space="0" w:color="auto"/>
              <w:bottom w:val="single" w:sz="4" w:space="0" w:color="auto"/>
              <w:right w:val="single" w:sz="4" w:space="0" w:color="auto"/>
            </w:tcBorders>
            <w:noWrap/>
            <w:vAlign w:val="bottom"/>
            <w:hideMark/>
          </w:tcPr>
          <w:p w14:paraId="19C95193"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92" w:type="dxa"/>
            <w:tcBorders>
              <w:top w:val="nil"/>
              <w:left w:val="nil"/>
              <w:bottom w:val="single" w:sz="4" w:space="0" w:color="auto"/>
              <w:right w:val="single" w:sz="4" w:space="0" w:color="auto"/>
            </w:tcBorders>
            <w:noWrap/>
            <w:vAlign w:val="bottom"/>
            <w:hideMark/>
          </w:tcPr>
          <w:p w14:paraId="5B4B31FE"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10,12</w:t>
            </w:r>
          </w:p>
        </w:tc>
        <w:tc>
          <w:tcPr>
            <w:tcW w:w="570" w:type="dxa"/>
            <w:tcBorders>
              <w:top w:val="nil"/>
              <w:left w:val="nil"/>
              <w:bottom w:val="single" w:sz="4" w:space="0" w:color="auto"/>
              <w:right w:val="single" w:sz="4" w:space="0" w:color="auto"/>
            </w:tcBorders>
            <w:noWrap/>
            <w:vAlign w:val="bottom"/>
            <w:hideMark/>
          </w:tcPr>
          <w:p w14:paraId="6EC9C2F3"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44" w:type="dxa"/>
            <w:tcBorders>
              <w:top w:val="nil"/>
              <w:left w:val="nil"/>
              <w:bottom w:val="single" w:sz="4" w:space="0" w:color="auto"/>
              <w:right w:val="single" w:sz="4" w:space="0" w:color="auto"/>
            </w:tcBorders>
            <w:noWrap/>
            <w:vAlign w:val="bottom"/>
            <w:hideMark/>
          </w:tcPr>
          <w:p w14:paraId="4D48D0C6"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1,73</w:t>
            </w:r>
          </w:p>
        </w:tc>
        <w:tc>
          <w:tcPr>
            <w:tcW w:w="1207" w:type="dxa"/>
            <w:tcBorders>
              <w:top w:val="nil"/>
              <w:left w:val="nil"/>
              <w:bottom w:val="single" w:sz="4" w:space="0" w:color="auto"/>
              <w:right w:val="single" w:sz="4" w:space="0" w:color="auto"/>
            </w:tcBorders>
            <w:noWrap/>
            <w:vAlign w:val="bottom"/>
            <w:hideMark/>
          </w:tcPr>
          <w:p w14:paraId="7D7E165D"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7" w:type="dxa"/>
            <w:tcBorders>
              <w:top w:val="nil"/>
              <w:left w:val="nil"/>
              <w:bottom w:val="single" w:sz="4" w:space="0" w:color="auto"/>
              <w:right w:val="single" w:sz="4" w:space="0" w:color="auto"/>
            </w:tcBorders>
            <w:noWrap/>
            <w:vAlign w:val="bottom"/>
            <w:hideMark/>
          </w:tcPr>
          <w:p w14:paraId="692CF734"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3E3B918D" w14:textId="77777777" w:rsidTr="007C56AB">
        <w:trPr>
          <w:trHeight w:val="208"/>
        </w:trPr>
        <w:tc>
          <w:tcPr>
            <w:tcW w:w="2241" w:type="dxa"/>
            <w:tcBorders>
              <w:top w:val="nil"/>
              <w:left w:val="single" w:sz="4" w:space="0" w:color="auto"/>
              <w:bottom w:val="single" w:sz="4" w:space="0" w:color="auto"/>
              <w:right w:val="single" w:sz="4" w:space="0" w:color="auto"/>
            </w:tcBorders>
            <w:noWrap/>
            <w:vAlign w:val="bottom"/>
            <w:hideMark/>
          </w:tcPr>
          <w:p w14:paraId="126CD1D0"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92" w:type="dxa"/>
            <w:tcBorders>
              <w:top w:val="nil"/>
              <w:left w:val="nil"/>
              <w:bottom w:val="single" w:sz="4" w:space="0" w:color="auto"/>
              <w:right w:val="single" w:sz="4" w:space="0" w:color="auto"/>
            </w:tcBorders>
            <w:noWrap/>
            <w:vAlign w:val="bottom"/>
            <w:hideMark/>
          </w:tcPr>
          <w:p w14:paraId="73B9E669"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10,51</w:t>
            </w:r>
          </w:p>
        </w:tc>
        <w:tc>
          <w:tcPr>
            <w:tcW w:w="570" w:type="dxa"/>
            <w:tcBorders>
              <w:top w:val="nil"/>
              <w:left w:val="nil"/>
              <w:bottom w:val="single" w:sz="4" w:space="0" w:color="auto"/>
              <w:right w:val="single" w:sz="4" w:space="0" w:color="auto"/>
            </w:tcBorders>
            <w:noWrap/>
            <w:vAlign w:val="bottom"/>
            <w:hideMark/>
          </w:tcPr>
          <w:p w14:paraId="3DC93FC8"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44" w:type="dxa"/>
            <w:tcBorders>
              <w:top w:val="nil"/>
              <w:left w:val="nil"/>
              <w:bottom w:val="single" w:sz="4" w:space="0" w:color="auto"/>
              <w:right w:val="single" w:sz="4" w:space="0" w:color="auto"/>
            </w:tcBorders>
            <w:noWrap/>
            <w:vAlign w:val="bottom"/>
            <w:hideMark/>
          </w:tcPr>
          <w:p w14:paraId="6CA0BC63"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0,38</w:t>
            </w:r>
          </w:p>
        </w:tc>
        <w:tc>
          <w:tcPr>
            <w:tcW w:w="1207" w:type="dxa"/>
            <w:tcBorders>
              <w:top w:val="nil"/>
              <w:left w:val="nil"/>
              <w:bottom w:val="single" w:sz="4" w:space="0" w:color="auto"/>
              <w:right w:val="single" w:sz="4" w:space="0" w:color="auto"/>
            </w:tcBorders>
            <w:noWrap/>
            <w:vAlign w:val="bottom"/>
            <w:hideMark/>
          </w:tcPr>
          <w:p w14:paraId="6D680EE8"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7" w:type="dxa"/>
            <w:tcBorders>
              <w:top w:val="nil"/>
              <w:left w:val="nil"/>
              <w:bottom w:val="single" w:sz="4" w:space="0" w:color="auto"/>
              <w:right w:val="single" w:sz="4" w:space="0" w:color="auto"/>
            </w:tcBorders>
            <w:noWrap/>
            <w:vAlign w:val="bottom"/>
            <w:hideMark/>
          </w:tcPr>
          <w:p w14:paraId="4C10DEAE"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157AD504" w14:textId="77777777" w:rsidTr="007C56AB">
        <w:trPr>
          <w:trHeight w:val="208"/>
        </w:trPr>
        <w:tc>
          <w:tcPr>
            <w:tcW w:w="2241" w:type="dxa"/>
            <w:tcBorders>
              <w:top w:val="nil"/>
              <w:left w:val="single" w:sz="4" w:space="0" w:color="auto"/>
              <w:bottom w:val="single" w:sz="4" w:space="0" w:color="auto"/>
              <w:right w:val="single" w:sz="4" w:space="0" w:color="auto"/>
            </w:tcBorders>
            <w:noWrap/>
            <w:vAlign w:val="bottom"/>
            <w:hideMark/>
          </w:tcPr>
          <w:p w14:paraId="0E4BADFC"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92" w:type="dxa"/>
            <w:tcBorders>
              <w:top w:val="nil"/>
              <w:left w:val="nil"/>
              <w:bottom w:val="single" w:sz="4" w:space="0" w:color="auto"/>
              <w:right w:val="single" w:sz="4" w:space="0" w:color="auto"/>
            </w:tcBorders>
            <w:noWrap/>
            <w:vAlign w:val="bottom"/>
            <w:hideMark/>
          </w:tcPr>
          <w:p w14:paraId="085E5545"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12,74</w:t>
            </w:r>
          </w:p>
        </w:tc>
        <w:tc>
          <w:tcPr>
            <w:tcW w:w="570" w:type="dxa"/>
            <w:tcBorders>
              <w:top w:val="nil"/>
              <w:left w:val="nil"/>
              <w:bottom w:val="single" w:sz="4" w:space="0" w:color="auto"/>
              <w:right w:val="single" w:sz="4" w:space="0" w:color="auto"/>
            </w:tcBorders>
            <w:noWrap/>
            <w:vAlign w:val="bottom"/>
            <w:hideMark/>
          </w:tcPr>
          <w:p w14:paraId="25F9FECD"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844" w:type="dxa"/>
            <w:tcBorders>
              <w:top w:val="nil"/>
              <w:left w:val="nil"/>
              <w:bottom w:val="single" w:sz="4" w:space="0" w:color="auto"/>
              <w:right w:val="single" w:sz="4" w:space="0" w:color="auto"/>
            </w:tcBorders>
            <w:noWrap/>
            <w:vAlign w:val="bottom"/>
            <w:hideMark/>
          </w:tcPr>
          <w:p w14:paraId="02B0C3EF"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207" w:type="dxa"/>
            <w:tcBorders>
              <w:top w:val="nil"/>
              <w:left w:val="nil"/>
              <w:bottom w:val="single" w:sz="4" w:space="0" w:color="auto"/>
              <w:right w:val="single" w:sz="4" w:space="0" w:color="auto"/>
            </w:tcBorders>
            <w:noWrap/>
            <w:vAlign w:val="bottom"/>
            <w:hideMark/>
          </w:tcPr>
          <w:p w14:paraId="525969E9"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7" w:type="dxa"/>
            <w:tcBorders>
              <w:top w:val="nil"/>
              <w:left w:val="nil"/>
              <w:bottom w:val="single" w:sz="4" w:space="0" w:color="auto"/>
              <w:right w:val="single" w:sz="4" w:space="0" w:color="auto"/>
            </w:tcBorders>
            <w:noWrap/>
            <w:vAlign w:val="bottom"/>
            <w:hideMark/>
          </w:tcPr>
          <w:p w14:paraId="4B40F16E" w14:textId="77777777" w:rsidR="00F4724C" w:rsidRDefault="00F4724C" w:rsidP="007C56AB">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53BCB1D8" w14:textId="77777777" w:rsidR="00023192" w:rsidRDefault="00F4724C" w:rsidP="00023192">
      <w:pPr>
        <w:autoSpaceDE w:val="0"/>
        <w:autoSpaceDN w:val="0"/>
        <w:adjustRightInd w:val="0"/>
        <w:spacing w:after="0" w:line="360" w:lineRule="auto"/>
        <w:rPr>
          <w:rFonts w:cs="Times New Roman"/>
          <w:szCs w:val="24"/>
        </w:rPr>
      </w:pPr>
      <w:r>
        <w:rPr>
          <w:rFonts w:cs="Times New Roman"/>
          <w:szCs w:val="24"/>
        </w:rPr>
        <w:t>Medias con una letra común no son significa</w:t>
      </w:r>
      <w:bookmarkStart w:id="1662" w:name="_Toc72705677"/>
      <w:bookmarkStart w:id="1663" w:name="_Toc72706316"/>
      <w:bookmarkStart w:id="1664" w:name="_Toc72741266"/>
      <w:bookmarkStart w:id="1665" w:name="_Toc72742064"/>
      <w:bookmarkStart w:id="1666" w:name="_Toc72881224"/>
      <w:bookmarkStart w:id="1667" w:name="_Toc72882677"/>
      <w:bookmarkStart w:id="1668" w:name="_Toc75606464"/>
      <w:bookmarkStart w:id="1669" w:name="_Toc75612789"/>
      <w:bookmarkStart w:id="1670" w:name="_Toc75679945"/>
      <w:bookmarkStart w:id="1671" w:name="_Toc75702553"/>
      <w:r w:rsidR="00D35FEF">
        <w:rPr>
          <w:rFonts w:cs="Times New Roman"/>
          <w:szCs w:val="24"/>
        </w:rPr>
        <w:t>tivamente diferentes (p &gt; 0,05)</w:t>
      </w:r>
      <w:bookmarkStart w:id="1672" w:name="_Toc79314082"/>
      <w:bookmarkEnd w:id="1662"/>
      <w:bookmarkEnd w:id="1663"/>
      <w:bookmarkEnd w:id="1664"/>
      <w:bookmarkEnd w:id="1665"/>
      <w:bookmarkEnd w:id="1666"/>
      <w:bookmarkEnd w:id="1667"/>
      <w:bookmarkEnd w:id="1668"/>
      <w:bookmarkEnd w:id="1669"/>
      <w:bookmarkEnd w:id="1670"/>
      <w:bookmarkEnd w:id="1671"/>
    </w:p>
    <w:p w14:paraId="4DE28F93" w14:textId="47990AE5" w:rsidR="00D35FEF" w:rsidRPr="00023192" w:rsidRDefault="00D35FEF" w:rsidP="00023192">
      <w:pPr>
        <w:autoSpaceDE w:val="0"/>
        <w:autoSpaceDN w:val="0"/>
        <w:adjustRightInd w:val="0"/>
        <w:spacing w:before="360" w:after="0" w:line="360" w:lineRule="auto"/>
        <w:rPr>
          <w:rFonts w:cs="Times New Roman"/>
          <w:szCs w:val="24"/>
        </w:rPr>
      </w:pPr>
      <w:r w:rsidRPr="00D35FEF">
        <w:rPr>
          <w:rFonts w:cs="Times New Roman"/>
          <w:b/>
          <w:szCs w:val="24"/>
        </w:rPr>
        <w:t xml:space="preserve">Cuadro </w:t>
      </w:r>
      <w:r w:rsidRPr="00D35FEF">
        <w:rPr>
          <w:rFonts w:cs="Times New Roman"/>
          <w:b/>
          <w:i/>
          <w:iCs/>
          <w:szCs w:val="24"/>
        </w:rPr>
        <w:fldChar w:fldCharType="begin"/>
      </w:r>
      <w:r w:rsidRPr="00D35FEF">
        <w:rPr>
          <w:rFonts w:cs="Times New Roman"/>
          <w:b/>
          <w:szCs w:val="24"/>
        </w:rPr>
        <w:instrText xml:space="preserve"> SEQ Cuadro \* ARABIC </w:instrText>
      </w:r>
      <w:r w:rsidRPr="00D35FEF">
        <w:rPr>
          <w:rFonts w:cs="Times New Roman"/>
          <w:b/>
          <w:i/>
          <w:iCs/>
          <w:szCs w:val="24"/>
        </w:rPr>
        <w:fldChar w:fldCharType="separate"/>
      </w:r>
      <w:r w:rsidR="000D1F55">
        <w:rPr>
          <w:rFonts w:cs="Times New Roman"/>
          <w:b/>
          <w:noProof/>
          <w:szCs w:val="24"/>
        </w:rPr>
        <w:t>90</w:t>
      </w:r>
      <w:r w:rsidRPr="00D35FEF">
        <w:rPr>
          <w:rFonts w:cs="Times New Roman"/>
          <w:b/>
          <w:i/>
          <w:iCs/>
          <w:szCs w:val="24"/>
        </w:rPr>
        <w:fldChar w:fldCharType="end"/>
      </w:r>
      <w:r w:rsidRPr="00D35FEF">
        <w:rPr>
          <w:rFonts w:cs="Times New Roman"/>
          <w:b/>
          <w:szCs w:val="24"/>
        </w:rPr>
        <w:t>.</w:t>
      </w:r>
      <w:r w:rsidRPr="00D35FEF">
        <w:rPr>
          <w:rFonts w:cs="Times New Roman"/>
          <w:szCs w:val="24"/>
        </w:rPr>
        <w:t xml:space="preserve"> Absorción total de azufre para diversas dosis de potasio evaluadas en la provincia de Chimborazo 2012-2014.</w:t>
      </w:r>
      <w:bookmarkEnd w:id="1672"/>
    </w:p>
    <w:tbl>
      <w:tblPr>
        <w:tblW w:w="7914" w:type="dxa"/>
        <w:jc w:val="center"/>
        <w:tblCellMar>
          <w:left w:w="70" w:type="dxa"/>
          <w:right w:w="70" w:type="dxa"/>
        </w:tblCellMar>
        <w:tblLook w:val="04A0" w:firstRow="1" w:lastRow="0" w:firstColumn="1" w:lastColumn="0" w:noHBand="0" w:noVBand="1"/>
      </w:tblPr>
      <w:tblGrid>
        <w:gridCol w:w="2227"/>
        <w:gridCol w:w="887"/>
        <w:gridCol w:w="567"/>
        <w:gridCol w:w="1833"/>
        <w:gridCol w:w="1200"/>
        <w:gridCol w:w="1200"/>
      </w:tblGrid>
      <w:tr w:rsidR="00F4724C" w14:paraId="5FFDAAAA" w14:textId="77777777" w:rsidTr="0043408D">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6EE12C4B"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4F6D272A"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noWrap/>
            <w:vAlign w:val="bottom"/>
            <w:hideMark/>
          </w:tcPr>
          <w:p w14:paraId="29846215"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33" w:type="dxa"/>
            <w:tcBorders>
              <w:top w:val="single" w:sz="4" w:space="0" w:color="auto"/>
              <w:left w:val="nil"/>
              <w:bottom w:val="single" w:sz="4" w:space="0" w:color="auto"/>
              <w:right w:val="single" w:sz="4" w:space="0" w:color="auto"/>
            </w:tcBorders>
            <w:noWrap/>
            <w:vAlign w:val="bottom"/>
            <w:hideMark/>
          </w:tcPr>
          <w:p w14:paraId="56B381B7"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3F842B43" w14:textId="77777777" w:rsidR="00F4724C" w:rsidRDefault="00F4724C" w:rsidP="00023192">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4C7C84C0" w14:textId="77777777" w:rsidR="00F4724C" w:rsidRDefault="00F4724C" w:rsidP="00023192">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47176668" w14:textId="77777777" w:rsidTr="0043408D">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18931B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27444FC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w:t>
            </w:r>
          </w:p>
        </w:tc>
        <w:tc>
          <w:tcPr>
            <w:tcW w:w="567" w:type="dxa"/>
            <w:tcBorders>
              <w:top w:val="nil"/>
              <w:left w:val="nil"/>
              <w:bottom w:val="single" w:sz="4" w:space="0" w:color="auto"/>
              <w:right w:val="single" w:sz="4" w:space="0" w:color="auto"/>
            </w:tcBorders>
            <w:noWrap/>
            <w:vAlign w:val="bottom"/>
            <w:hideMark/>
          </w:tcPr>
          <w:p w14:paraId="02B4940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833" w:type="dxa"/>
            <w:tcBorders>
              <w:top w:val="nil"/>
              <w:left w:val="nil"/>
              <w:bottom w:val="single" w:sz="4" w:space="0" w:color="auto"/>
              <w:right w:val="single" w:sz="4" w:space="0" w:color="auto"/>
            </w:tcBorders>
            <w:noWrap/>
            <w:vAlign w:val="bottom"/>
            <w:hideMark/>
          </w:tcPr>
          <w:p w14:paraId="649EABA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w:t>
            </w:r>
          </w:p>
        </w:tc>
        <w:tc>
          <w:tcPr>
            <w:tcW w:w="1200" w:type="dxa"/>
            <w:tcBorders>
              <w:top w:val="single" w:sz="4" w:space="0" w:color="auto"/>
              <w:left w:val="nil"/>
              <w:bottom w:val="single" w:sz="4" w:space="0" w:color="auto"/>
              <w:right w:val="single" w:sz="4" w:space="0" w:color="auto"/>
            </w:tcBorders>
            <w:noWrap/>
            <w:vAlign w:val="bottom"/>
            <w:hideMark/>
          </w:tcPr>
          <w:p w14:paraId="362AFAF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29EB689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E7CAA15" w14:textId="77777777" w:rsidTr="0043408D">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67C0748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5D443E1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w:t>
            </w:r>
          </w:p>
        </w:tc>
        <w:tc>
          <w:tcPr>
            <w:tcW w:w="567" w:type="dxa"/>
            <w:tcBorders>
              <w:top w:val="nil"/>
              <w:left w:val="nil"/>
              <w:bottom w:val="single" w:sz="4" w:space="0" w:color="auto"/>
              <w:right w:val="single" w:sz="4" w:space="0" w:color="auto"/>
            </w:tcBorders>
            <w:noWrap/>
            <w:vAlign w:val="bottom"/>
            <w:hideMark/>
          </w:tcPr>
          <w:p w14:paraId="1E0E84F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33" w:type="dxa"/>
            <w:tcBorders>
              <w:top w:val="nil"/>
              <w:left w:val="nil"/>
              <w:bottom w:val="single" w:sz="4" w:space="0" w:color="auto"/>
              <w:right w:val="single" w:sz="4" w:space="0" w:color="auto"/>
            </w:tcBorders>
            <w:noWrap/>
            <w:vAlign w:val="bottom"/>
            <w:hideMark/>
          </w:tcPr>
          <w:p w14:paraId="2E0EFF2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c>
          <w:tcPr>
            <w:tcW w:w="1200" w:type="dxa"/>
            <w:tcBorders>
              <w:top w:val="nil"/>
              <w:left w:val="nil"/>
              <w:bottom w:val="single" w:sz="4" w:space="0" w:color="auto"/>
              <w:right w:val="single" w:sz="4" w:space="0" w:color="auto"/>
            </w:tcBorders>
            <w:noWrap/>
            <w:vAlign w:val="bottom"/>
            <w:hideMark/>
          </w:tcPr>
          <w:p w14:paraId="10600AD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4F8D658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E22DDA8" w14:textId="77777777" w:rsidTr="0043408D">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0F95D0C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01764FF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9,16</w:t>
            </w:r>
          </w:p>
        </w:tc>
        <w:tc>
          <w:tcPr>
            <w:tcW w:w="567" w:type="dxa"/>
            <w:tcBorders>
              <w:top w:val="nil"/>
              <w:left w:val="nil"/>
              <w:bottom w:val="single" w:sz="4" w:space="0" w:color="auto"/>
              <w:right w:val="single" w:sz="4" w:space="0" w:color="auto"/>
            </w:tcBorders>
            <w:noWrap/>
            <w:vAlign w:val="bottom"/>
            <w:hideMark/>
          </w:tcPr>
          <w:p w14:paraId="32E64DA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833" w:type="dxa"/>
            <w:tcBorders>
              <w:top w:val="nil"/>
              <w:left w:val="nil"/>
              <w:bottom w:val="single" w:sz="4" w:space="0" w:color="auto"/>
              <w:right w:val="single" w:sz="4" w:space="0" w:color="auto"/>
            </w:tcBorders>
            <w:noWrap/>
            <w:vAlign w:val="bottom"/>
            <w:hideMark/>
          </w:tcPr>
          <w:p w14:paraId="483E163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0,44</w:t>
            </w:r>
          </w:p>
        </w:tc>
        <w:tc>
          <w:tcPr>
            <w:tcW w:w="1200" w:type="dxa"/>
            <w:tcBorders>
              <w:top w:val="nil"/>
              <w:left w:val="nil"/>
              <w:bottom w:val="single" w:sz="4" w:space="0" w:color="auto"/>
              <w:right w:val="single" w:sz="4" w:space="0" w:color="auto"/>
            </w:tcBorders>
            <w:noWrap/>
            <w:vAlign w:val="bottom"/>
            <w:hideMark/>
          </w:tcPr>
          <w:p w14:paraId="10E684A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767B957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46B73145" w14:textId="77777777" w:rsidTr="0043408D">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A9E82F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4E13578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9,49</w:t>
            </w:r>
          </w:p>
        </w:tc>
        <w:tc>
          <w:tcPr>
            <w:tcW w:w="567" w:type="dxa"/>
            <w:tcBorders>
              <w:top w:val="nil"/>
              <w:left w:val="nil"/>
              <w:bottom w:val="single" w:sz="4" w:space="0" w:color="auto"/>
              <w:right w:val="single" w:sz="4" w:space="0" w:color="auto"/>
            </w:tcBorders>
            <w:noWrap/>
            <w:vAlign w:val="bottom"/>
            <w:hideMark/>
          </w:tcPr>
          <w:p w14:paraId="5712DF44"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833" w:type="dxa"/>
            <w:tcBorders>
              <w:top w:val="nil"/>
              <w:left w:val="nil"/>
              <w:bottom w:val="single" w:sz="4" w:space="0" w:color="auto"/>
              <w:right w:val="single" w:sz="4" w:space="0" w:color="auto"/>
            </w:tcBorders>
            <w:noWrap/>
            <w:vAlign w:val="bottom"/>
            <w:hideMark/>
          </w:tcPr>
          <w:p w14:paraId="0A0C172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0,52</w:t>
            </w:r>
          </w:p>
        </w:tc>
        <w:tc>
          <w:tcPr>
            <w:tcW w:w="1200" w:type="dxa"/>
            <w:tcBorders>
              <w:top w:val="nil"/>
              <w:left w:val="nil"/>
              <w:bottom w:val="single" w:sz="4" w:space="0" w:color="auto"/>
              <w:right w:val="single" w:sz="4" w:space="0" w:color="auto"/>
            </w:tcBorders>
            <w:noWrap/>
            <w:vAlign w:val="bottom"/>
            <w:hideMark/>
          </w:tcPr>
          <w:p w14:paraId="0CE04E9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1434C00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7AE8D93E" w14:textId="77777777" w:rsidTr="0043408D">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CE9F96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887" w:type="dxa"/>
            <w:tcBorders>
              <w:top w:val="nil"/>
              <w:left w:val="nil"/>
              <w:bottom w:val="single" w:sz="4" w:space="0" w:color="auto"/>
              <w:right w:val="single" w:sz="4" w:space="0" w:color="auto"/>
            </w:tcBorders>
            <w:noWrap/>
            <w:vAlign w:val="bottom"/>
            <w:hideMark/>
          </w:tcPr>
          <w:p w14:paraId="371206B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10,12</w:t>
            </w:r>
          </w:p>
        </w:tc>
        <w:tc>
          <w:tcPr>
            <w:tcW w:w="567" w:type="dxa"/>
            <w:tcBorders>
              <w:top w:val="nil"/>
              <w:left w:val="nil"/>
              <w:bottom w:val="single" w:sz="4" w:space="0" w:color="auto"/>
              <w:right w:val="single" w:sz="4" w:space="0" w:color="auto"/>
            </w:tcBorders>
            <w:noWrap/>
            <w:vAlign w:val="bottom"/>
            <w:hideMark/>
          </w:tcPr>
          <w:p w14:paraId="49985EB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33" w:type="dxa"/>
            <w:tcBorders>
              <w:top w:val="nil"/>
              <w:left w:val="nil"/>
              <w:bottom w:val="single" w:sz="4" w:space="0" w:color="auto"/>
              <w:right w:val="single" w:sz="4" w:space="0" w:color="auto"/>
            </w:tcBorders>
            <w:noWrap/>
            <w:vAlign w:val="bottom"/>
            <w:hideMark/>
          </w:tcPr>
          <w:p w14:paraId="757764B4"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1,73</w:t>
            </w:r>
          </w:p>
        </w:tc>
        <w:tc>
          <w:tcPr>
            <w:tcW w:w="1200" w:type="dxa"/>
            <w:tcBorders>
              <w:top w:val="nil"/>
              <w:left w:val="nil"/>
              <w:bottom w:val="single" w:sz="4" w:space="0" w:color="auto"/>
              <w:right w:val="single" w:sz="4" w:space="0" w:color="auto"/>
            </w:tcBorders>
            <w:noWrap/>
            <w:vAlign w:val="bottom"/>
            <w:hideMark/>
          </w:tcPr>
          <w:p w14:paraId="005F4AC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62C356E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2FF46431" w14:textId="77777777" w:rsidTr="0043408D">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51E31024"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0EEF0F3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13,28</w:t>
            </w:r>
          </w:p>
        </w:tc>
        <w:tc>
          <w:tcPr>
            <w:tcW w:w="567" w:type="dxa"/>
            <w:tcBorders>
              <w:top w:val="nil"/>
              <w:left w:val="nil"/>
              <w:bottom w:val="single" w:sz="4" w:space="0" w:color="auto"/>
              <w:right w:val="single" w:sz="4" w:space="0" w:color="auto"/>
            </w:tcBorders>
            <w:noWrap/>
            <w:vAlign w:val="bottom"/>
            <w:hideMark/>
          </w:tcPr>
          <w:p w14:paraId="04279E8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833" w:type="dxa"/>
            <w:tcBorders>
              <w:top w:val="nil"/>
              <w:left w:val="nil"/>
              <w:bottom w:val="single" w:sz="4" w:space="0" w:color="auto"/>
              <w:right w:val="single" w:sz="4" w:space="0" w:color="auto"/>
            </w:tcBorders>
            <w:noWrap/>
            <w:vAlign w:val="bottom"/>
            <w:hideMark/>
          </w:tcPr>
          <w:p w14:paraId="7EF969F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w:t>
            </w:r>
          </w:p>
        </w:tc>
        <w:tc>
          <w:tcPr>
            <w:tcW w:w="1200" w:type="dxa"/>
            <w:tcBorders>
              <w:top w:val="nil"/>
              <w:left w:val="nil"/>
              <w:bottom w:val="single" w:sz="4" w:space="0" w:color="auto"/>
              <w:right w:val="single" w:sz="4" w:space="0" w:color="auto"/>
            </w:tcBorders>
            <w:noWrap/>
            <w:vAlign w:val="bottom"/>
            <w:hideMark/>
          </w:tcPr>
          <w:p w14:paraId="41625F0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75E3670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69ACD930" w14:textId="038CC4DE" w:rsidR="00F4724C" w:rsidRDefault="00F4724C" w:rsidP="00D35FEF">
      <w:pPr>
        <w:autoSpaceDE w:val="0"/>
        <w:autoSpaceDN w:val="0"/>
        <w:adjustRightInd w:val="0"/>
        <w:spacing w:after="0" w:line="360" w:lineRule="auto"/>
        <w:rPr>
          <w:rFonts w:cs="Times New Roman"/>
          <w:szCs w:val="24"/>
        </w:rPr>
      </w:pPr>
      <w:r>
        <w:rPr>
          <w:rFonts w:cs="Times New Roman"/>
          <w:szCs w:val="24"/>
        </w:rPr>
        <w:t>Medias con una letra común no son significa</w:t>
      </w:r>
      <w:r w:rsidR="00D35FEF">
        <w:rPr>
          <w:rFonts w:cs="Times New Roman"/>
          <w:szCs w:val="24"/>
        </w:rPr>
        <w:t>tivamente diferentes (p &gt; 0,05)</w:t>
      </w:r>
    </w:p>
    <w:p w14:paraId="4C1AEE16" w14:textId="2A3DBBF7" w:rsidR="00D35FEF" w:rsidRPr="00C20C81" w:rsidRDefault="00D35FEF" w:rsidP="00C20C81">
      <w:pPr>
        <w:autoSpaceDE w:val="0"/>
        <w:autoSpaceDN w:val="0"/>
        <w:adjustRightInd w:val="0"/>
        <w:spacing w:before="360" w:after="0" w:line="360" w:lineRule="auto"/>
        <w:rPr>
          <w:rFonts w:cs="Times New Roman"/>
          <w:b/>
          <w:szCs w:val="24"/>
        </w:rPr>
      </w:pPr>
      <w:bookmarkStart w:id="1673" w:name="_Toc79314083"/>
      <w:r w:rsidRPr="00D35FEF">
        <w:rPr>
          <w:rFonts w:cs="Times New Roman"/>
          <w:b/>
          <w:szCs w:val="24"/>
        </w:rPr>
        <w:t xml:space="preserve">Cuadro </w:t>
      </w:r>
      <w:r w:rsidRPr="00D35FEF">
        <w:rPr>
          <w:rFonts w:cs="Times New Roman"/>
          <w:b/>
          <w:szCs w:val="24"/>
        </w:rPr>
        <w:fldChar w:fldCharType="begin"/>
      </w:r>
      <w:r w:rsidRPr="00D35FEF">
        <w:rPr>
          <w:rFonts w:cs="Times New Roman"/>
          <w:b/>
          <w:szCs w:val="24"/>
        </w:rPr>
        <w:instrText xml:space="preserve"> SEQ Cuadro \* ARABIC </w:instrText>
      </w:r>
      <w:r w:rsidRPr="00D35FEF">
        <w:rPr>
          <w:rFonts w:cs="Times New Roman"/>
          <w:b/>
          <w:szCs w:val="24"/>
        </w:rPr>
        <w:fldChar w:fldCharType="separate"/>
      </w:r>
      <w:r w:rsidR="000D1F55">
        <w:rPr>
          <w:rFonts w:cs="Times New Roman"/>
          <w:b/>
          <w:noProof/>
          <w:szCs w:val="24"/>
        </w:rPr>
        <w:t>91</w:t>
      </w:r>
      <w:r w:rsidRPr="00D35FEF">
        <w:rPr>
          <w:rFonts w:cs="Times New Roman"/>
          <w:b/>
          <w:szCs w:val="24"/>
        </w:rPr>
        <w:fldChar w:fldCharType="end"/>
      </w:r>
      <w:r w:rsidRPr="00D35FEF">
        <w:rPr>
          <w:rFonts w:cs="Times New Roman"/>
          <w:b/>
          <w:szCs w:val="24"/>
        </w:rPr>
        <w:t>.</w:t>
      </w:r>
      <w:r w:rsidRPr="00D35FEF">
        <w:rPr>
          <w:rFonts w:cs="Times New Roman"/>
          <w:szCs w:val="24"/>
        </w:rPr>
        <w:t xml:space="preserve"> Absorción total de azufre para diversas dosis de azufre evaluadas en la provincia de Chimborazo 2012-2014.</w:t>
      </w:r>
      <w:bookmarkEnd w:id="1673"/>
    </w:p>
    <w:tbl>
      <w:tblPr>
        <w:tblW w:w="5267" w:type="dxa"/>
        <w:jc w:val="center"/>
        <w:tblCellMar>
          <w:left w:w="70" w:type="dxa"/>
          <w:right w:w="70" w:type="dxa"/>
        </w:tblCellMar>
        <w:tblLook w:val="04A0" w:firstRow="1" w:lastRow="0" w:firstColumn="1" w:lastColumn="0" w:noHBand="0" w:noVBand="1"/>
      </w:tblPr>
      <w:tblGrid>
        <w:gridCol w:w="1980"/>
        <w:gridCol w:w="887"/>
        <w:gridCol w:w="530"/>
        <w:gridCol w:w="1870"/>
      </w:tblGrid>
      <w:tr w:rsidR="00F4724C" w14:paraId="5DA34C3B" w14:textId="77777777" w:rsidTr="0043408D">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714F7BB"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6A708CFC"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noWrap/>
            <w:vAlign w:val="bottom"/>
            <w:hideMark/>
          </w:tcPr>
          <w:p w14:paraId="7ADD8765"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70" w:type="dxa"/>
            <w:tcBorders>
              <w:top w:val="single" w:sz="4" w:space="0" w:color="auto"/>
              <w:left w:val="nil"/>
              <w:bottom w:val="single" w:sz="4" w:space="0" w:color="auto"/>
              <w:right w:val="single" w:sz="4" w:space="0" w:color="auto"/>
            </w:tcBorders>
            <w:noWrap/>
            <w:vAlign w:val="bottom"/>
            <w:hideMark/>
          </w:tcPr>
          <w:p w14:paraId="1FA02474"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6FF002CB" w14:textId="77777777" w:rsidTr="0043408D">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CB0685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769EF96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8,13</w:t>
            </w:r>
          </w:p>
        </w:tc>
        <w:tc>
          <w:tcPr>
            <w:tcW w:w="530" w:type="dxa"/>
            <w:tcBorders>
              <w:top w:val="nil"/>
              <w:left w:val="nil"/>
              <w:bottom w:val="single" w:sz="4" w:space="0" w:color="auto"/>
              <w:right w:val="single" w:sz="4" w:space="0" w:color="auto"/>
            </w:tcBorders>
            <w:noWrap/>
            <w:vAlign w:val="bottom"/>
            <w:hideMark/>
          </w:tcPr>
          <w:p w14:paraId="4BD3395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w:t>
            </w:r>
          </w:p>
        </w:tc>
        <w:tc>
          <w:tcPr>
            <w:tcW w:w="1870" w:type="dxa"/>
            <w:tcBorders>
              <w:top w:val="nil"/>
              <w:left w:val="nil"/>
              <w:bottom w:val="single" w:sz="4" w:space="0" w:color="auto"/>
              <w:right w:val="single" w:sz="4" w:space="0" w:color="auto"/>
            </w:tcBorders>
            <w:noWrap/>
            <w:vAlign w:val="bottom"/>
            <w:hideMark/>
          </w:tcPr>
          <w:p w14:paraId="014C875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w:t>
            </w:r>
          </w:p>
        </w:tc>
      </w:tr>
      <w:tr w:rsidR="00F4724C" w14:paraId="00EEC6F6" w14:textId="77777777" w:rsidTr="0043408D">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5A813D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7C0D17D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9,45</w:t>
            </w:r>
          </w:p>
        </w:tc>
        <w:tc>
          <w:tcPr>
            <w:tcW w:w="530" w:type="dxa"/>
            <w:tcBorders>
              <w:top w:val="nil"/>
              <w:left w:val="nil"/>
              <w:bottom w:val="single" w:sz="4" w:space="0" w:color="auto"/>
              <w:right w:val="single" w:sz="4" w:space="0" w:color="auto"/>
            </w:tcBorders>
            <w:noWrap/>
            <w:vAlign w:val="bottom"/>
            <w:hideMark/>
          </w:tcPr>
          <w:p w14:paraId="1D59321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70" w:type="dxa"/>
            <w:tcBorders>
              <w:top w:val="nil"/>
              <w:left w:val="nil"/>
              <w:bottom w:val="single" w:sz="4" w:space="0" w:color="auto"/>
              <w:right w:val="single" w:sz="4" w:space="0" w:color="auto"/>
            </w:tcBorders>
            <w:noWrap/>
            <w:vAlign w:val="bottom"/>
            <w:hideMark/>
          </w:tcPr>
          <w:p w14:paraId="01E31D7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r>
      <w:tr w:rsidR="00F4724C" w14:paraId="3AA0685D" w14:textId="77777777" w:rsidTr="0043408D">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3538596" w14:textId="57480099" w:rsidR="00F4724C" w:rsidRDefault="002F2624"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1638C18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9,59</w:t>
            </w:r>
          </w:p>
        </w:tc>
        <w:tc>
          <w:tcPr>
            <w:tcW w:w="530" w:type="dxa"/>
            <w:tcBorders>
              <w:top w:val="nil"/>
              <w:left w:val="nil"/>
              <w:bottom w:val="single" w:sz="4" w:space="0" w:color="auto"/>
              <w:right w:val="single" w:sz="4" w:space="0" w:color="auto"/>
            </w:tcBorders>
            <w:noWrap/>
            <w:vAlign w:val="bottom"/>
            <w:hideMark/>
          </w:tcPr>
          <w:p w14:paraId="1A64157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870" w:type="dxa"/>
            <w:tcBorders>
              <w:top w:val="nil"/>
              <w:left w:val="nil"/>
              <w:bottom w:val="single" w:sz="4" w:space="0" w:color="auto"/>
              <w:right w:val="single" w:sz="4" w:space="0" w:color="auto"/>
            </w:tcBorders>
            <w:noWrap/>
            <w:vAlign w:val="bottom"/>
            <w:hideMark/>
          </w:tcPr>
          <w:p w14:paraId="0C97E7B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0,52</w:t>
            </w:r>
          </w:p>
        </w:tc>
      </w:tr>
      <w:tr w:rsidR="00F4724C" w14:paraId="5D37A296" w14:textId="77777777" w:rsidTr="0043408D">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6D0835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784A717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10,82</w:t>
            </w:r>
          </w:p>
        </w:tc>
        <w:tc>
          <w:tcPr>
            <w:tcW w:w="530" w:type="dxa"/>
            <w:tcBorders>
              <w:top w:val="nil"/>
              <w:left w:val="nil"/>
              <w:bottom w:val="single" w:sz="4" w:space="0" w:color="auto"/>
              <w:right w:val="single" w:sz="4" w:space="0" w:color="auto"/>
            </w:tcBorders>
            <w:noWrap/>
            <w:vAlign w:val="bottom"/>
            <w:hideMark/>
          </w:tcPr>
          <w:p w14:paraId="5AF1026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70" w:type="dxa"/>
            <w:tcBorders>
              <w:top w:val="nil"/>
              <w:left w:val="nil"/>
              <w:bottom w:val="single" w:sz="4" w:space="0" w:color="auto"/>
              <w:right w:val="single" w:sz="4" w:space="0" w:color="auto"/>
            </w:tcBorders>
            <w:noWrap/>
            <w:vAlign w:val="bottom"/>
            <w:hideMark/>
          </w:tcPr>
          <w:p w14:paraId="6AF53D2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0,38</w:t>
            </w:r>
          </w:p>
        </w:tc>
      </w:tr>
    </w:tbl>
    <w:p w14:paraId="0A841449" w14:textId="77777777" w:rsidR="00023192" w:rsidRDefault="00F4724C" w:rsidP="00023192">
      <w:pPr>
        <w:autoSpaceDE w:val="0"/>
        <w:autoSpaceDN w:val="0"/>
        <w:adjustRightInd w:val="0"/>
        <w:spacing w:before="360" w:after="360" w:line="360" w:lineRule="auto"/>
        <w:rPr>
          <w:rFonts w:cs="Times New Roman"/>
          <w:szCs w:val="24"/>
        </w:rPr>
      </w:pPr>
      <w:r>
        <w:rPr>
          <w:rFonts w:cs="Times New Roman"/>
          <w:szCs w:val="24"/>
        </w:rPr>
        <w:t xml:space="preserve">Se distingue una falta de relación entre la absorción de azufre y las dosis de azufre aplicadas. </w:t>
      </w:r>
      <w:r w:rsidR="001A3E5A">
        <w:rPr>
          <w:rFonts w:cs="Times New Roman"/>
          <w:szCs w:val="24"/>
        </w:rPr>
        <w:t xml:space="preserve">El cuadro </w:t>
      </w:r>
      <w:r>
        <w:rPr>
          <w:rFonts w:cs="Times New Roman"/>
          <w:szCs w:val="24"/>
        </w:rPr>
        <w:t>9</w:t>
      </w:r>
      <w:r w:rsidR="0039325D">
        <w:rPr>
          <w:rFonts w:cs="Times New Roman"/>
          <w:szCs w:val="24"/>
        </w:rPr>
        <w:t>0</w:t>
      </w:r>
      <w:r>
        <w:rPr>
          <w:rFonts w:cs="Times New Roman"/>
          <w:szCs w:val="24"/>
        </w:rPr>
        <w:t xml:space="preserve"> resalta que una dosis de 20 medidas produce un promedio superior de extracción que la dosis de 40 kg/ha</w:t>
      </w:r>
      <w:r>
        <w:rPr>
          <w:rFonts w:cs="Times New Roman"/>
          <w:szCs w:val="24"/>
          <w:vertAlign w:val="superscript"/>
        </w:rPr>
        <w:t>-1</w:t>
      </w:r>
      <w:r>
        <w:rPr>
          <w:rFonts w:cs="Times New Roman"/>
          <w:szCs w:val="24"/>
        </w:rPr>
        <w:t xml:space="preserve">. </w:t>
      </w:r>
      <w:bookmarkStart w:id="1674" w:name="_Toc79314084"/>
    </w:p>
    <w:p w14:paraId="00F1A5B1" w14:textId="77777777" w:rsidR="00C20C81" w:rsidRDefault="00C20C81" w:rsidP="00023192">
      <w:pPr>
        <w:autoSpaceDE w:val="0"/>
        <w:autoSpaceDN w:val="0"/>
        <w:adjustRightInd w:val="0"/>
        <w:spacing w:before="360" w:after="120" w:line="360" w:lineRule="auto"/>
        <w:rPr>
          <w:rFonts w:cs="Times New Roman"/>
          <w:b/>
          <w:szCs w:val="24"/>
        </w:rPr>
      </w:pPr>
      <w:r>
        <w:rPr>
          <w:rFonts w:cs="Times New Roman"/>
          <w:b/>
          <w:szCs w:val="24"/>
        </w:rPr>
        <w:br w:type="page"/>
      </w:r>
    </w:p>
    <w:p w14:paraId="08565479" w14:textId="28E51BB7" w:rsidR="002F2624" w:rsidRPr="00023192" w:rsidRDefault="002F2624" w:rsidP="00023192">
      <w:pPr>
        <w:autoSpaceDE w:val="0"/>
        <w:autoSpaceDN w:val="0"/>
        <w:adjustRightInd w:val="0"/>
        <w:spacing w:before="360" w:after="120" w:line="360" w:lineRule="auto"/>
        <w:rPr>
          <w:rFonts w:cs="Times New Roman"/>
          <w:szCs w:val="24"/>
        </w:rPr>
      </w:pPr>
      <w:r w:rsidRPr="002F2624">
        <w:rPr>
          <w:rFonts w:cs="Times New Roman"/>
          <w:b/>
          <w:szCs w:val="24"/>
        </w:rPr>
        <w:lastRenderedPageBreak/>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92</w:t>
      </w:r>
      <w:r w:rsidRPr="002F2624">
        <w:rPr>
          <w:rFonts w:cs="Times New Roman"/>
          <w:b/>
          <w:i/>
          <w:iCs/>
          <w:szCs w:val="24"/>
        </w:rPr>
        <w:fldChar w:fldCharType="end"/>
      </w:r>
      <w:r w:rsidRPr="002F2624">
        <w:rPr>
          <w:rFonts w:cs="Times New Roman"/>
          <w:b/>
          <w:szCs w:val="24"/>
        </w:rPr>
        <w:t>.</w:t>
      </w:r>
      <w:r w:rsidRPr="002F2624">
        <w:rPr>
          <w:rFonts w:cs="Times New Roman"/>
          <w:szCs w:val="24"/>
        </w:rPr>
        <w:t xml:space="preserve"> Absorción total de azufre para diversas dosis de magnesio evaluadas en la provincia de Chimborazo 2012-2014.</w:t>
      </w:r>
      <w:bookmarkEnd w:id="1674"/>
    </w:p>
    <w:tbl>
      <w:tblPr>
        <w:tblW w:w="5000" w:type="pct"/>
        <w:jc w:val="center"/>
        <w:tblCellMar>
          <w:left w:w="70" w:type="dxa"/>
          <w:right w:w="70" w:type="dxa"/>
        </w:tblCellMar>
        <w:tblLook w:val="04A0" w:firstRow="1" w:lastRow="0" w:firstColumn="1" w:lastColumn="0" w:noHBand="0" w:noVBand="1"/>
      </w:tblPr>
      <w:tblGrid>
        <w:gridCol w:w="2047"/>
        <w:gridCol w:w="887"/>
        <w:gridCol w:w="779"/>
        <w:gridCol w:w="1693"/>
        <w:gridCol w:w="758"/>
        <w:gridCol w:w="1127"/>
        <w:gridCol w:w="636"/>
      </w:tblGrid>
      <w:tr w:rsidR="00F4724C" w14:paraId="5A33A29E" w14:textId="77777777" w:rsidTr="002F2624">
        <w:trPr>
          <w:trHeight w:val="300"/>
          <w:jc w:val="center"/>
        </w:trPr>
        <w:tc>
          <w:tcPr>
            <w:tcW w:w="1205" w:type="pct"/>
            <w:tcBorders>
              <w:top w:val="single" w:sz="4" w:space="0" w:color="auto"/>
              <w:left w:val="single" w:sz="4" w:space="0" w:color="auto"/>
              <w:bottom w:val="single" w:sz="4" w:space="0" w:color="auto"/>
              <w:right w:val="single" w:sz="4" w:space="0" w:color="auto"/>
            </w:tcBorders>
            <w:noWrap/>
            <w:vAlign w:val="bottom"/>
            <w:hideMark/>
          </w:tcPr>
          <w:p w14:paraId="4CCB0CE2"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22" w:type="pct"/>
            <w:tcBorders>
              <w:top w:val="single" w:sz="4" w:space="0" w:color="auto"/>
              <w:left w:val="nil"/>
              <w:bottom w:val="single" w:sz="4" w:space="0" w:color="auto"/>
              <w:right w:val="single" w:sz="4" w:space="0" w:color="auto"/>
            </w:tcBorders>
            <w:noWrap/>
            <w:vAlign w:val="bottom"/>
            <w:hideMark/>
          </w:tcPr>
          <w:p w14:paraId="24BA100C"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72" w:type="pct"/>
            <w:tcBorders>
              <w:top w:val="single" w:sz="4" w:space="0" w:color="auto"/>
              <w:left w:val="nil"/>
              <w:bottom w:val="single" w:sz="4" w:space="0" w:color="auto"/>
              <w:right w:val="single" w:sz="4" w:space="0" w:color="auto"/>
            </w:tcBorders>
            <w:noWrap/>
            <w:vAlign w:val="bottom"/>
            <w:hideMark/>
          </w:tcPr>
          <w:p w14:paraId="11065CF3"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997" w:type="pct"/>
            <w:tcBorders>
              <w:top w:val="single" w:sz="4" w:space="0" w:color="auto"/>
              <w:left w:val="nil"/>
              <w:bottom w:val="single" w:sz="4" w:space="0" w:color="auto"/>
              <w:right w:val="single" w:sz="4" w:space="0" w:color="auto"/>
            </w:tcBorders>
            <w:noWrap/>
            <w:vAlign w:val="bottom"/>
            <w:hideMark/>
          </w:tcPr>
          <w:p w14:paraId="3C289FC8"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559" w:type="pct"/>
            <w:tcBorders>
              <w:top w:val="single" w:sz="4" w:space="0" w:color="auto"/>
              <w:left w:val="single" w:sz="4" w:space="0" w:color="auto"/>
              <w:bottom w:val="single" w:sz="4" w:space="0" w:color="auto"/>
              <w:right w:val="nil"/>
            </w:tcBorders>
            <w:noWrap/>
            <w:vAlign w:val="bottom"/>
            <w:hideMark/>
          </w:tcPr>
          <w:p w14:paraId="7D869CC3"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663" w:type="pct"/>
            <w:tcBorders>
              <w:top w:val="single" w:sz="4" w:space="0" w:color="auto"/>
              <w:left w:val="nil"/>
              <w:bottom w:val="single" w:sz="4" w:space="0" w:color="auto"/>
              <w:right w:val="nil"/>
            </w:tcBorders>
            <w:noWrap/>
            <w:vAlign w:val="bottom"/>
            <w:hideMark/>
          </w:tcPr>
          <w:p w14:paraId="3038CE44"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Lsd 0,05</w:t>
            </w:r>
          </w:p>
        </w:tc>
        <w:tc>
          <w:tcPr>
            <w:tcW w:w="482" w:type="pct"/>
            <w:tcBorders>
              <w:top w:val="single" w:sz="4" w:space="0" w:color="auto"/>
              <w:left w:val="nil"/>
              <w:bottom w:val="single" w:sz="4" w:space="0" w:color="auto"/>
              <w:right w:val="single" w:sz="4" w:space="0" w:color="auto"/>
            </w:tcBorders>
            <w:noWrap/>
            <w:vAlign w:val="bottom"/>
            <w:hideMark/>
          </w:tcPr>
          <w:p w14:paraId="0E4DD010"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F4724C" w14:paraId="061611B9" w14:textId="77777777" w:rsidTr="002F2624">
        <w:trPr>
          <w:trHeight w:val="300"/>
          <w:jc w:val="center"/>
        </w:trPr>
        <w:tc>
          <w:tcPr>
            <w:tcW w:w="1205" w:type="pct"/>
            <w:tcBorders>
              <w:top w:val="nil"/>
              <w:left w:val="single" w:sz="4" w:space="0" w:color="auto"/>
              <w:bottom w:val="single" w:sz="4" w:space="0" w:color="auto"/>
              <w:right w:val="single" w:sz="4" w:space="0" w:color="auto"/>
            </w:tcBorders>
            <w:noWrap/>
            <w:vAlign w:val="bottom"/>
            <w:hideMark/>
          </w:tcPr>
          <w:p w14:paraId="09F2791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522" w:type="pct"/>
            <w:tcBorders>
              <w:top w:val="nil"/>
              <w:left w:val="nil"/>
              <w:bottom w:val="single" w:sz="4" w:space="0" w:color="auto"/>
              <w:right w:val="single" w:sz="4" w:space="0" w:color="auto"/>
            </w:tcBorders>
            <w:noWrap/>
            <w:vAlign w:val="bottom"/>
            <w:hideMark/>
          </w:tcPr>
          <w:p w14:paraId="361B49B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7,06</w:t>
            </w:r>
          </w:p>
        </w:tc>
        <w:tc>
          <w:tcPr>
            <w:tcW w:w="572" w:type="pct"/>
            <w:tcBorders>
              <w:top w:val="nil"/>
              <w:left w:val="nil"/>
              <w:bottom w:val="single" w:sz="4" w:space="0" w:color="auto"/>
              <w:right w:val="single" w:sz="4" w:space="0" w:color="auto"/>
            </w:tcBorders>
            <w:noWrap/>
            <w:vAlign w:val="bottom"/>
            <w:hideMark/>
          </w:tcPr>
          <w:p w14:paraId="4FE7780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997" w:type="pct"/>
            <w:tcBorders>
              <w:top w:val="nil"/>
              <w:left w:val="nil"/>
              <w:bottom w:val="single" w:sz="4" w:space="0" w:color="auto"/>
              <w:right w:val="single" w:sz="4" w:space="0" w:color="auto"/>
            </w:tcBorders>
            <w:noWrap/>
            <w:vAlign w:val="bottom"/>
            <w:hideMark/>
          </w:tcPr>
          <w:p w14:paraId="7DF36A4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0,61</w:t>
            </w:r>
          </w:p>
        </w:tc>
        <w:tc>
          <w:tcPr>
            <w:tcW w:w="559" w:type="pct"/>
            <w:tcBorders>
              <w:top w:val="single" w:sz="4" w:space="0" w:color="auto"/>
              <w:left w:val="nil"/>
              <w:bottom w:val="single" w:sz="4" w:space="0" w:color="auto"/>
              <w:right w:val="single" w:sz="4" w:space="0" w:color="auto"/>
            </w:tcBorders>
            <w:noWrap/>
            <w:vAlign w:val="bottom"/>
            <w:hideMark/>
          </w:tcPr>
          <w:p w14:paraId="7E40C3D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63" w:type="pct"/>
            <w:tcBorders>
              <w:top w:val="single" w:sz="4" w:space="0" w:color="auto"/>
              <w:left w:val="nil"/>
              <w:bottom w:val="single" w:sz="4" w:space="0" w:color="auto"/>
              <w:right w:val="single" w:sz="4" w:space="0" w:color="auto"/>
            </w:tcBorders>
            <w:noWrap/>
            <w:vAlign w:val="bottom"/>
            <w:hideMark/>
          </w:tcPr>
          <w:p w14:paraId="15A5E2C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82" w:type="pct"/>
            <w:tcBorders>
              <w:top w:val="single" w:sz="4" w:space="0" w:color="auto"/>
              <w:left w:val="nil"/>
              <w:bottom w:val="single" w:sz="4" w:space="0" w:color="auto"/>
              <w:right w:val="single" w:sz="4" w:space="0" w:color="auto"/>
            </w:tcBorders>
            <w:noWrap/>
            <w:vAlign w:val="bottom"/>
            <w:hideMark/>
          </w:tcPr>
          <w:p w14:paraId="17FAA84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1CEC95CF" w14:textId="77777777" w:rsidTr="002F2624">
        <w:trPr>
          <w:trHeight w:val="300"/>
          <w:jc w:val="center"/>
        </w:trPr>
        <w:tc>
          <w:tcPr>
            <w:tcW w:w="1205" w:type="pct"/>
            <w:tcBorders>
              <w:top w:val="nil"/>
              <w:left w:val="single" w:sz="4" w:space="0" w:color="auto"/>
              <w:bottom w:val="single" w:sz="4" w:space="0" w:color="auto"/>
              <w:right w:val="single" w:sz="4" w:space="0" w:color="auto"/>
            </w:tcBorders>
            <w:noWrap/>
            <w:vAlign w:val="bottom"/>
            <w:hideMark/>
          </w:tcPr>
          <w:p w14:paraId="17B2919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22" w:type="pct"/>
            <w:tcBorders>
              <w:top w:val="nil"/>
              <w:left w:val="nil"/>
              <w:bottom w:val="single" w:sz="4" w:space="0" w:color="auto"/>
              <w:right w:val="single" w:sz="4" w:space="0" w:color="auto"/>
            </w:tcBorders>
            <w:noWrap/>
            <w:vAlign w:val="bottom"/>
            <w:hideMark/>
          </w:tcPr>
          <w:p w14:paraId="38882E3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8,92</w:t>
            </w:r>
          </w:p>
        </w:tc>
        <w:tc>
          <w:tcPr>
            <w:tcW w:w="572" w:type="pct"/>
            <w:tcBorders>
              <w:top w:val="nil"/>
              <w:left w:val="nil"/>
              <w:bottom w:val="single" w:sz="4" w:space="0" w:color="auto"/>
              <w:right w:val="single" w:sz="4" w:space="0" w:color="auto"/>
            </w:tcBorders>
            <w:noWrap/>
            <w:vAlign w:val="bottom"/>
            <w:hideMark/>
          </w:tcPr>
          <w:p w14:paraId="5B61BE1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w:t>
            </w:r>
          </w:p>
        </w:tc>
        <w:tc>
          <w:tcPr>
            <w:tcW w:w="997" w:type="pct"/>
            <w:tcBorders>
              <w:top w:val="nil"/>
              <w:left w:val="nil"/>
              <w:bottom w:val="single" w:sz="4" w:space="0" w:color="auto"/>
              <w:right w:val="single" w:sz="4" w:space="0" w:color="auto"/>
            </w:tcBorders>
            <w:noWrap/>
            <w:vAlign w:val="bottom"/>
            <w:hideMark/>
          </w:tcPr>
          <w:p w14:paraId="4FC61E1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0,22</w:t>
            </w:r>
          </w:p>
        </w:tc>
        <w:tc>
          <w:tcPr>
            <w:tcW w:w="559" w:type="pct"/>
            <w:tcBorders>
              <w:top w:val="nil"/>
              <w:left w:val="nil"/>
              <w:bottom w:val="single" w:sz="4" w:space="0" w:color="auto"/>
              <w:right w:val="single" w:sz="4" w:space="0" w:color="auto"/>
            </w:tcBorders>
            <w:noWrap/>
            <w:vAlign w:val="bottom"/>
            <w:hideMark/>
          </w:tcPr>
          <w:p w14:paraId="7E7E53B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4F5E861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82" w:type="pct"/>
            <w:tcBorders>
              <w:top w:val="nil"/>
              <w:left w:val="nil"/>
              <w:bottom w:val="single" w:sz="4" w:space="0" w:color="auto"/>
              <w:right w:val="single" w:sz="4" w:space="0" w:color="auto"/>
            </w:tcBorders>
            <w:noWrap/>
            <w:vAlign w:val="bottom"/>
            <w:hideMark/>
          </w:tcPr>
          <w:p w14:paraId="784C29C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200DFF4D" w14:textId="77777777" w:rsidTr="002F2624">
        <w:trPr>
          <w:trHeight w:val="300"/>
          <w:jc w:val="center"/>
        </w:trPr>
        <w:tc>
          <w:tcPr>
            <w:tcW w:w="1205" w:type="pct"/>
            <w:tcBorders>
              <w:top w:val="nil"/>
              <w:left w:val="single" w:sz="4" w:space="0" w:color="auto"/>
              <w:bottom w:val="single" w:sz="4" w:space="0" w:color="auto"/>
              <w:right w:val="single" w:sz="4" w:space="0" w:color="auto"/>
            </w:tcBorders>
            <w:noWrap/>
            <w:vAlign w:val="bottom"/>
            <w:hideMark/>
          </w:tcPr>
          <w:p w14:paraId="3B3BF54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522" w:type="pct"/>
            <w:tcBorders>
              <w:top w:val="nil"/>
              <w:left w:val="nil"/>
              <w:bottom w:val="single" w:sz="4" w:space="0" w:color="auto"/>
              <w:right w:val="single" w:sz="4" w:space="0" w:color="auto"/>
            </w:tcBorders>
            <w:noWrap/>
            <w:vAlign w:val="bottom"/>
            <w:hideMark/>
          </w:tcPr>
          <w:p w14:paraId="063C63E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12,99</w:t>
            </w:r>
          </w:p>
        </w:tc>
        <w:tc>
          <w:tcPr>
            <w:tcW w:w="572" w:type="pct"/>
            <w:tcBorders>
              <w:top w:val="nil"/>
              <w:left w:val="nil"/>
              <w:bottom w:val="single" w:sz="4" w:space="0" w:color="auto"/>
              <w:right w:val="single" w:sz="4" w:space="0" w:color="auto"/>
            </w:tcBorders>
            <w:noWrap/>
            <w:vAlign w:val="bottom"/>
            <w:hideMark/>
          </w:tcPr>
          <w:p w14:paraId="55D2667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997" w:type="pct"/>
            <w:tcBorders>
              <w:top w:val="nil"/>
              <w:left w:val="nil"/>
              <w:bottom w:val="single" w:sz="4" w:space="0" w:color="auto"/>
              <w:right w:val="single" w:sz="4" w:space="0" w:color="auto"/>
            </w:tcBorders>
            <w:noWrap/>
            <w:vAlign w:val="bottom"/>
            <w:hideMark/>
          </w:tcPr>
          <w:p w14:paraId="03B1EE9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0,86</w:t>
            </w:r>
          </w:p>
        </w:tc>
        <w:tc>
          <w:tcPr>
            <w:tcW w:w="559" w:type="pct"/>
            <w:tcBorders>
              <w:top w:val="nil"/>
              <w:left w:val="nil"/>
              <w:bottom w:val="single" w:sz="4" w:space="0" w:color="auto"/>
              <w:right w:val="single" w:sz="4" w:space="0" w:color="auto"/>
            </w:tcBorders>
            <w:noWrap/>
            <w:vAlign w:val="bottom"/>
            <w:hideMark/>
          </w:tcPr>
          <w:p w14:paraId="5C1B37B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1B35B3B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82" w:type="pct"/>
            <w:tcBorders>
              <w:top w:val="nil"/>
              <w:left w:val="nil"/>
              <w:bottom w:val="single" w:sz="4" w:space="0" w:color="auto"/>
              <w:right w:val="single" w:sz="4" w:space="0" w:color="auto"/>
            </w:tcBorders>
            <w:noWrap/>
            <w:vAlign w:val="bottom"/>
            <w:hideMark/>
          </w:tcPr>
          <w:p w14:paraId="763D12F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F4724C" w14:paraId="4C73D3EC" w14:textId="77777777" w:rsidTr="002F2624">
        <w:trPr>
          <w:trHeight w:val="300"/>
          <w:jc w:val="center"/>
        </w:trPr>
        <w:tc>
          <w:tcPr>
            <w:tcW w:w="1205" w:type="pct"/>
            <w:tcBorders>
              <w:top w:val="nil"/>
              <w:left w:val="single" w:sz="4" w:space="0" w:color="auto"/>
              <w:bottom w:val="single" w:sz="4" w:space="0" w:color="auto"/>
              <w:right w:val="single" w:sz="4" w:space="0" w:color="auto"/>
            </w:tcBorders>
            <w:noWrap/>
            <w:vAlign w:val="bottom"/>
            <w:hideMark/>
          </w:tcPr>
          <w:p w14:paraId="5407F7D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522" w:type="pct"/>
            <w:tcBorders>
              <w:top w:val="nil"/>
              <w:left w:val="nil"/>
              <w:bottom w:val="single" w:sz="4" w:space="0" w:color="auto"/>
              <w:right w:val="single" w:sz="4" w:space="0" w:color="auto"/>
            </w:tcBorders>
            <w:noWrap/>
            <w:vAlign w:val="bottom"/>
            <w:hideMark/>
          </w:tcPr>
          <w:p w14:paraId="50BB451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572" w:type="pct"/>
            <w:tcBorders>
              <w:top w:val="nil"/>
              <w:left w:val="nil"/>
              <w:bottom w:val="single" w:sz="4" w:space="0" w:color="auto"/>
              <w:right w:val="single" w:sz="4" w:space="0" w:color="auto"/>
            </w:tcBorders>
            <w:noWrap/>
            <w:vAlign w:val="bottom"/>
            <w:hideMark/>
          </w:tcPr>
          <w:p w14:paraId="3B56BC0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997" w:type="pct"/>
            <w:tcBorders>
              <w:top w:val="nil"/>
              <w:left w:val="nil"/>
              <w:bottom w:val="single" w:sz="4" w:space="0" w:color="auto"/>
              <w:right w:val="single" w:sz="4" w:space="0" w:color="auto"/>
            </w:tcBorders>
            <w:noWrap/>
            <w:vAlign w:val="bottom"/>
            <w:hideMark/>
          </w:tcPr>
          <w:p w14:paraId="0979351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0,77</w:t>
            </w:r>
          </w:p>
        </w:tc>
        <w:tc>
          <w:tcPr>
            <w:tcW w:w="559" w:type="pct"/>
            <w:tcBorders>
              <w:top w:val="nil"/>
              <w:left w:val="nil"/>
              <w:bottom w:val="single" w:sz="4" w:space="0" w:color="auto"/>
              <w:right w:val="single" w:sz="4" w:space="0" w:color="auto"/>
            </w:tcBorders>
            <w:noWrap/>
            <w:vAlign w:val="bottom"/>
            <w:hideMark/>
          </w:tcPr>
          <w:p w14:paraId="09F74CB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6F46BE4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82" w:type="pct"/>
            <w:tcBorders>
              <w:top w:val="nil"/>
              <w:left w:val="nil"/>
              <w:bottom w:val="single" w:sz="4" w:space="0" w:color="auto"/>
              <w:right w:val="single" w:sz="4" w:space="0" w:color="auto"/>
            </w:tcBorders>
            <w:noWrap/>
            <w:vAlign w:val="bottom"/>
            <w:hideMark/>
          </w:tcPr>
          <w:p w14:paraId="07FE93A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1295E58B" w14:textId="77777777" w:rsidR="00F4724C" w:rsidRDefault="00F4724C" w:rsidP="00F4724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52DF8F54" w14:textId="4B20CE31" w:rsidR="00F4724C" w:rsidRDefault="00F4724C" w:rsidP="00023192">
      <w:pPr>
        <w:autoSpaceDE w:val="0"/>
        <w:autoSpaceDN w:val="0"/>
        <w:adjustRightInd w:val="0"/>
        <w:spacing w:before="360" w:after="360" w:line="360" w:lineRule="auto"/>
        <w:rPr>
          <w:rFonts w:cs="Times New Roman"/>
          <w:szCs w:val="24"/>
        </w:rPr>
      </w:pPr>
      <w:r>
        <w:rPr>
          <w:rFonts w:cs="Times New Roman"/>
          <w:bCs/>
          <w:szCs w:val="24"/>
        </w:rPr>
        <w:t xml:space="preserve">El efecto de los nutrientes que fueron significativos </w:t>
      </w:r>
      <w:r w:rsidR="000029E1">
        <w:rPr>
          <w:rFonts w:cs="Times New Roman"/>
          <w:bCs/>
          <w:szCs w:val="24"/>
        </w:rPr>
        <w:t xml:space="preserve">(p&lt;0,001) </w:t>
      </w:r>
      <w:r>
        <w:rPr>
          <w:rFonts w:cs="Times New Roman"/>
          <w:bCs/>
          <w:szCs w:val="24"/>
        </w:rPr>
        <w:t xml:space="preserve">sobre la absorción de azufre en la provincia de Chimborazo se observa en </w:t>
      </w:r>
      <w:r w:rsidR="00D337C1">
        <w:rPr>
          <w:rFonts w:cs="Times New Roman"/>
          <w:bCs/>
          <w:szCs w:val="24"/>
        </w:rPr>
        <w:t>la</w:t>
      </w:r>
      <w:r>
        <w:rPr>
          <w:rFonts w:cs="Times New Roman"/>
          <w:bCs/>
          <w:szCs w:val="24"/>
        </w:rPr>
        <w:t xml:space="preserve"> siguiente </w:t>
      </w:r>
      <w:r w:rsidR="00D337C1">
        <w:rPr>
          <w:rFonts w:cs="Times New Roman"/>
          <w:bCs/>
          <w:szCs w:val="24"/>
        </w:rPr>
        <w:t>figura</w:t>
      </w:r>
      <w:r>
        <w:rPr>
          <w:rFonts w:cs="Times New Roman"/>
          <w:bCs/>
          <w:szCs w:val="24"/>
        </w:rPr>
        <w:t>:</w:t>
      </w:r>
    </w:p>
    <w:p w14:paraId="658A6706" w14:textId="016CA837" w:rsidR="00F4724C" w:rsidRPr="00285C59" w:rsidRDefault="00285C59" w:rsidP="00135DE8">
      <w:pPr>
        <w:pStyle w:val="Ttulo1"/>
        <w:numPr>
          <w:ilvl w:val="0"/>
          <w:numId w:val="28"/>
        </w:numPr>
        <w:spacing w:after="0"/>
        <w:rPr>
          <w:rFonts w:asciiTheme="minorHAnsi" w:hAnsiTheme="minorHAnsi" w:cstheme="minorBidi"/>
          <w:b w:val="0"/>
          <w:bCs w:val="0"/>
          <w:sz w:val="22"/>
          <w:szCs w:val="22"/>
        </w:rPr>
      </w:pPr>
      <w:bookmarkStart w:id="1675" w:name="_Toc72704614"/>
      <w:bookmarkStart w:id="1676" w:name="_Toc72705680"/>
      <w:bookmarkStart w:id="1677" w:name="_Toc72706319"/>
      <w:bookmarkStart w:id="1678" w:name="_Toc72741269"/>
      <w:bookmarkStart w:id="1679" w:name="_Toc72742865"/>
      <w:bookmarkStart w:id="1680" w:name="_Toc72881227"/>
      <w:bookmarkStart w:id="1681" w:name="_Toc72881598"/>
      <w:bookmarkStart w:id="1682" w:name="_Toc75606467"/>
      <w:bookmarkStart w:id="1683" w:name="_Toc75611946"/>
      <w:bookmarkStart w:id="1684" w:name="_Toc75612792"/>
      <w:bookmarkStart w:id="1685" w:name="_Toc75679948"/>
      <w:bookmarkStart w:id="1686" w:name="_Toc75702556"/>
      <w:bookmarkStart w:id="1687" w:name="_Toc79313228"/>
      <w:bookmarkStart w:id="1688" w:name="_Toc80008436"/>
      <w:bookmarkStart w:id="1689" w:name="_Toc80312329"/>
      <w:r w:rsidRPr="00D52579">
        <w:rPr>
          <w:rFonts w:eastAsiaTheme="minorHAnsi"/>
          <w:b w:val="0"/>
          <w:bCs w:val="0"/>
          <w:lang w:val="es-EC"/>
        </w:rPr>
        <w:t>Nitrógeno</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D52579">
        <w:rPr>
          <w:rFonts w:eastAsiaTheme="minorHAnsi"/>
          <w:b w:val="0"/>
          <w:bCs w:val="0"/>
          <w:lang w:val="es-EC"/>
        </w:rPr>
        <w:t xml:space="preserve"> </w:t>
      </w:r>
    </w:p>
    <w:p w14:paraId="099F4566" w14:textId="045CA03F" w:rsidR="00F4724C" w:rsidRDefault="00F4724C" w:rsidP="00F4724C">
      <w:pPr>
        <w:autoSpaceDE w:val="0"/>
        <w:autoSpaceDN w:val="0"/>
        <w:adjustRightInd w:val="0"/>
        <w:spacing w:after="0" w:line="360" w:lineRule="auto"/>
        <w:jc w:val="center"/>
        <w:rPr>
          <w:rFonts w:cs="Times New Roman"/>
          <w:szCs w:val="24"/>
        </w:rPr>
      </w:pPr>
      <w:r>
        <w:rPr>
          <w:rFonts w:cs="Times New Roman"/>
          <w:noProof/>
          <w:szCs w:val="24"/>
          <w:lang w:eastAsia="es-EC"/>
        </w:rPr>
        <w:drawing>
          <wp:inline distT="0" distB="0" distL="0" distR="0" wp14:anchorId="670BEC3E" wp14:editId="66CA070B">
            <wp:extent cx="3959157" cy="2149813"/>
            <wp:effectExtent l="0" t="0" r="3810" b="3175"/>
            <wp:docPr id="59" name="Gráfico 59">
              <a:extLst xmlns:a="http://schemas.openxmlformats.org/drawingml/2006/main">
                <a:ext uri="{FF2B5EF4-FFF2-40B4-BE49-F238E27FC236}">
                  <a16:creationId xmlns:a16="http://schemas.microsoft.com/office/drawing/2014/main" id="{130B76A5-FA25-4AC7-94A8-0B12C91D3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01F0AD" w14:textId="1FB20265" w:rsidR="00285C59" w:rsidRDefault="00F4724C" w:rsidP="00F4724C">
      <w:pPr>
        <w:autoSpaceDE w:val="0"/>
        <w:autoSpaceDN w:val="0"/>
        <w:adjustRightInd w:val="0"/>
        <w:spacing w:after="0" w:line="360" w:lineRule="auto"/>
        <w:rPr>
          <w:rFonts w:cs="Times New Roman"/>
          <w:b/>
          <w:bCs/>
          <w:color w:val="000000"/>
          <w:szCs w:val="24"/>
        </w:rPr>
      </w:pPr>
      <w:r>
        <w:rPr>
          <w:rFonts w:cs="Times New Roman"/>
          <w:szCs w:val="24"/>
        </w:rPr>
        <w:t>Efecto de los macronutrientes</w:t>
      </w:r>
      <w:r w:rsidR="00D52579">
        <w:rPr>
          <w:rFonts w:cs="Times New Roman"/>
          <w:szCs w:val="24"/>
        </w:rPr>
        <w:t xml:space="preserve"> a) nitrógeno </w:t>
      </w:r>
      <w:r>
        <w:rPr>
          <w:rFonts w:cs="Times New Roman"/>
          <w:szCs w:val="24"/>
        </w:rPr>
        <w:t>sobre la a</w:t>
      </w:r>
      <w:r w:rsidR="00241B4C">
        <w:rPr>
          <w:rFonts w:cs="Times New Roman"/>
          <w:szCs w:val="24"/>
        </w:rPr>
        <w:t>b</w:t>
      </w:r>
      <w:r>
        <w:rPr>
          <w:rFonts w:cs="Times New Roman"/>
          <w:szCs w:val="24"/>
        </w:rPr>
        <w:t>sorción de azufre en maíz suave en la provincia de Chimborazo (2012-2014).</w:t>
      </w:r>
    </w:p>
    <w:p w14:paraId="550348E3" w14:textId="27D32D0D" w:rsidR="00F4724C" w:rsidRDefault="00F4724C" w:rsidP="00023192">
      <w:pPr>
        <w:pStyle w:val="Ttulo3"/>
        <w:spacing w:before="360" w:after="360"/>
        <w:rPr>
          <w:rFonts w:eastAsia="Times New Roman"/>
          <w:lang w:eastAsia="es-EC"/>
        </w:rPr>
      </w:pPr>
      <w:bookmarkStart w:id="1690" w:name="_Toc80312330"/>
      <w:r>
        <w:t xml:space="preserve">Absorción de magnesio </w:t>
      </w:r>
      <w:r>
        <w:rPr>
          <w:rFonts w:eastAsia="Times New Roman"/>
          <w:lang w:eastAsia="es-EC"/>
        </w:rPr>
        <w:t>(kg/ha</w:t>
      </w:r>
      <w:r>
        <w:rPr>
          <w:rFonts w:eastAsia="Times New Roman"/>
          <w:vertAlign w:val="superscript"/>
          <w:lang w:eastAsia="es-EC"/>
        </w:rPr>
        <w:t>-1</w:t>
      </w:r>
      <w:r>
        <w:rPr>
          <w:rFonts w:eastAsia="Times New Roman"/>
          <w:lang w:eastAsia="es-EC"/>
        </w:rPr>
        <w:t>)</w:t>
      </w:r>
      <w:bookmarkEnd w:id="1690"/>
    </w:p>
    <w:p w14:paraId="2846496B" w14:textId="77777777" w:rsidR="00023192" w:rsidRDefault="00F4724C" w:rsidP="00023192">
      <w:pPr>
        <w:autoSpaceDE w:val="0"/>
        <w:autoSpaceDN w:val="0"/>
        <w:adjustRightInd w:val="0"/>
        <w:spacing w:after="0" w:line="360" w:lineRule="auto"/>
        <w:rPr>
          <w:rFonts w:cs="Times New Roman"/>
          <w:szCs w:val="24"/>
        </w:rPr>
      </w:pPr>
      <w:r>
        <w:rPr>
          <w:rFonts w:cs="Times New Roman"/>
          <w:szCs w:val="24"/>
        </w:rPr>
        <w:t xml:space="preserve">Al utilizar el modelo estadístico para absorción total de </w:t>
      </w:r>
      <w:r w:rsidR="000029E1">
        <w:rPr>
          <w:rFonts w:cs="Times New Roman"/>
          <w:szCs w:val="24"/>
        </w:rPr>
        <w:t>magnesio</w:t>
      </w:r>
      <w:r>
        <w:rPr>
          <w:rFonts w:cs="Times New Roman"/>
          <w:szCs w:val="24"/>
        </w:rPr>
        <w:t>, se detectaron diferencias estadísticas significativas (p &lt;0,05) para las fuentes de variación de parroquia, nitrógeno, fósforo y magnesio; mientras que no fueron significativos para dosis de potasio y azufre (</w:t>
      </w:r>
      <w:r w:rsidR="001A3E5A">
        <w:rPr>
          <w:rFonts w:cs="Times New Roman"/>
          <w:szCs w:val="24"/>
        </w:rPr>
        <w:t>Cuadro</w:t>
      </w:r>
      <w:r>
        <w:rPr>
          <w:rFonts w:cs="Times New Roman"/>
          <w:szCs w:val="24"/>
        </w:rPr>
        <w:t xml:space="preserve"> 93). Por lo tanto, la parroquia (efecto de ambiente) y dosis de los fertilizantes con nitrógeno, fósforo y magnesio afectaron a esta variable. El promedio general de absorción de magnesio fue 17,56 Kg</w:t>
      </w:r>
      <w:r w:rsidR="000029E1">
        <w:rPr>
          <w:rFonts w:cs="Times New Roman"/>
          <w:szCs w:val="24"/>
        </w:rPr>
        <w:t xml:space="preserve"> </w:t>
      </w:r>
      <w:r>
        <w:rPr>
          <w:rFonts w:cs="Times New Roman"/>
          <w:szCs w:val="24"/>
        </w:rPr>
        <w:t>ha</w:t>
      </w:r>
      <w:r w:rsidR="000029E1" w:rsidRPr="00EA3391">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0,71 y un coeficiente de variación fue de 15,64%.</w:t>
      </w:r>
      <w:bookmarkStart w:id="1691" w:name="_Toc79314085"/>
    </w:p>
    <w:p w14:paraId="24B59ED7" w14:textId="55F3F3EB" w:rsidR="002F2624" w:rsidRPr="00023192" w:rsidRDefault="002F2624" w:rsidP="00023192">
      <w:pPr>
        <w:autoSpaceDE w:val="0"/>
        <w:autoSpaceDN w:val="0"/>
        <w:adjustRightInd w:val="0"/>
        <w:spacing w:before="360" w:after="0" w:line="360" w:lineRule="auto"/>
        <w:rPr>
          <w:rFonts w:cs="Times New Roman"/>
          <w:szCs w:val="24"/>
        </w:rPr>
      </w:pPr>
      <w:r w:rsidRPr="002F2624">
        <w:rPr>
          <w:rFonts w:cs="Times New Roman"/>
          <w:b/>
          <w:szCs w:val="24"/>
        </w:rPr>
        <w:lastRenderedPageBreak/>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93</w:t>
      </w:r>
      <w:r w:rsidRPr="002F2624">
        <w:rPr>
          <w:rFonts w:cs="Times New Roman"/>
          <w:b/>
          <w:i/>
          <w:iCs/>
          <w:szCs w:val="24"/>
        </w:rPr>
        <w:fldChar w:fldCharType="end"/>
      </w:r>
      <w:r w:rsidRPr="002F2624">
        <w:rPr>
          <w:rFonts w:cs="Times New Roman"/>
          <w:b/>
          <w:szCs w:val="24"/>
        </w:rPr>
        <w:t>.</w:t>
      </w:r>
      <w:r w:rsidRPr="002F2624">
        <w:rPr>
          <w:rFonts w:cs="Times New Roman"/>
          <w:szCs w:val="24"/>
        </w:rPr>
        <w:t xml:space="preserve"> Análisis de la Varianza (SC tipo I) y porcentaje de varianza para absorción de fósforo de plantas de maíz suave, evaluado en la provincia de Chimborazo (2012-2014).</w:t>
      </w:r>
      <w:bookmarkEnd w:id="1691"/>
    </w:p>
    <w:tbl>
      <w:tblPr>
        <w:tblW w:w="5000" w:type="pct"/>
        <w:tblCellMar>
          <w:left w:w="70" w:type="dxa"/>
          <w:right w:w="70" w:type="dxa"/>
        </w:tblCellMar>
        <w:tblLook w:val="04A0" w:firstRow="1" w:lastRow="0" w:firstColumn="1" w:lastColumn="0" w:noHBand="0" w:noVBand="1"/>
      </w:tblPr>
      <w:tblGrid>
        <w:gridCol w:w="1100"/>
        <w:gridCol w:w="1100"/>
        <w:gridCol w:w="1100"/>
        <w:gridCol w:w="1100"/>
        <w:gridCol w:w="1100"/>
        <w:gridCol w:w="1100"/>
        <w:gridCol w:w="1327"/>
      </w:tblGrid>
      <w:tr w:rsidR="00F4724C" w14:paraId="489413EC" w14:textId="77777777" w:rsidTr="00F4724C">
        <w:trPr>
          <w:trHeight w:val="300"/>
        </w:trPr>
        <w:tc>
          <w:tcPr>
            <w:tcW w:w="704" w:type="pct"/>
            <w:tcBorders>
              <w:top w:val="single" w:sz="4" w:space="0" w:color="auto"/>
              <w:left w:val="single" w:sz="4" w:space="0" w:color="auto"/>
              <w:bottom w:val="single" w:sz="4" w:space="0" w:color="auto"/>
              <w:right w:val="single" w:sz="4" w:space="0" w:color="auto"/>
            </w:tcBorders>
            <w:noWrap/>
            <w:vAlign w:val="bottom"/>
            <w:hideMark/>
          </w:tcPr>
          <w:p w14:paraId="01FDA7C4" w14:textId="77777777" w:rsidR="00F4724C" w:rsidRDefault="00F4724C" w:rsidP="00BE2114">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704" w:type="pct"/>
            <w:tcBorders>
              <w:top w:val="single" w:sz="4" w:space="0" w:color="auto"/>
              <w:left w:val="nil"/>
              <w:bottom w:val="single" w:sz="4" w:space="0" w:color="auto"/>
              <w:right w:val="single" w:sz="4" w:space="0" w:color="auto"/>
            </w:tcBorders>
            <w:noWrap/>
            <w:vAlign w:val="bottom"/>
            <w:hideMark/>
          </w:tcPr>
          <w:p w14:paraId="7B19C192" w14:textId="77777777" w:rsidR="00F4724C" w:rsidRDefault="00F4724C" w:rsidP="00BE2114">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703" w:type="pct"/>
            <w:tcBorders>
              <w:top w:val="single" w:sz="4" w:space="0" w:color="auto"/>
              <w:left w:val="nil"/>
              <w:bottom w:val="single" w:sz="4" w:space="0" w:color="auto"/>
              <w:right w:val="single" w:sz="4" w:space="0" w:color="auto"/>
            </w:tcBorders>
            <w:noWrap/>
            <w:vAlign w:val="bottom"/>
            <w:hideMark/>
          </w:tcPr>
          <w:p w14:paraId="26240729" w14:textId="77777777" w:rsidR="00F4724C" w:rsidRDefault="00F4724C" w:rsidP="00BE2114">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Gl</w:t>
            </w:r>
          </w:p>
        </w:tc>
        <w:tc>
          <w:tcPr>
            <w:tcW w:w="703" w:type="pct"/>
            <w:tcBorders>
              <w:top w:val="single" w:sz="4" w:space="0" w:color="auto"/>
              <w:left w:val="nil"/>
              <w:bottom w:val="single" w:sz="4" w:space="0" w:color="auto"/>
              <w:right w:val="single" w:sz="4" w:space="0" w:color="auto"/>
            </w:tcBorders>
            <w:noWrap/>
            <w:vAlign w:val="bottom"/>
            <w:hideMark/>
          </w:tcPr>
          <w:p w14:paraId="4F3389E2" w14:textId="77777777" w:rsidR="00F4724C" w:rsidRDefault="00F4724C" w:rsidP="00BE2114">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703" w:type="pct"/>
            <w:tcBorders>
              <w:top w:val="single" w:sz="4" w:space="0" w:color="auto"/>
              <w:left w:val="nil"/>
              <w:bottom w:val="single" w:sz="4" w:space="0" w:color="auto"/>
              <w:right w:val="single" w:sz="4" w:space="0" w:color="auto"/>
            </w:tcBorders>
            <w:noWrap/>
            <w:vAlign w:val="bottom"/>
            <w:hideMark/>
          </w:tcPr>
          <w:p w14:paraId="073D82B7" w14:textId="77777777" w:rsidR="00F4724C" w:rsidRDefault="00F4724C" w:rsidP="00BE2114">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703" w:type="pct"/>
            <w:tcBorders>
              <w:top w:val="single" w:sz="4" w:space="0" w:color="auto"/>
              <w:left w:val="nil"/>
              <w:bottom w:val="single" w:sz="4" w:space="0" w:color="auto"/>
              <w:right w:val="single" w:sz="4" w:space="0" w:color="auto"/>
            </w:tcBorders>
            <w:noWrap/>
            <w:vAlign w:val="bottom"/>
            <w:hideMark/>
          </w:tcPr>
          <w:p w14:paraId="5DCC5143" w14:textId="77777777" w:rsidR="00F4724C" w:rsidRDefault="00F4724C" w:rsidP="00BE2114">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781" w:type="pct"/>
            <w:tcBorders>
              <w:top w:val="single" w:sz="4" w:space="0" w:color="auto"/>
              <w:left w:val="nil"/>
              <w:bottom w:val="single" w:sz="4" w:space="0" w:color="auto"/>
              <w:right w:val="single" w:sz="4" w:space="0" w:color="auto"/>
            </w:tcBorders>
            <w:noWrap/>
            <w:vAlign w:val="bottom"/>
            <w:hideMark/>
          </w:tcPr>
          <w:p w14:paraId="02566CAE" w14:textId="77777777" w:rsidR="00F4724C" w:rsidRDefault="00F4724C" w:rsidP="00BE2114">
            <w:pPr>
              <w:spacing w:after="0"/>
              <w:jc w:val="center"/>
              <w:rPr>
                <w:rFonts w:eastAsia="Times New Roman" w:cs="Times New Roman"/>
                <w:b/>
                <w:bCs/>
                <w:color w:val="000000"/>
                <w:szCs w:val="24"/>
                <w:lang w:eastAsia="es-EC"/>
              </w:rPr>
            </w:pPr>
            <w:r>
              <w:rPr>
                <w:rFonts w:eastAsia="Times New Roman" w:cs="Times New Roman"/>
                <w:b/>
                <w:bCs/>
                <w:color w:val="000000"/>
                <w:szCs w:val="24"/>
                <w:lang w:eastAsia="es-EC"/>
              </w:rPr>
              <w:t>Varianza%</w:t>
            </w:r>
          </w:p>
        </w:tc>
      </w:tr>
      <w:tr w:rsidR="00F4724C" w14:paraId="42BA5FD8"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73CD0DDD"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704" w:type="pct"/>
            <w:tcBorders>
              <w:top w:val="nil"/>
              <w:left w:val="nil"/>
              <w:bottom w:val="single" w:sz="4" w:space="0" w:color="auto"/>
              <w:right w:val="single" w:sz="4" w:space="0" w:color="auto"/>
            </w:tcBorders>
            <w:noWrap/>
            <w:vAlign w:val="bottom"/>
            <w:hideMark/>
          </w:tcPr>
          <w:p w14:paraId="1C99D2EB"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1067,7</w:t>
            </w:r>
          </w:p>
        </w:tc>
        <w:tc>
          <w:tcPr>
            <w:tcW w:w="703" w:type="pct"/>
            <w:tcBorders>
              <w:top w:val="nil"/>
              <w:left w:val="nil"/>
              <w:bottom w:val="single" w:sz="4" w:space="0" w:color="auto"/>
              <w:right w:val="single" w:sz="4" w:space="0" w:color="auto"/>
            </w:tcBorders>
            <w:noWrap/>
            <w:vAlign w:val="bottom"/>
            <w:hideMark/>
          </w:tcPr>
          <w:p w14:paraId="543D501F"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703" w:type="pct"/>
            <w:tcBorders>
              <w:top w:val="nil"/>
              <w:left w:val="nil"/>
              <w:bottom w:val="single" w:sz="4" w:space="0" w:color="auto"/>
              <w:right w:val="single" w:sz="4" w:space="0" w:color="auto"/>
            </w:tcBorders>
            <w:noWrap/>
            <w:vAlign w:val="bottom"/>
            <w:hideMark/>
          </w:tcPr>
          <w:p w14:paraId="4F378B6E"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48,53</w:t>
            </w:r>
          </w:p>
        </w:tc>
        <w:tc>
          <w:tcPr>
            <w:tcW w:w="703" w:type="pct"/>
            <w:tcBorders>
              <w:top w:val="nil"/>
              <w:left w:val="nil"/>
              <w:bottom w:val="single" w:sz="4" w:space="0" w:color="auto"/>
              <w:right w:val="single" w:sz="4" w:space="0" w:color="auto"/>
            </w:tcBorders>
            <w:noWrap/>
            <w:vAlign w:val="bottom"/>
            <w:hideMark/>
          </w:tcPr>
          <w:p w14:paraId="20ECD075"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6,43</w:t>
            </w:r>
          </w:p>
        </w:tc>
        <w:tc>
          <w:tcPr>
            <w:tcW w:w="703" w:type="pct"/>
            <w:tcBorders>
              <w:top w:val="nil"/>
              <w:left w:val="nil"/>
              <w:bottom w:val="single" w:sz="4" w:space="0" w:color="auto"/>
              <w:right w:val="single" w:sz="4" w:space="0" w:color="auto"/>
            </w:tcBorders>
            <w:noWrap/>
            <w:vAlign w:val="bottom"/>
            <w:hideMark/>
          </w:tcPr>
          <w:p w14:paraId="3805D5A5"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781" w:type="pct"/>
            <w:tcBorders>
              <w:top w:val="nil"/>
              <w:left w:val="nil"/>
              <w:bottom w:val="single" w:sz="4" w:space="0" w:color="auto"/>
              <w:right w:val="single" w:sz="4" w:space="0" w:color="auto"/>
            </w:tcBorders>
            <w:noWrap/>
            <w:vAlign w:val="bottom"/>
            <w:hideMark/>
          </w:tcPr>
          <w:p w14:paraId="52E1FD2C"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70,57</w:t>
            </w:r>
          </w:p>
        </w:tc>
      </w:tr>
      <w:tr w:rsidR="00F4724C" w14:paraId="156D55DD"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02FBB9AA"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704" w:type="pct"/>
            <w:tcBorders>
              <w:top w:val="nil"/>
              <w:left w:val="nil"/>
              <w:bottom w:val="single" w:sz="4" w:space="0" w:color="auto"/>
              <w:right w:val="single" w:sz="4" w:space="0" w:color="auto"/>
            </w:tcBorders>
            <w:noWrap/>
            <w:vAlign w:val="bottom"/>
            <w:hideMark/>
          </w:tcPr>
          <w:p w14:paraId="0E0E5A38"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78,36</w:t>
            </w:r>
          </w:p>
        </w:tc>
        <w:tc>
          <w:tcPr>
            <w:tcW w:w="703" w:type="pct"/>
            <w:tcBorders>
              <w:top w:val="nil"/>
              <w:left w:val="nil"/>
              <w:bottom w:val="single" w:sz="4" w:space="0" w:color="auto"/>
              <w:right w:val="single" w:sz="4" w:space="0" w:color="auto"/>
            </w:tcBorders>
            <w:noWrap/>
            <w:vAlign w:val="bottom"/>
            <w:hideMark/>
          </w:tcPr>
          <w:p w14:paraId="57A7D74F"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703" w:type="pct"/>
            <w:tcBorders>
              <w:top w:val="nil"/>
              <w:left w:val="nil"/>
              <w:bottom w:val="single" w:sz="4" w:space="0" w:color="auto"/>
              <w:right w:val="single" w:sz="4" w:space="0" w:color="auto"/>
            </w:tcBorders>
            <w:noWrap/>
            <w:vAlign w:val="bottom"/>
            <w:hideMark/>
          </w:tcPr>
          <w:p w14:paraId="5CFBCEAF"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39,18</w:t>
            </w:r>
          </w:p>
        </w:tc>
        <w:tc>
          <w:tcPr>
            <w:tcW w:w="703" w:type="pct"/>
            <w:tcBorders>
              <w:top w:val="nil"/>
              <w:left w:val="nil"/>
              <w:bottom w:val="single" w:sz="4" w:space="0" w:color="auto"/>
              <w:right w:val="single" w:sz="4" w:space="0" w:color="auto"/>
            </w:tcBorders>
            <w:noWrap/>
            <w:vAlign w:val="bottom"/>
            <w:hideMark/>
          </w:tcPr>
          <w:p w14:paraId="4334F960"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5,19</w:t>
            </w:r>
          </w:p>
        </w:tc>
        <w:tc>
          <w:tcPr>
            <w:tcW w:w="703" w:type="pct"/>
            <w:tcBorders>
              <w:top w:val="nil"/>
              <w:left w:val="nil"/>
              <w:bottom w:val="single" w:sz="4" w:space="0" w:color="auto"/>
              <w:right w:val="single" w:sz="4" w:space="0" w:color="auto"/>
            </w:tcBorders>
            <w:noWrap/>
            <w:vAlign w:val="bottom"/>
            <w:hideMark/>
          </w:tcPr>
          <w:p w14:paraId="624F9DA2"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0,0084</w:t>
            </w:r>
          </w:p>
        </w:tc>
        <w:tc>
          <w:tcPr>
            <w:tcW w:w="781" w:type="pct"/>
            <w:tcBorders>
              <w:top w:val="nil"/>
              <w:left w:val="nil"/>
              <w:bottom w:val="single" w:sz="4" w:space="0" w:color="auto"/>
              <w:right w:val="single" w:sz="4" w:space="0" w:color="auto"/>
            </w:tcBorders>
            <w:noWrap/>
            <w:vAlign w:val="bottom"/>
            <w:hideMark/>
          </w:tcPr>
          <w:p w14:paraId="235F2DD0"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5,18</w:t>
            </w:r>
          </w:p>
        </w:tc>
      </w:tr>
      <w:tr w:rsidR="00F4724C" w14:paraId="20EAB667"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1E83B5D6"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704" w:type="pct"/>
            <w:tcBorders>
              <w:top w:val="nil"/>
              <w:left w:val="nil"/>
              <w:bottom w:val="single" w:sz="4" w:space="0" w:color="auto"/>
              <w:right w:val="single" w:sz="4" w:space="0" w:color="auto"/>
            </w:tcBorders>
            <w:noWrap/>
            <w:vAlign w:val="bottom"/>
            <w:hideMark/>
          </w:tcPr>
          <w:p w14:paraId="3DE38F36"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554,99</w:t>
            </w:r>
          </w:p>
        </w:tc>
        <w:tc>
          <w:tcPr>
            <w:tcW w:w="703" w:type="pct"/>
            <w:tcBorders>
              <w:top w:val="nil"/>
              <w:left w:val="nil"/>
              <w:bottom w:val="single" w:sz="4" w:space="0" w:color="auto"/>
              <w:right w:val="single" w:sz="4" w:space="0" w:color="auto"/>
            </w:tcBorders>
            <w:noWrap/>
            <w:vAlign w:val="bottom"/>
            <w:hideMark/>
          </w:tcPr>
          <w:p w14:paraId="5DF9D47F"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7</w:t>
            </w:r>
          </w:p>
        </w:tc>
        <w:tc>
          <w:tcPr>
            <w:tcW w:w="703" w:type="pct"/>
            <w:tcBorders>
              <w:top w:val="nil"/>
              <w:left w:val="nil"/>
              <w:bottom w:val="single" w:sz="4" w:space="0" w:color="auto"/>
              <w:right w:val="single" w:sz="4" w:space="0" w:color="auto"/>
            </w:tcBorders>
            <w:noWrap/>
            <w:vAlign w:val="bottom"/>
            <w:hideMark/>
          </w:tcPr>
          <w:p w14:paraId="5459E9B9"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79,28</w:t>
            </w:r>
          </w:p>
        </w:tc>
        <w:tc>
          <w:tcPr>
            <w:tcW w:w="703" w:type="pct"/>
            <w:tcBorders>
              <w:top w:val="nil"/>
              <w:left w:val="nil"/>
              <w:bottom w:val="single" w:sz="4" w:space="0" w:color="auto"/>
              <w:right w:val="single" w:sz="4" w:space="0" w:color="auto"/>
            </w:tcBorders>
            <w:noWrap/>
            <w:vAlign w:val="bottom"/>
            <w:hideMark/>
          </w:tcPr>
          <w:p w14:paraId="18683307"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10,51</w:t>
            </w:r>
          </w:p>
        </w:tc>
        <w:tc>
          <w:tcPr>
            <w:tcW w:w="703" w:type="pct"/>
            <w:tcBorders>
              <w:top w:val="nil"/>
              <w:left w:val="nil"/>
              <w:bottom w:val="single" w:sz="4" w:space="0" w:color="auto"/>
              <w:right w:val="single" w:sz="4" w:space="0" w:color="auto"/>
            </w:tcBorders>
            <w:noWrap/>
            <w:vAlign w:val="bottom"/>
            <w:hideMark/>
          </w:tcPr>
          <w:p w14:paraId="707A5EB2"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781" w:type="pct"/>
            <w:tcBorders>
              <w:top w:val="nil"/>
              <w:left w:val="nil"/>
              <w:bottom w:val="single" w:sz="4" w:space="0" w:color="auto"/>
              <w:right w:val="single" w:sz="4" w:space="0" w:color="auto"/>
            </w:tcBorders>
            <w:noWrap/>
            <w:vAlign w:val="bottom"/>
            <w:hideMark/>
          </w:tcPr>
          <w:p w14:paraId="218FB3A0"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36,68</w:t>
            </w:r>
          </w:p>
        </w:tc>
      </w:tr>
      <w:tr w:rsidR="00F4724C" w14:paraId="6247D46C"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67644683"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704" w:type="pct"/>
            <w:tcBorders>
              <w:top w:val="nil"/>
              <w:left w:val="nil"/>
              <w:bottom w:val="single" w:sz="4" w:space="0" w:color="auto"/>
              <w:right w:val="single" w:sz="4" w:space="0" w:color="auto"/>
            </w:tcBorders>
            <w:noWrap/>
            <w:vAlign w:val="bottom"/>
            <w:hideMark/>
          </w:tcPr>
          <w:p w14:paraId="0CF1F92B"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222,25</w:t>
            </w:r>
          </w:p>
        </w:tc>
        <w:tc>
          <w:tcPr>
            <w:tcW w:w="703" w:type="pct"/>
            <w:tcBorders>
              <w:top w:val="nil"/>
              <w:left w:val="nil"/>
              <w:bottom w:val="single" w:sz="4" w:space="0" w:color="auto"/>
              <w:right w:val="single" w:sz="4" w:space="0" w:color="auto"/>
            </w:tcBorders>
            <w:noWrap/>
            <w:vAlign w:val="bottom"/>
            <w:hideMark/>
          </w:tcPr>
          <w:p w14:paraId="39F0977A"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703" w:type="pct"/>
            <w:tcBorders>
              <w:top w:val="nil"/>
              <w:left w:val="nil"/>
              <w:bottom w:val="single" w:sz="4" w:space="0" w:color="auto"/>
              <w:right w:val="single" w:sz="4" w:space="0" w:color="auto"/>
            </w:tcBorders>
            <w:noWrap/>
            <w:vAlign w:val="bottom"/>
            <w:hideMark/>
          </w:tcPr>
          <w:p w14:paraId="5DEFE747"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55,56</w:t>
            </w:r>
          </w:p>
        </w:tc>
        <w:tc>
          <w:tcPr>
            <w:tcW w:w="703" w:type="pct"/>
            <w:tcBorders>
              <w:top w:val="nil"/>
              <w:left w:val="nil"/>
              <w:bottom w:val="single" w:sz="4" w:space="0" w:color="auto"/>
              <w:right w:val="single" w:sz="4" w:space="0" w:color="auto"/>
            </w:tcBorders>
            <w:noWrap/>
            <w:vAlign w:val="bottom"/>
            <w:hideMark/>
          </w:tcPr>
          <w:p w14:paraId="57888554"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7,36</w:t>
            </w:r>
          </w:p>
        </w:tc>
        <w:tc>
          <w:tcPr>
            <w:tcW w:w="703" w:type="pct"/>
            <w:tcBorders>
              <w:top w:val="nil"/>
              <w:left w:val="nil"/>
              <w:bottom w:val="single" w:sz="4" w:space="0" w:color="auto"/>
              <w:right w:val="single" w:sz="4" w:space="0" w:color="auto"/>
            </w:tcBorders>
            <w:noWrap/>
            <w:vAlign w:val="bottom"/>
            <w:hideMark/>
          </w:tcPr>
          <w:p w14:paraId="2B6FCEFE"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0,0001</w:t>
            </w:r>
          </w:p>
        </w:tc>
        <w:tc>
          <w:tcPr>
            <w:tcW w:w="781" w:type="pct"/>
            <w:tcBorders>
              <w:top w:val="nil"/>
              <w:left w:val="nil"/>
              <w:bottom w:val="single" w:sz="4" w:space="0" w:color="auto"/>
              <w:right w:val="single" w:sz="4" w:space="0" w:color="auto"/>
            </w:tcBorders>
            <w:noWrap/>
            <w:vAlign w:val="bottom"/>
            <w:hideMark/>
          </w:tcPr>
          <w:p w14:paraId="7B64BA31"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14,69</w:t>
            </w:r>
          </w:p>
        </w:tc>
      </w:tr>
      <w:tr w:rsidR="00F4724C" w14:paraId="57687403"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78AD1F5A"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704" w:type="pct"/>
            <w:tcBorders>
              <w:top w:val="nil"/>
              <w:left w:val="nil"/>
              <w:bottom w:val="single" w:sz="4" w:space="0" w:color="auto"/>
              <w:right w:val="single" w:sz="4" w:space="0" w:color="auto"/>
            </w:tcBorders>
            <w:noWrap/>
            <w:vAlign w:val="bottom"/>
            <w:hideMark/>
          </w:tcPr>
          <w:p w14:paraId="2498C405"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29,8</w:t>
            </w:r>
          </w:p>
        </w:tc>
        <w:tc>
          <w:tcPr>
            <w:tcW w:w="703" w:type="pct"/>
            <w:tcBorders>
              <w:top w:val="nil"/>
              <w:left w:val="nil"/>
              <w:bottom w:val="single" w:sz="4" w:space="0" w:color="auto"/>
              <w:right w:val="single" w:sz="4" w:space="0" w:color="auto"/>
            </w:tcBorders>
            <w:noWrap/>
            <w:vAlign w:val="bottom"/>
            <w:hideMark/>
          </w:tcPr>
          <w:p w14:paraId="13A4C544"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703" w:type="pct"/>
            <w:tcBorders>
              <w:top w:val="nil"/>
              <w:left w:val="nil"/>
              <w:bottom w:val="single" w:sz="4" w:space="0" w:color="auto"/>
              <w:right w:val="single" w:sz="4" w:space="0" w:color="auto"/>
            </w:tcBorders>
            <w:noWrap/>
            <w:vAlign w:val="bottom"/>
            <w:hideMark/>
          </w:tcPr>
          <w:p w14:paraId="33308630"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7,45</w:t>
            </w:r>
          </w:p>
        </w:tc>
        <w:tc>
          <w:tcPr>
            <w:tcW w:w="703" w:type="pct"/>
            <w:tcBorders>
              <w:top w:val="nil"/>
              <w:left w:val="nil"/>
              <w:bottom w:val="single" w:sz="4" w:space="0" w:color="auto"/>
              <w:right w:val="single" w:sz="4" w:space="0" w:color="auto"/>
            </w:tcBorders>
            <w:noWrap/>
            <w:vAlign w:val="bottom"/>
            <w:hideMark/>
          </w:tcPr>
          <w:p w14:paraId="6798BA06"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0,99</w:t>
            </w:r>
          </w:p>
        </w:tc>
        <w:tc>
          <w:tcPr>
            <w:tcW w:w="703" w:type="pct"/>
            <w:tcBorders>
              <w:top w:val="nil"/>
              <w:left w:val="nil"/>
              <w:bottom w:val="single" w:sz="4" w:space="0" w:color="auto"/>
              <w:right w:val="single" w:sz="4" w:space="0" w:color="auto"/>
            </w:tcBorders>
            <w:noWrap/>
            <w:vAlign w:val="bottom"/>
            <w:hideMark/>
          </w:tcPr>
          <w:p w14:paraId="6925692B"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0,4215</w:t>
            </w:r>
          </w:p>
        </w:tc>
        <w:tc>
          <w:tcPr>
            <w:tcW w:w="781" w:type="pct"/>
            <w:tcBorders>
              <w:top w:val="nil"/>
              <w:left w:val="nil"/>
              <w:bottom w:val="single" w:sz="4" w:space="0" w:color="auto"/>
              <w:right w:val="single" w:sz="4" w:space="0" w:color="auto"/>
            </w:tcBorders>
            <w:noWrap/>
            <w:vAlign w:val="bottom"/>
            <w:hideMark/>
          </w:tcPr>
          <w:p w14:paraId="5B409386"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1,97</w:t>
            </w:r>
          </w:p>
        </w:tc>
      </w:tr>
      <w:tr w:rsidR="00F4724C" w14:paraId="6F0586AC"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5D378C5A"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704" w:type="pct"/>
            <w:tcBorders>
              <w:top w:val="nil"/>
              <w:left w:val="nil"/>
              <w:bottom w:val="single" w:sz="4" w:space="0" w:color="auto"/>
              <w:right w:val="single" w:sz="4" w:space="0" w:color="auto"/>
            </w:tcBorders>
            <w:noWrap/>
            <w:vAlign w:val="bottom"/>
            <w:hideMark/>
          </w:tcPr>
          <w:p w14:paraId="37103CCD"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13,94</w:t>
            </w:r>
          </w:p>
        </w:tc>
        <w:tc>
          <w:tcPr>
            <w:tcW w:w="703" w:type="pct"/>
            <w:tcBorders>
              <w:top w:val="nil"/>
              <w:left w:val="nil"/>
              <w:bottom w:val="single" w:sz="4" w:space="0" w:color="auto"/>
              <w:right w:val="single" w:sz="4" w:space="0" w:color="auto"/>
            </w:tcBorders>
            <w:noWrap/>
            <w:vAlign w:val="bottom"/>
            <w:hideMark/>
          </w:tcPr>
          <w:p w14:paraId="04F951BA"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703" w:type="pct"/>
            <w:tcBorders>
              <w:top w:val="nil"/>
              <w:left w:val="nil"/>
              <w:bottom w:val="single" w:sz="4" w:space="0" w:color="auto"/>
              <w:right w:val="single" w:sz="4" w:space="0" w:color="auto"/>
            </w:tcBorders>
            <w:noWrap/>
            <w:vAlign w:val="bottom"/>
            <w:hideMark/>
          </w:tcPr>
          <w:p w14:paraId="6BC10A75"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4,65</w:t>
            </w:r>
          </w:p>
        </w:tc>
        <w:tc>
          <w:tcPr>
            <w:tcW w:w="703" w:type="pct"/>
            <w:tcBorders>
              <w:top w:val="nil"/>
              <w:left w:val="nil"/>
              <w:bottom w:val="single" w:sz="4" w:space="0" w:color="auto"/>
              <w:right w:val="single" w:sz="4" w:space="0" w:color="auto"/>
            </w:tcBorders>
            <w:noWrap/>
            <w:vAlign w:val="bottom"/>
            <w:hideMark/>
          </w:tcPr>
          <w:p w14:paraId="67BB2C0E"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0,62</w:t>
            </w:r>
          </w:p>
        </w:tc>
        <w:tc>
          <w:tcPr>
            <w:tcW w:w="703" w:type="pct"/>
            <w:tcBorders>
              <w:top w:val="nil"/>
              <w:left w:val="nil"/>
              <w:bottom w:val="single" w:sz="4" w:space="0" w:color="auto"/>
              <w:right w:val="single" w:sz="4" w:space="0" w:color="auto"/>
            </w:tcBorders>
            <w:noWrap/>
            <w:vAlign w:val="bottom"/>
            <w:hideMark/>
          </w:tcPr>
          <w:p w14:paraId="1295F12D"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0,6074</w:t>
            </w:r>
          </w:p>
        </w:tc>
        <w:tc>
          <w:tcPr>
            <w:tcW w:w="781" w:type="pct"/>
            <w:tcBorders>
              <w:top w:val="nil"/>
              <w:left w:val="nil"/>
              <w:bottom w:val="single" w:sz="4" w:space="0" w:color="auto"/>
              <w:right w:val="single" w:sz="4" w:space="0" w:color="auto"/>
            </w:tcBorders>
            <w:noWrap/>
            <w:vAlign w:val="bottom"/>
            <w:hideMark/>
          </w:tcPr>
          <w:p w14:paraId="1D5207E4"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0,92</w:t>
            </w:r>
          </w:p>
        </w:tc>
      </w:tr>
      <w:tr w:rsidR="00F4724C" w14:paraId="3114DE47"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420C7450"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704" w:type="pct"/>
            <w:tcBorders>
              <w:top w:val="nil"/>
              <w:left w:val="nil"/>
              <w:bottom w:val="single" w:sz="4" w:space="0" w:color="auto"/>
              <w:right w:val="single" w:sz="4" w:space="0" w:color="auto"/>
            </w:tcBorders>
            <w:noWrap/>
            <w:vAlign w:val="bottom"/>
            <w:hideMark/>
          </w:tcPr>
          <w:p w14:paraId="72D6F667"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168,35</w:t>
            </w:r>
          </w:p>
        </w:tc>
        <w:tc>
          <w:tcPr>
            <w:tcW w:w="703" w:type="pct"/>
            <w:tcBorders>
              <w:top w:val="nil"/>
              <w:left w:val="nil"/>
              <w:bottom w:val="single" w:sz="4" w:space="0" w:color="auto"/>
              <w:right w:val="single" w:sz="4" w:space="0" w:color="auto"/>
            </w:tcBorders>
            <w:noWrap/>
            <w:vAlign w:val="bottom"/>
            <w:hideMark/>
          </w:tcPr>
          <w:p w14:paraId="3BB7C95A"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703" w:type="pct"/>
            <w:tcBorders>
              <w:top w:val="nil"/>
              <w:left w:val="nil"/>
              <w:bottom w:val="single" w:sz="4" w:space="0" w:color="auto"/>
              <w:right w:val="single" w:sz="4" w:space="0" w:color="auto"/>
            </w:tcBorders>
            <w:noWrap/>
            <w:vAlign w:val="bottom"/>
            <w:hideMark/>
          </w:tcPr>
          <w:p w14:paraId="14B445F5"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84,18</w:t>
            </w:r>
          </w:p>
        </w:tc>
        <w:tc>
          <w:tcPr>
            <w:tcW w:w="703" w:type="pct"/>
            <w:tcBorders>
              <w:top w:val="nil"/>
              <w:left w:val="nil"/>
              <w:bottom w:val="single" w:sz="4" w:space="0" w:color="auto"/>
              <w:right w:val="single" w:sz="4" w:space="0" w:color="auto"/>
            </w:tcBorders>
            <w:noWrap/>
            <w:vAlign w:val="bottom"/>
            <w:hideMark/>
          </w:tcPr>
          <w:p w14:paraId="62EC8DAF"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11,16</w:t>
            </w:r>
          </w:p>
        </w:tc>
        <w:tc>
          <w:tcPr>
            <w:tcW w:w="703" w:type="pct"/>
            <w:tcBorders>
              <w:top w:val="nil"/>
              <w:left w:val="nil"/>
              <w:bottom w:val="single" w:sz="4" w:space="0" w:color="auto"/>
              <w:right w:val="single" w:sz="4" w:space="0" w:color="auto"/>
            </w:tcBorders>
            <w:noWrap/>
            <w:vAlign w:val="bottom"/>
            <w:hideMark/>
          </w:tcPr>
          <w:p w14:paraId="28046FEE"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0,0001</w:t>
            </w:r>
          </w:p>
        </w:tc>
        <w:tc>
          <w:tcPr>
            <w:tcW w:w="781" w:type="pct"/>
            <w:tcBorders>
              <w:top w:val="nil"/>
              <w:left w:val="nil"/>
              <w:bottom w:val="single" w:sz="4" w:space="0" w:color="auto"/>
              <w:right w:val="single" w:sz="4" w:space="0" w:color="auto"/>
            </w:tcBorders>
            <w:noWrap/>
            <w:vAlign w:val="bottom"/>
            <w:hideMark/>
          </w:tcPr>
          <w:p w14:paraId="4D46D2E1"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11,13</w:t>
            </w:r>
          </w:p>
        </w:tc>
      </w:tr>
      <w:tr w:rsidR="00F4724C" w14:paraId="183E5D6E"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08A009C9"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704" w:type="pct"/>
            <w:tcBorders>
              <w:top w:val="nil"/>
              <w:left w:val="nil"/>
              <w:bottom w:val="single" w:sz="4" w:space="0" w:color="auto"/>
              <w:right w:val="single" w:sz="4" w:space="0" w:color="auto"/>
            </w:tcBorders>
            <w:noWrap/>
            <w:vAlign w:val="bottom"/>
            <w:hideMark/>
          </w:tcPr>
          <w:p w14:paraId="7EA41C23"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445,17</w:t>
            </w:r>
          </w:p>
        </w:tc>
        <w:tc>
          <w:tcPr>
            <w:tcW w:w="703" w:type="pct"/>
            <w:tcBorders>
              <w:top w:val="nil"/>
              <w:left w:val="nil"/>
              <w:bottom w:val="single" w:sz="4" w:space="0" w:color="auto"/>
              <w:right w:val="single" w:sz="4" w:space="0" w:color="auto"/>
            </w:tcBorders>
            <w:noWrap/>
            <w:vAlign w:val="bottom"/>
            <w:hideMark/>
          </w:tcPr>
          <w:p w14:paraId="78D86CCA"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59</w:t>
            </w:r>
          </w:p>
        </w:tc>
        <w:tc>
          <w:tcPr>
            <w:tcW w:w="703" w:type="pct"/>
            <w:tcBorders>
              <w:top w:val="nil"/>
              <w:left w:val="nil"/>
              <w:bottom w:val="single" w:sz="4" w:space="0" w:color="auto"/>
              <w:right w:val="single" w:sz="4" w:space="0" w:color="auto"/>
            </w:tcBorders>
            <w:noWrap/>
            <w:vAlign w:val="bottom"/>
            <w:hideMark/>
          </w:tcPr>
          <w:p w14:paraId="21D267D0"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7,55</w:t>
            </w:r>
          </w:p>
        </w:tc>
        <w:tc>
          <w:tcPr>
            <w:tcW w:w="703" w:type="pct"/>
            <w:tcBorders>
              <w:top w:val="nil"/>
              <w:left w:val="nil"/>
              <w:bottom w:val="single" w:sz="4" w:space="0" w:color="auto"/>
              <w:right w:val="single" w:sz="4" w:space="0" w:color="auto"/>
            </w:tcBorders>
            <w:noWrap/>
            <w:vAlign w:val="bottom"/>
            <w:hideMark/>
          </w:tcPr>
          <w:p w14:paraId="1FE555BB"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3" w:type="pct"/>
            <w:tcBorders>
              <w:top w:val="nil"/>
              <w:left w:val="nil"/>
              <w:bottom w:val="single" w:sz="4" w:space="0" w:color="auto"/>
              <w:right w:val="single" w:sz="4" w:space="0" w:color="auto"/>
            </w:tcBorders>
            <w:noWrap/>
            <w:vAlign w:val="bottom"/>
            <w:hideMark/>
          </w:tcPr>
          <w:p w14:paraId="3C169F21"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1" w:type="pct"/>
            <w:tcBorders>
              <w:top w:val="nil"/>
              <w:left w:val="nil"/>
              <w:bottom w:val="single" w:sz="4" w:space="0" w:color="auto"/>
              <w:right w:val="single" w:sz="4" w:space="0" w:color="auto"/>
            </w:tcBorders>
            <w:noWrap/>
            <w:vAlign w:val="bottom"/>
            <w:hideMark/>
          </w:tcPr>
          <w:p w14:paraId="4AE397AB"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29,43</w:t>
            </w:r>
          </w:p>
        </w:tc>
      </w:tr>
      <w:tr w:rsidR="00F4724C" w14:paraId="5975324A" w14:textId="77777777" w:rsidTr="00F4724C">
        <w:trPr>
          <w:trHeight w:val="300"/>
        </w:trPr>
        <w:tc>
          <w:tcPr>
            <w:tcW w:w="704" w:type="pct"/>
            <w:tcBorders>
              <w:top w:val="nil"/>
              <w:left w:val="single" w:sz="4" w:space="0" w:color="auto"/>
              <w:bottom w:val="single" w:sz="4" w:space="0" w:color="auto"/>
              <w:right w:val="single" w:sz="4" w:space="0" w:color="auto"/>
            </w:tcBorders>
            <w:noWrap/>
            <w:vAlign w:val="bottom"/>
            <w:hideMark/>
          </w:tcPr>
          <w:p w14:paraId="2B93046D"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704" w:type="pct"/>
            <w:tcBorders>
              <w:top w:val="nil"/>
              <w:left w:val="nil"/>
              <w:bottom w:val="single" w:sz="4" w:space="0" w:color="auto"/>
              <w:right w:val="single" w:sz="4" w:space="0" w:color="auto"/>
            </w:tcBorders>
            <w:noWrap/>
            <w:vAlign w:val="bottom"/>
            <w:hideMark/>
          </w:tcPr>
          <w:p w14:paraId="421D9DAB"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1512,88</w:t>
            </w:r>
          </w:p>
        </w:tc>
        <w:tc>
          <w:tcPr>
            <w:tcW w:w="703" w:type="pct"/>
            <w:tcBorders>
              <w:top w:val="nil"/>
              <w:left w:val="nil"/>
              <w:bottom w:val="single" w:sz="4" w:space="0" w:color="auto"/>
              <w:right w:val="single" w:sz="4" w:space="0" w:color="auto"/>
            </w:tcBorders>
            <w:noWrap/>
            <w:vAlign w:val="bottom"/>
            <w:hideMark/>
          </w:tcPr>
          <w:p w14:paraId="05367B52"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81</w:t>
            </w:r>
          </w:p>
        </w:tc>
        <w:tc>
          <w:tcPr>
            <w:tcW w:w="703" w:type="pct"/>
            <w:tcBorders>
              <w:top w:val="nil"/>
              <w:left w:val="nil"/>
              <w:bottom w:val="single" w:sz="4" w:space="0" w:color="auto"/>
              <w:right w:val="single" w:sz="4" w:space="0" w:color="auto"/>
            </w:tcBorders>
            <w:noWrap/>
            <w:vAlign w:val="bottom"/>
            <w:hideMark/>
          </w:tcPr>
          <w:p w14:paraId="1625B63C"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3" w:type="pct"/>
            <w:tcBorders>
              <w:top w:val="nil"/>
              <w:left w:val="nil"/>
              <w:bottom w:val="single" w:sz="4" w:space="0" w:color="auto"/>
              <w:right w:val="single" w:sz="4" w:space="0" w:color="auto"/>
            </w:tcBorders>
            <w:noWrap/>
            <w:vAlign w:val="bottom"/>
            <w:hideMark/>
          </w:tcPr>
          <w:p w14:paraId="3FCCCD2D"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3" w:type="pct"/>
            <w:tcBorders>
              <w:top w:val="nil"/>
              <w:left w:val="nil"/>
              <w:bottom w:val="single" w:sz="4" w:space="0" w:color="auto"/>
              <w:right w:val="single" w:sz="4" w:space="0" w:color="auto"/>
            </w:tcBorders>
            <w:noWrap/>
            <w:vAlign w:val="bottom"/>
            <w:hideMark/>
          </w:tcPr>
          <w:p w14:paraId="2EE805B9"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1" w:type="pct"/>
            <w:tcBorders>
              <w:top w:val="nil"/>
              <w:left w:val="nil"/>
              <w:bottom w:val="single" w:sz="4" w:space="0" w:color="auto"/>
              <w:right w:val="single" w:sz="4" w:space="0" w:color="auto"/>
            </w:tcBorders>
            <w:noWrap/>
            <w:vAlign w:val="bottom"/>
            <w:hideMark/>
          </w:tcPr>
          <w:p w14:paraId="163063E6" w14:textId="77777777" w:rsidR="00F4724C" w:rsidRDefault="00F4724C" w:rsidP="00BE2114">
            <w:pPr>
              <w:spacing w:after="0"/>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6A87F115" w14:textId="77777777" w:rsidR="00023192" w:rsidRDefault="00F4724C" w:rsidP="00023192">
      <w:pPr>
        <w:autoSpaceDE w:val="0"/>
        <w:autoSpaceDN w:val="0"/>
        <w:adjustRightInd w:val="0"/>
        <w:spacing w:before="360" w:after="360" w:line="360" w:lineRule="auto"/>
        <w:rPr>
          <w:rFonts w:cs="Times New Roman"/>
          <w:bCs/>
          <w:szCs w:val="24"/>
        </w:rPr>
      </w:pPr>
      <w:r>
        <w:rPr>
          <w:rFonts w:cs="Times New Roman"/>
          <w:bCs/>
          <w:szCs w:val="24"/>
        </w:rPr>
        <w:t>El modelo estadístico establecido explica el 70,57 % de la variación observada en los datos; siendo el magnesio aplicado responsable del 11,13 % de la variación observada. El 29,43 % de la variación se les atribuyó a efectos aleatorios que el modelo no pudo explicar (error). El nitrógeno y el fósforo explicaron el 36,68 %, y 14,69 % de a</w:t>
      </w:r>
      <w:r w:rsidR="00241B4C">
        <w:rPr>
          <w:rFonts w:cs="Times New Roman"/>
          <w:bCs/>
          <w:szCs w:val="24"/>
        </w:rPr>
        <w:t>b</w:t>
      </w:r>
      <w:r>
        <w:rPr>
          <w:rFonts w:cs="Times New Roman"/>
          <w:bCs/>
          <w:szCs w:val="24"/>
        </w:rPr>
        <w:t xml:space="preserve">sorción de magnesio, respectivamente. El resto de nutrientes potasio y azufre explicaron menos del 5% de absorción de magnesio </w:t>
      </w:r>
      <w:bookmarkStart w:id="1692" w:name="_Hlk69875698"/>
      <w:r>
        <w:rPr>
          <w:rFonts w:cs="Times New Roman"/>
          <w:bCs/>
          <w:szCs w:val="24"/>
        </w:rPr>
        <w:t>(</w:t>
      </w:r>
      <w:r w:rsidR="001A3E5A">
        <w:rPr>
          <w:rFonts w:cs="Times New Roman"/>
          <w:bCs/>
          <w:szCs w:val="24"/>
        </w:rPr>
        <w:t>Cuadro</w:t>
      </w:r>
      <w:r w:rsidR="00285C59">
        <w:rPr>
          <w:rFonts w:cs="Times New Roman"/>
          <w:bCs/>
          <w:szCs w:val="24"/>
        </w:rPr>
        <w:t xml:space="preserve"> </w:t>
      </w:r>
      <w:r>
        <w:rPr>
          <w:rFonts w:cs="Times New Roman"/>
          <w:bCs/>
          <w:szCs w:val="24"/>
        </w:rPr>
        <w:t xml:space="preserve">93).  </w:t>
      </w:r>
      <w:bookmarkEnd w:id="1692"/>
    </w:p>
    <w:p w14:paraId="5489D358" w14:textId="2ACDD351" w:rsidR="00023192" w:rsidRDefault="00F4724C" w:rsidP="00023192">
      <w:pPr>
        <w:autoSpaceDE w:val="0"/>
        <w:autoSpaceDN w:val="0"/>
        <w:adjustRightInd w:val="0"/>
        <w:spacing w:before="360" w:after="360" w:line="360" w:lineRule="auto"/>
        <w:rPr>
          <w:rFonts w:cs="Times New Roman"/>
          <w:bCs/>
          <w:szCs w:val="24"/>
        </w:rPr>
      </w:pPr>
      <w:r>
        <w:rPr>
          <w:rFonts w:cs="Times New Roman"/>
          <w:bCs/>
          <w:szCs w:val="24"/>
        </w:rPr>
        <w:t>En l</w:t>
      </w:r>
      <w:r w:rsidR="001A3E5A">
        <w:rPr>
          <w:rFonts w:cs="Times New Roman"/>
          <w:bCs/>
          <w:szCs w:val="24"/>
        </w:rPr>
        <w:t>os cuadros</w:t>
      </w:r>
      <w:r>
        <w:rPr>
          <w:rFonts w:cs="Times New Roman"/>
          <w:bCs/>
          <w:szCs w:val="24"/>
        </w:rPr>
        <w:t xml:space="preserve"> </w:t>
      </w:r>
      <w:r w:rsidR="0039325D">
        <w:rPr>
          <w:rFonts w:cs="Times New Roman"/>
          <w:bCs/>
          <w:szCs w:val="24"/>
        </w:rPr>
        <w:t xml:space="preserve">93, </w:t>
      </w:r>
      <w:r>
        <w:rPr>
          <w:rFonts w:cs="Times New Roman"/>
          <w:bCs/>
          <w:szCs w:val="24"/>
        </w:rPr>
        <w:t>94, 95, 96, 97</w:t>
      </w:r>
      <w:r w:rsidR="0039325D">
        <w:rPr>
          <w:rFonts w:cs="Times New Roman"/>
          <w:bCs/>
          <w:szCs w:val="24"/>
        </w:rPr>
        <w:t xml:space="preserve"> y </w:t>
      </w:r>
      <w:r>
        <w:rPr>
          <w:rFonts w:cs="Times New Roman"/>
          <w:bCs/>
          <w:szCs w:val="24"/>
        </w:rPr>
        <w:t>98 se presentan los promedios y el error estándar de a</w:t>
      </w:r>
      <w:r w:rsidR="00241B4C">
        <w:rPr>
          <w:rFonts w:cs="Times New Roman"/>
          <w:bCs/>
          <w:szCs w:val="24"/>
        </w:rPr>
        <w:t>b</w:t>
      </w:r>
      <w:r>
        <w:rPr>
          <w:rFonts w:cs="Times New Roman"/>
          <w:bCs/>
          <w:szCs w:val="24"/>
        </w:rPr>
        <w:t>sorción de magnesio por efecto de las localidades (parroquia) y do</w:t>
      </w:r>
      <w:r w:rsidR="002F2624">
        <w:rPr>
          <w:rFonts w:cs="Times New Roman"/>
          <w:bCs/>
          <w:szCs w:val="24"/>
        </w:rPr>
        <w:t>sis de fertilizantes aplicados.</w:t>
      </w:r>
      <w:bookmarkStart w:id="1693" w:name="_Toc79314086"/>
    </w:p>
    <w:p w14:paraId="3F52941F" w14:textId="64210CB0" w:rsidR="002F2624" w:rsidRPr="00023192" w:rsidRDefault="002F2624" w:rsidP="00023192">
      <w:pPr>
        <w:autoSpaceDE w:val="0"/>
        <w:autoSpaceDN w:val="0"/>
        <w:adjustRightInd w:val="0"/>
        <w:spacing w:before="360" w:after="120" w:line="360" w:lineRule="auto"/>
        <w:rPr>
          <w:rFonts w:cs="Times New Roman"/>
          <w:bCs/>
          <w:szCs w:val="24"/>
        </w:rPr>
      </w:pPr>
      <w:r w:rsidRPr="002F2624">
        <w:rPr>
          <w:rFonts w:cs="Times New Roman"/>
          <w:b/>
          <w:bCs/>
          <w:szCs w:val="24"/>
        </w:rPr>
        <w:t xml:space="preserve">Cuadro </w:t>
      </w:r>
      <w:r w:rsidRPr="002F2624">
        <w:rPr>
          <w:rFonts w:cs="Times New Roman"/>
          <w:b/>
          <w:bCs/>
          <w:i/>
          <w:iCs/>
          <w:szCs w:val="24"/>
        </w:rPr>
        <w:fldChar w:fldCharType="begin"/>
      </w:r>
      <w:r w:rsidRPr="002F2624">
        <w:rPr>
          <w:rFonts w:cs="Times New Roman"/>
          <w:b/>
          <w:bCs/>
          <w:szCs w:val="24"/>
        </w:rPr>
        <w:instrText xml:space="preserve"> SEQ Cuadro \* ARABIC </w:instrText>
      </w:r>
      <w:r w:rsidRPr="002F2624">
        <w:rPr>
          <w:rFonts w:cs="Times New Roman"/>
          <w:b/>
          <w:bCs/>
          <w:i/>
          <w:iCs/>
          <w:szCs w:val="24"/>
        </w:rPr>
        <w:fldChar w:fldCharType="separate"/>
      </w:r>
      <w:r w:rsidR="000D1F55">
        <w:rPr>
          <w:rFonts w:cs="Times New Roman"/>
          <w:b/>
          <w:bCs/>
          <w:noProof/>
          <w:szCs w:val="24"/>
        </w:rPr>
        <w:t>94</w:t>
      </w:r>
      <w:r w:rsidRPr="002F2624">
        <w:rPr>
          <w:rFonts w:cs="Times New Roman"/>
          <w:b/>
          <w:bCs/>
          <w:i/>
          <w:iCs/>
          <w:szCs w:val="24"/>
        </w:rPr>
        <w:fldChar w:fldCharType="end"/>
      </w:r>
      <w:r w:rsidRPr="002F2624">
        <w:rPr>
          <w:rFonts w:cs="Times New Roman"/>
          <w:b/>
          <w:bCs/>
          <w:szCs w:val="24"/>
        </w:rPr>
        <w:t xml:space="preserve">. </w:t>
      </w:r>
      <w:r w:rsidRPr="002F2624">
        <w:rPr>
          <w:rFonts w:cs="Times New Roman"/>
          <w:bCs/>
          <w:szCs w:val="24"/>
        </w:rPr>
        <w:t>Absorción total de magnesio de plantas de maíz evaluado por localidades (parroquia) en la provincia de Chimborazo 2012-2014.</w:t>
      </w:r>
      <w:bookmarkEnd w:id="1693"/>
    </w:p>
    <w:tbl>
      <w:tblPr>
        <w:tblW w:w="7200" w:type="dxa"/>
        <w:jc w:val="center"/>
        <w:tblCellMar>
          <w:left w:w="70" w:type="dxa"/>
          <w:right w:w="70" w:type="dxa"/>
        </w:tblCellMar>
        <w:tblLook w:val="04A0" w:firstRow="1" w:lastRow="0" w:firstColumn="1" w:lastColumn="0" w:noHBand="0" w:noVBand="1"/>
      </w:tblPr>
      <w:tblGrid>
        <w:gridCol w:w="1200"/>
        <w:gridCol w:w="1200"/>
        <w:gridCol w:w="572"/>
        <w:gridCol w:w="1828"/>
        <w:gridCol w:w="1200"/>
        <w:gridCol w:w="1200"/>
      </w:tblGrid>
      <w:tr w:rsidR="00F4724C" w14:paraId="37188D59" w14:textId="77777777" w:rsidTr="00161F63">
        <w:trPr>
          <w:trHeight w:val="300"/>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1FD882DC"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Parroquia</w:t>
            </w:r>
          </w:p>
        </w:tc>
        <w:tc>
          <w:tcPr>
            <w:tcW w:w="1200" w:type="dxa"/>
            <w:tcBorders>
              <w:top w:val="single" w:sz="4" w:space="0" w:color="auto"/>
              <w:left w:val="nil"/>
              <w:bottom w:val="single" w:sz="4" w:space="0" w:color="auto"/>
              <w:right w:val="single" w:sz="4" w:space="0" w:color="auto"/>
            </w:tcBorders>
            <w:noWrap/>
            <w:vAlign w:val="bottom"/>
            <w:hideMark/>
          </w:tcPr>
          <w:p w14:paraId="5020F4AF"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72" w:type="dxa"/>
            <w:tcBorders>
              <w:top w:val="single" w:sz="4" w:space="0" w:color="auto"/>
              <w:left w:val="nil"/>
              <w:bottom w:val="single" w:sz="4" w:space="0" w:color="auto"/>
              <w:right w:val="single" w:sz="4" w:space="0" w:color="auto"/>
            </w:tcBorders>
            <w:noWrap/>
            <w:vAlign w:val="bottom"/>
            <w:hideMark/>
          </w:tcPr>
          <w:p w14:paraId="1B57B159"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28" w:type="dxa"/>
            <w:tcBorders>
              <w:top w:val="single" w:sz="4" w:space="0" w:color="auto"/>
              <w:left w:val="nil"/>
              <w:bottom w:val="single" w:sz="4" w:space="0" w:color="auto"/>
              <w:right w:val="single" w:sz="4" w:space="0" w:color="auto"/>
            </w:tcBorders>
            <w:noWrap/>
            <w:vAlign w:val="bottom"/>
            <w:hideMark/>
          </w:tcPr>
          <w:p w14:paraId="0E3B59A9"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15EB4FF6" w14:textId="77777777" w:rsidR="00F4724C" w:rsidRDefault="00F4724C" w:rsidP="00023192">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7F67403E" w14:textId="77777777" w:rsidR="00F4724C" w:rsidRDefault="00F4724C" w:rsidP="00023192">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43A3D360" w14:textId="77777777" w:rsidTr="00161F63">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43F36ED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Quimiag  </w:t>
            </w:r>
          </w:p>
        </w:tc>
        <w:tc>
          <w:tcPr>
            <w:tcW w:w="1200" w:type="dxa"/>
            <w:tcBorders>
              <w:top w:val="nil"/>
              <w:left w:val="nil"/>
              <w:bottom w:val="single" w:sz="4" w:space="0" w:color="auto"/>
              <w:right w:val="single" w:sz="4" w:space="0" w:color="auto"/>
            </w:tcBorders>
            <w:noWrap/>
            <w:vAlign w:val="bottom"/>
            <w:hideMark/>
          </w:tcPr>
          <w:p w14:paraId="6CF104D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16,94</w:t>
            </w:r>
          </w:p>
        </w:tc>
        <w:tc>
          <w:tcPr>
            <w:tcW w:w="572" w:type="dxa"/>
            <w:tcBorders>
              <w:top w:val="nil"/>
              <w:left w:val="nil"/>
              <w:bottom w:val="single" w:sz="4" w:space="0" w:color="auto"/>
              <w:right w:val="single" w:sz="4" w:space="0" w:color="auto"/>
            </w:tcBorders>
            <w:noWrap/>
            <w:vAlign w:val="bottom"/>
            <w:hideMark/>
          </w:tcPr>
          <w:p w14:paraId="75530C1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1828" w:type="dxa"/>
            <w:tcBorders>
              <w:top w:val="nil"/>
              <w:left w:val="nil"/>
              <w:bottom w:val="single" w:sz="4" w:space="0" w:color="auto"/>
              <w:right w:val="single" w:sz="4" w:space="0" w:color="auto"/>
            </w:tcBorders>
            <w:noWrap/>
            <w:vAlign w:val="bottom"/>
            <w:hideMark/>
          </w:tcPr>
          <w:p w14:paraId="0E0478F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0,42</w:t>
            </w:r>
          </w:p>
        </w:tc>
        <w:tc>
          <w:tcPr>
            <w:tcW w:w="1200" w:type="dxa"/>
            <w:tcBorders>
              <w:top w:val="single" w:sz="4" w:space="0" w:color="auto"/>
              <w:left w:val="nil"/>
              <w:bottom w:val="single" w:sz="4" w:space="0" w:color="auto"/>
              <w:right w:val="single" w:sz="4" w:space="0" w:color="auto"/>
            </w:tcBorders>
            <w:noWrap/>
            <w:vAlign w:val="bottom"/>
            <w:hideMark/>
          </w:tcPr>
          <w:p w14:paraId="5CA0AF9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1B7DC964"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6958BE64" w14:textId="77777777" w:rsidTr="00161F63">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7EF0DFB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Licto    </w:t>
            </w:r>
          </w:p>
        </w:tc>
        <w:tc>
          <w:tcPr>
            <w:tcW w:w="1200" w:type="dxa"/>
            <w:tcBorders>
              <w:top w:val="nil"/>
              <w:left w:val="nil"/>
              <w:bottom w:val="single" w:sz="4" w:space="0" w:color="auto"/>
              <w:right w:val="single" w:sz="4" w:space="0" w:color="auto"/>
            </w:tcBorders>
            <w:noWrap/>
            <w:vAlign w:val="bottom"/>
            <w:hideMark/>
          </w:tcPr>
          <w:p w14:paraId="79C45C0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17,12</w:t>
            </w:r>
          </w:p>
        </w:tc>
        <w:tc>
          <w:tcPr>
            <w:tcW w:w="572" w:type="dxa"/>
            <w:tcBorders>
              <w:top w:val="nil"/>
              <w:left w:val="nil"/>
              <w:bottom w:val="single" w:sz="4" w:space="0" w:color="auto"/>
              <w:right w:val="single" w:sz="4" w:space="0" w:color="auto"/>
            </w:tcBorders>
            <w:noWrap/>
            <w:vAlign w:val="bottom"/>
            <w:hideMark/>
          </w:tcPr>
          <w:p w14:paraId="7D0A866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28" w:type="dxa"/>
            <w:tcBorders>
              <w:top w:val="nil"/>
              <w:left w:val="nil"/>
              <w:bottom w:val="single" w:sz="4" w:space="0" w:color="auto"/>
              <w:right w:val="single" w:sz="4" w:space="0" w:color="auto"/>
            </w:tcBorders>
            <w:noWrap/>
            <w:vAlign w:val="bottom"/>
            <w:hideMark/>
          </w:tcPr>
          <w:p w14:paraId="17D3EB6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w:t>
            </w:r>
          </w:p>
        </w:tc>
        <w:tc>
          <w:tcPr>
            <w:tcW w:w="1200" w:type="dxa"/>
            <w:tcBorders>
              <w:top w:val="nil"/>
              <w:left w:val="nil"/>
              <w:bottom w:val="single" w:sz="4" w:space="0" w:color="auto"/>
              <w:right w:val="single" w:sz="4" w:space="0" w:color="auto"/>
            </w:tcBorders>
            <w:noWrap/>
            <w:vAlign w:val="bottom"/>
            <w:hideMark/>
          </w:tcPr>
          <w:p w14:paraId="37F98B6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7B64E95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6279A58B" w14:textId="77777777" w:rsidTr="00161F63">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0C8CF20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Chazo    </w:t>
            </w:r>
          </w:p>
        </w:tc>
        <w:tc>
          <w:tcPr>
            <w:tcW w:w="1200" w:type="dxa"/>
            <w:tcBorders>
              <w:top w:val="nil"/>
              <w:left w:val="nil"/>
              <w:bottom w:val="single" w:sz="4" w:space="0" w:color="auto"/>
              <w:right w:val="single" w:sz="4" w:space="0" w:color="auto"/>
            </w:tcBorders>
            <w:noWrap/>
            <w:vAlign w:val="bottom"/>
            <w:hideMark/>
          </w:tcPr>
          <w:p w14:paraId="162E898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19,41</w:t>
            </w:r>
          </w:p>
        </w:tc>
        <w:tc>
          <w:tcPr>
            <w:tcW w:w="572" w:type="dxa"/>
            <w:tcBorders>
              <w:top w:val="nil"/>
              <w:left w:val="nil"/>
              <w:bottom w:val="single" w:sz="4" w:space="0" w:color="auto"/>
              <w:right w:val="single" w:sz="4" w:space="0" w:color="auto"/>
            </w:tcBorders>
            <w:noWrap/>
            <w:vAlign w:val="bottom"/>
            <w:hideMark/>
          </w:tcPr>
          <w:p w14:paraId="125EF1B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28" w:type="dxa"/>
            <w:tcBorders>
              <w:top w:val="nil"/>
              <w:left w:val="nil"/>
              <w:bottom w:val="single" w:sz="4" w:space="0" w:color="auto"/>
              <w:right w:val="single" w:sz="4" w:space="0" w:color="auto"/>
            </w:tcBorders>
            <w:noWrap/>
            <w:vAlign w:val="bottom"/>
            <w:hideMark/>
          </w:tcPr>
          <w:p w14:paraId="5F6B9BA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0,82</w:t>
            </w:r>
          </w:p>
        </w:tc>
        <w:tc>
          <w:tcPr>
            <w:tcW w:w="1200" w:type="dxa"/>
            <w:tcBorders>
              <w:top w:val="nil"/>
              <w:left w:val="nil"/>
              <w:bottom w:val="single" w:sz="4" w:space="0" w:color="auto"/>
              <w:right w:val="single" w:sz="4" w:space="0" w:color="auto"/>
            </w:tcBorders>
            <w:noWrap/>
            <w:vAlign w:val="bottom"/>
            <w:hideMark/>
          </w:tcPr>
          <w:p w14:paraId="3E3F028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1251AD7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08F56E04" w14:textId="77777777" w:rsidR="00023192" w:rsidRDefault="00F4724C" w:rsidP="00023192">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1694" w:name="_Toc79314087"/>
    </w:p>
    <w:p w14:paraId="6400036C" w14:textId="77777777" w:rsidR="00C20C81" w:rsidRDefault="00C20C81" w:rsidP="00023192">
      <w:pPr>
        <w:autoSpaceDE w:val="0"/>
        <w:autoSpaceDN w:val="0"/>
        <w:adjustRightInd w:val="0"/>
        <w:spacing w:before="360" w:after="0" w:line="360" w:lineRule="auto"/>
        <w:rPr>
          <w:rFonts w:cs="Times New Roman"/>
          <w:b/>
          <w:szCs w:val="24"/>
        </w:rPr>
      </w:pPr>
      <w:r>
        <w:rPr>
          <w:rFonts w:cs="Times New Roman"/>
          <w:b/>
          <w:szCs w:val="24"/>
        </w:rPr>
        <w:br w:type="page"/>
      </w:r>
    </w:p>
    <w:p w14:paraId="447A3B52" w14:textId="6F6B0A9C" w:rsidR="002F2624" w:rsidRPr="00023192" w:rsidRDefault="002F2624" w:rsidP="00023192">
      <w:pPr>
        <w:autoSpaceDE w:val="0"/>
        <w:autoSpaceDN w:val="0"/>
        <w:adjustRightInd w:val="0"/>
        <w:spacing w:before="360" w:after="0" w:line="360" w:lineRule="auto"/>
        <w:rPr>
          <w:rFonts w:cs="Times New Roman"/>
          <w:szCs w:val="24"/>
        </w:rPr>
      </w:pPr>
      <w:r w:rsidRPr="002F2624">
        <w:rPr>
          <w:rFonts w:cs="Times New Roman"/>
          <w:b/>
          <w:szCs w:val="24"/>
        </w:rPr>
        <w:lastRenderedPageBreak/>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95</w:t>
      </w:r>
      <w:r w:rsidRPr="002F2624">
        <w:rPr>
          <w:rFonts w:cs="Times New Roman"/>
          <w:b/>
          <w:i/>
          <w:iCs/>
          <w:szCs w:val="24"/>
        </w:rPr>
        <w:fldChar w:fldCharType="end"/>
      </w:r>
      <w:r w:rsidRPr="002F2624">
        <w:rPr>
          <w:rFonts w:cs="Times New Roman"/>
          <w:b/>
          <w:szCs w:val="24"/>
        </w:rPr>
        <w:t>.</w:t>
      </w:r>
      <w:r w:rsidRPr="002F2624">
        <w:rPr>
          <w:rFonts w:cs="Times New Roman"/>
          <w:szCs w:val="24"/>
        </w:rPr>
        <w:t xml:space="preserve"> Absorción total de magnesio para diversas dosis de nitrógeno evaluadas en la provincia de Chimborazo 2012-2014.</w:t>
      </w:r>
      <w:bookmarkEnd w:id="1694"/>
    </w:p>
    <w:tbl>
      <w:tblPr>
        <w:tblW w:w="7650" w:type="dxa"/>
        <w:jc w:val="center"/>
        <w:tblCellMar>
          <w:left w:w="70" w:type="dxa"/>
          <w:right w:w="70" w:type="dxa"/>
        </w:tblCellMar>
        <w:tblLook w:val="04A0" w:firstRow="1" w:lastRow="0" w:firstColumn="1" w:lastColumn="0" w:noHBand="0" w:noVBand="1"/>
      </w:tblPr>
      <w:tblGrid>
        <w:gridCol w:w="1980"/>
        <w:gridCol w:w="1701"/>
        <w:gridCol w:w="709"/>
        <w:gridCol w:w="1701"/>
        <w:gridCol w:w="1559"/>
      </w:tblGrid>
      <w:tr w:rsidR="00F4724C" w14:paraId="7D4F3DFF" w14:textId="77777777" w:rsidTr="00023192">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482CF23"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701" w:type="dxa"/>
            <w:tcBorders>
              <w:top w:val="single" w:sz="4" w:space="0" w:color="auto"/>
              <w:left w:val="nil"/>
              <w:bottom w:val="single" w:sz="4" w:space="0" w:color="auto"/>
              <w:right w:val="single" w:sz="4" w:space="0" w:color="auto"/>
            </w:tcBorders>
            <w:noWrap/>
            <w:vAlign w:val="bottom"/>
            <w:hideMark/>
          </w:tcPr>
          <w:p w14:paraId="0951511A"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p w14:paraId="0FA11A28"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 xml:space="preserve"> Mg</w:t>
            </w:r>
          </w:p>
        </w:tc>
        <w:tc>
          <w:tcPr>
            <w:tcW w:w="709" w:type="dxa"/>
            <w:tcBorders>
              <w:top w:val="single" w:sz="4" w:space="0" w:color="auto"/>
              <w:left w:val="nil"/>
              <w:bottom w:val="single" w:sz="4" w:space="0" w:color="auto"/>
              <w:right w:val="single" w:sz="4" w:space="0" w:color="auto"/>
            </w:tcBorders>
            <w:noWrap/>
            <w:vAlign w:val="bottom"/>
            <w:hideMark/>
          </w:tcPr>
          <w:p w14:paraId="32751D7D"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01" w:type="dxa"/>
            <w:tcBorders>
              <w:top w:val="single" w:sz="4" w:space="0" w:color="auto"/>
              <w:left w:val="nil"/>
              <w:bottom w:val="single" w:sz="4" w:space="0" w:color="auto"/>
              <w:right w:val="single" w:sz="4" w:space="0" w:color="auto"/>
            </w:tcBorders>
            <w:noWrap/>
            <w:vAlign w:val="bottom"/>
            <w:hideMark/>
          </w:tcPr>
          <w:p w14:paraId="51F91DA6"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559" w:type="dxa"/>
            <w:tcBorders>
              <w:top w:val="single" w:sz="4" w:space="0" w:color="auto"/>
              <w:left w:val="nil"/>
              <w:bottom w:val="single" w:sz="4" w:space="0" w:color="auto"/>
              <w:right w:val="single" w:sz="4" w:space="0" w:color="auto"/>
            </w:tcBorders>
            <w:noWrap/>
            <w:vAlign w:val="bottom"/>
            <w:hideMark/>
          </w:tcPr>
          <w:p w14:paraId="5CF34FF4"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Lsd 0,05 </w:t>
            </w:r>
          </w:p>
        </w:tc>
      </w:tr>
      <w:tr w:rsidR="00F4724C" w14:paraId="0B22703A" w14:textId="77777777" w:rsidTr="00023192">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40A513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1701" w:type="dxa"/>
            <w:tcBorders>
              <w:top w:val="nil"/>
              <w:left w:val="nil"/>
              <w:bottom w:val="single" w:sz="4" w:space="0" w:color="auto"/>
              <w:right w:val="single" w:sz="4" w:space="0" w:color="auto"/>
            </w:tcBorders>
            <w:noWrap/>
            <w:vAlign w:val="bottom"/>
            <w:hideMark/>
          </w:tcPr>
          <w:p w14:paraId="7ADB05F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14,31</w:t>
            </w:r>
          </w:p>
        </w:tc>
        <w:tc>
          <w:tcPr>
            <w:tcW w:w="709" w:type="dxa"/>
            <w:tcBorders>
              <w:top w:val="nil"/>
              <w:left w:val="nil"/>
              <w:bottom w:val="single" w:sz="4" w:space="0" w:color="auto"/>
              <w:right w:val="single" w:sz="4" w:space="0" w:color="auto"/>
            </w:tcBorders>
            <w:noWrap/>
            <w:vAlign w:val="bottom"/>
            <w:hideMark/>
          </w:tcPr>
          <w:p w14:paraId="3F81DF0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01" w:type="dxa"/>
            <w:tcBorders>
              <w:top w:val="nil"/>
              <w:left w:val="nil"/>
              <w:bottom w:val="single" w:sz="4" w:space="0" w:color="auto"/>
              <w:right w:val="single" w:sz="4" w:space="0" w:color="auto"/>
            </w:tcBorders>
            <w:noWrap/>
            <w:vAlign w:val="bottom"/>
            <w:hideMark/>
          </w:tcPr>
          <w:p w14:paraId="7454FB6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2,82</w:t>
            </w:r>
          </w:p>
        </w:tc>
        <w:tc>
          <w:tcPr>
            <w:tcW w:w="1559" w:type="dxa"/>
            <w:tcBorders>
              <w:top w:val="nil"/>
              <w:left w:val="nil"/>
              <w:bottom w:val="single" w:sz="4" w:space="0" w:color="auto"/>
              <w:right w:val="single" w:sz="4" w:space="0" w:color="auto"/>
            </w:tcBorders>
            <w:noWrap/>
            <w:vAlign w:val="bottom"/>
            <w:hideMark/>
          </w:tcPr>
          <w:p w14:paraId="7B3DC10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F4724C" w14:paraId="141C105F" w14:textId="77777777" w:rsidTr="00023192">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338165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701" w:type="dxa"/>
            <w:tcBorders>
              <w:top w:val="nil"/>
              <w:left w:val="nil"/>
              <w:bottom w:val="single" w:sz="4" w:space="0" w:color="auto"/>
              <w:right w:val="single" w:sz="4" w:space="0" w:color="auto"/>
            </w:tcBorders>
            <w:noWrap/>
            <w:vAlign w:val="bottom"/>
            <w:hideMark/>
          </w:tcPr>
          <w:p w14:paraId="59BE0D6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14,74</w:t>
            </w:r>
          </w:p>
        </w:tc>
        <w:tc>
          <w:tcPr>
            <w:tcW w:w="709" w:type="dxa"/>
            <w:tcBorders>
              <w:top w:val="nil"/>
              <w:left w:val="nil"/>
              <w:bottom w:val="single" w:sz="4" w:space="0" w:color="auto"/>
              <w:right w:val="single" w:sz="4" w:space="0" w:color="auto"/>
            </w:tcBorders>
            <w:noWrap/>
            <w:vAlign w:val="bottom"/>
            <w:hideMark/>
          </w:tcPr>
          <w:p w14:paraId="6B15F82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w:t>
            </w:r>
          </w:p>
        </w:tc>
        <w:tc>
          <w:tcPr>
            <w:tcW w:w="1701" w:type="dxa"/>
            <w:tcBorders>
              <w:top w:val="nil"/>
              <w:left w:val="nil"/>
              <w:bottom w:val="single" w:sz="4" w:space="0" w:color="auto"/>
              <w:right w:val="single" w:sz="4" w:space="0" w:color="auto"/>
            </w:tcBorders>
            <w:noWrap/>
            <w:vAlign w:val="bottom"/>
            <w:hideMark/>
          </w:tcPr>
          <w:p w14:paraId="44DE873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c>
          <w:tcPr>
            <w:tcW w:w="1559" w:type="dxa"/>
            <w:tcBorders>
              <w:top w:val="nil"/>
              <w:left w:val="nil"/>
              <w:bottom w:val="single" w:sz="4" w:space="0" w:color="auto"/>
              <w:right w:val="single" w:sz="4" w:space="0" w:color="auto"/>
            </w:tcBorders>
            <w:noWrap/>
            <w:vAlign w:val="bottom"/>
            <w:hideMark/>
          </w:tcPr>
          <w:p w14:paraId="27F599D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F4724C" w14:paraId="24F10F34" w14:textId="77777777" w:rsidTr="00023192">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3ACCDA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1701" w:type="dxa"/>
            <w:tcBorders>
              <w:top w:val="nil"/>
              <w:left w:val="nil"/>
              <w:bottom w:val="single" w:sz="4" w:space="0" w:color="auto"/>
              <w:right w:val="single" w:sz="4" w:space="0" w:color="auto"/>
            </w:tcBorders>
            <w:noWrap/>
            <w:vAlign w:val="bottom"/>
            <w:hideMark/>
          </w:tcPr>
          <w:p w14:paraId="6759470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16,85</w:t>
            </w:r>
          </w:p>
        </w:tc>
        <w:tc>
          <w:tcPr>
            <w:tcW w:w="709" w:type="dxa"/>
            <w:tcBorders>
              <w:top w:val="nil"/>
              <w:left w:val="nil"/>
              <w:bottom w:val="single" w:sz="4" w:space="0" w:color="auto"/>
              <w:right w:val="single" w:sz="4" w:space="0" w:color="auto"/>
            </w:tcBorders>
            <w:noWrap/>
            <w:vAlign w:val="bottom"/>
            <w:hideMark/>
          </w:tcPr>
          <w:p w14:paraId="67075B9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1701" w:type="dxa"/>
            <w:tcBorders>
              <w:top w:val="nil"/>
              <w:left w:val="nil"/>
              <w:bottom w:val="single" w:sz="4" w:space="0" w:color="auto"/>
              <w:right w:val="single" w:sz="4" w:space="0" w:color="auto"/>
            </w:tcBorders>
            <w:noWrap/>
            <w:vAlign w:val="bottom"/>
            <w:hideMark/>
          </w:tcPr>
          <w:p w14:paraId="2052A87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0,78</w:t>
            </w:r>
          </w:p>
        </w:tc>
        <w:tc>
          <w:tcPr>
            <w:tcW w:w="1559" w:type="dxa"/>
            <w:tcBorders>
              <w:top w:val="nil"/>
              <w:left w:val="nil"/>
              <w:bottom w:val="single" w:sz="4" w:space="0" w:color="auto"/>
              <w:right w:val="single" w:sz="4" w:space="0" w:color="auto"/>
            </w:tcBorders>
            <w:noWrap/>
            <w:vAlign w:val="bottom"/>
            <w:hideMark/>
          </w:tcPr>
          <w:p w14:paraId="1E14F46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F4724C" w14:paraId="2F21D9BC" w14:textId="77777777" w:rsidTr="00023192">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EE0F41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701" w:type="dxa"/>
            <w:tcBorders>
              <w:top w:val="nil"/>
              <w:left w:val="nil"/>
              <w:bottom w:val="single" w:sz="4" w:space="0" w:color="auto"/>
              <w:right w:val="single" w:sz="4" w:space="0" w:color="auto"/>
            </w:tcBorders>
            <w:noWrap/>
            <w:vAlign w:val="bottom"/>
            <w:hideMark/>
          </w:tcPr>
          <w:p w14:paraId="26FFF02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18,77</w:t>
            </w:r>
          </w:p>
        </w:tc>
        <w:tc>
          <w:tcPr>
            <w:tcW w:w="709" w:type="dxa"/>
            <w:tcBorders>
              <w:top w:val="nil"/>
              <w:left w:val="nil"/>
              <w:bottom w:val="single" w:sz="4" w:space="0" w:color="auto"/>
              <w:right w:val="single" w:sz="4" w:space="0" w:color="auto"/>
            </w:tcBorders>
            <w:noWrap/>
            <w:vAlign w:val="bottom"/>
            <w:hideMark/>
          </w:tcPr>
          <w:p w14:paraId="43AD59B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01" w:type="dxa"/>
            <w:tcBorders>
              <w:top w:val="nil"/>
              <w:left w:val="nil"/>
              <w:bottom w:val="single" w:sz="4" w:space="0" w:color="auto"/>
              <w:right w:val="single" w:sz="4" w:space="0" w:color="auto"/>
            </w:tcBorders>
            <w:noWrap/>
            <w:vAlign w:val="bottom"/>
            <w:hideMark/>
          </w:tcPr>
          <w:p w14:paraId="6C58A9B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2,82</w:t>
            </w:r>
          </w:p>
        </w:tc>
        <w:tc>
          <w:tcPr>
            <w:tcW w:w="1559" w:type="dxa"/>
            <w:tcBorders>
              <w:top w:val="nil"/>
              <w:left w:val="nil"/>
              <w:bottom w:val="single" w:sz="4" w:space="0" w:color="auto"/>
              <w:right w:val="single" w:sz="4" w:space="0" w:color="auto"/>
            </w:tcBorders>
            <w:noWrap/>
            <w:vAlign w:val="bottom"/>
            <w:hideMark/>
          </w:tcPr>
          <w:p w14:paraId="207477B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F4724C" w14:paraId="5A6AFF83" w14:textId="77777777" w:rsidTr="00023192">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0AADFD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1701" w:type="dxa"/>
            <w:tcBorders>
              <w:top w:val="nil"/>
              <w:left w:val="nil"/>
              <w:bottom w:val="single" w:sz="4" w:space="0" w:color="auto"/>
              <w:right w:val="single" w:sz="4" w:space="0" w:color="auto"/>
            </w:tcBorders>
            <w:noWrap/>
            <w:vAlign w:val="bottom"/>
            <w:hideMark/>
          </w:tcPr>
          <w:p w14:paraId="765AB73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18,78</w:t>
            </w:r>
          </w:p>
        </w:tc>
        <w:tc>
          <w:tcPr>
            <w:tcW w:w="709" w:type="dxa"/>
            <w:tcBorders>
              <w:top w:val="nil"/>
              <w:left w:val="nil"/>
              <w:bottom w:val="single" w:sz="4" w:space="0" w:color="auto"/>
              <w:right w:val="single" w:sz="4" w:space="0" w:color="auto"/>
            </w:tcBorders>
            <w:noWrap/>
            <w:vAlign w:val="bottom"/>
            <w:hideMark/>
          </w:tcPr>
          <w:p w14:paraId="1134817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01" w:type="dxa"/>
            <w:tcBorders>
              <w:top w:val="nil"/>
              <w:left w:val="nil"/>
              <w:bottom w:val="single" w:sz="4" w:space="0" w:color="auto"/>
              <w:right w:val="single" w:sz="4" w:space="0" w:color="auto"/>
            </w:tcBorders>
            <w:noWrap/>
            <w:vAlign w:val="bottom"/>
            <w:hideMark/>
          </w:tcPr>
          <w:p w14:paraId="2657980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2,82</w:t>
            </w:r>
          </w:p>
        </w:tc>
        <w:tc>
          <w:tcPr>
            <w:tcW w:w="1559" w:type="dxa"/>
            <w:tcBorders>
              <w:top w:val="nil"/>
              <w:left w:val="nil"/>
              <w:bottom w:val="single" w:sz="4" w:space="0" w:color="auto"/>
              <w:right w:val="single" w:sz="4" w:space="0" w:color="auto"/>
            </w:tcBorders>
            <w:noWrap/>
            <w:vAlign w:val="bottom"/>
            <w:hideMark/>
          </w:tcPr>
          <w:p w14:paraId="09714B8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F4724C" w14:paraId="039AAB67" w14:textId="77777777" w:rsidTr="00023192">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5D9286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1701" w:type="dxa"/>
            <w:tcBorders>
              <w:top w:val="nil"/>
              <w:left w:val="nil"/>
              <w:bottom w:val="single" w:sz="4" w:space="0" w:color="auto"/>
              <w:right w:val="single" w:sz="4" w:space="0" w:color="auto"/>
            </w:tcBorders>
            <w:noWrap/>
            <w:vAlign w:val="bottom"/>
            <w:hideMark/>
          </w:tcPr>
          <w:p w14:paraId="06EF827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20,54</w:t>
            </w:r>
          </w:p>
        </w:tc>
        <w:tc>
          <w:tcPr>
            <w:tcW w:w="709" w:type="dxa"/>
            <w:tcBorders>
              <w:top w:val="nil"/>
              <w:left w:val="nil"/>
              <w:bottom w:val="single" w:sz="4" w:space="0" w:color="auto"/>
              <w:right w:val="single" w:sz="4" w:space="0" w:color="auto"/>
            </w:tcBorders>
            <w:noWrap/>
            <w:vAlign w:val="bottom"/>
            <w:hideMark/>
          </w:tcPr>
          <w:p w14:paraId="2D6BAAB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01" w:type="dxa"/>
            <w:tcBorders>
              <w:top w:val="nil"/>
              <w:left w:val="nil"/>
              <w:bottom w:val="single" w:sz="4" w:space="0" w:color="auto"/>
              <w:right w:val="single" w:sz="4" w:space="0" w:color="auto"/>
            </w:tcBorders>
            <w:noWrap/>
            <w:vAlign w:val="bottom"/>
            <w:hideMark/>
          </w:tcPr>
          <w:p w14:paraId="16806EB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2,82</w:t>
            </w:r>
          </w:p>
        </w:tc>
        <w:tc>
          <w:tcPr>
            <w:tcW w:w="1559" w:type="dxa"/>
            <w:tcBorders>
              <w:top w:val="nil"/>
              <w:left w:val="nil"/>
              <w:bottom w:val="single" w:sz="4" w:space="0" w:color="auto"/>
              <w:right w:val="single" w:sz="4" w:space="0" w:color="auto"/>
            </w:tcBorders>
            <w:noWrap/>
            <w:vAlign w:val="bottom"/>
            <w:hideMark/>
          </w:tcPr>
          <w:p w14:paraId="58244C94"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F4724C" w14:paraId="2ED00272" w14:textId="77777777" w:rsidTr="00023192">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FAE358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1701" w:type="dxa"/>
            <w:tcBorders>
              <w:top w:val="nil"/>
              <w:left w:val="nil"/>
              <w:bottom w:val="single" w:sz="4" w:space="0" w:color="auto"/>
              <w:right w:val="single" w:sz="4" w:space="0" w:color="auto"/>
            </w:tcBorders>
            <w:noWrap/>
            <w:vAlign w:val="bottom"/>
            <w:hideMark/>
          </w:tcPr>
          <w:p w14:paraId="39487534"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20,9</w:t>
            </w:r>
          </w:p>
        </w:tc>
        <w:tc>
          <w:tcPr>
            <w:tcW w:w="709" w:type="dxa"/>
            <w:tcBorders>
              <w:top w:val="nil"/>
              <w:left w:val="nil"/>
              <w:bottom w:val="single" w:sz="4" w:space="0" w:color="auto"/>
              <w:right w:val="single" w:sz="4" w:space="0" w:color="auto"/>
            </w:tcBorders>
            <w:noWrap/>
            <w:vAlign w:val="bottom"/>
            <w:hideMark/>
          </w:tcPr>
          <w:p w14:paraId="2BC51AB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701" w:type="dxa"/>
            <w:tcBorders>
              <w:top w:val="nil"/>
              <w:left w:val="nil"/>
              <w:bottom w:val="single" w:sz="4" w:space="0" w:color="auto"/>
              <w:right w:val="single" w:sz="4" w:space="0" w:color="auto"/>
            </w:tcBorders>
            <w:noWrap/>
            <w:vAlign w:val="bottom"/>
            <w:hideMark/>
          </w:tcPr>
          <w:p w14:paraId="439EBB9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0,53</w:t>
            </w:r>
          </w:p>
        </w:tc>
        <w:tc>
          <w:tcPr>
            <w:tcW w:w="1559" w:type="dxa"/>
            <w:tcBorders>
              <w:top w:val="nil"/>
              <w:left w:val="nil"/>
              <w:bottom w:val="single" w:sz="4" w:space="0" w:color="auto"/>
              <w:right w:val="single" w:sz="4" w:space="0" w:color="auto"/>
            </w:tcBorders>
            <w:noWrap/>
            <w:vAlign w:val="bottom"/>
            <w:hideMark/>
          </w:tcPr>
          <w:p w14:paraId="3B906DC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F4724C" w14:paraId="1627AF61" w14:textId="77777777" w:rsidTr="00023192">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CFAAE1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1701" w:type="dxa"/>
            <w:tcBorders>
              <w:top w:val="nil"/>
              <w:left w:val="nil"/>
              <w:bottom w:val="single" w:sz="4" w:space="0" w:color="auto"/>
              <w:right w:val="single" w:sz="4" w:space="0" w:color="auto"/>
            </w:tcBorders>
            <w:noWrap/>
            <w:vAlign w:val="bottom"/>
            <w:hideMark/>
          </w:tcPr>
          <w:p w14:paraId="37F6CBE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21,91</w:t>
            </w:r>
          </w:p>
        </w:tc>
        <w:tc>
          <w:tcPr>
            <w:tcW w:w="709" w:type="dxa"/>
            <w:tcBorders>
              <w:top w:val="nil"/>
              <w:left w:val="nil"/>
              <w:bottom w:val="single" w:sz="4" w:space="0" w:color="auto"/>
              <w:right w:val="single" w:sz="4" w:space="0" w:color="auto"/>
            </w:tcBorders>
            <w:noWrap/>
            <w:vAlign w:val="bottom"/>
            <w:hideMark/>
          </w:tcPr>
          <w:p w14:paraId="11F850E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01" w:type="dxa"/>
            <w:tcBorders>
              <w:top w:val="nil"/>
              <w:left w:val="nil"/>
              <w:bottom w:val="single" w:sz="4" w:space="0" w:color="auto"/>
              <w:right w:val="single" w:sz="4" w:space="0" w:color="auto"/>
            </w:tcBorders>
            <w:noWrap/>
            <w:vAlign w:val="bottom"/>
            <w:hideMark/>
          </w:tcPr>
          <w:p w14:paraId="7E438EE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2,82</w:t>
            </w:r>
          </w:p>
        </w:tc>
        <w:tc>
          <w:tcPr>
            <w:tcW w:w="1559" w:type="dxa"/>
            <w:tcBorders>
              <w:top w:val="nil"/>
              <w:left w:val="nil"/>
              <w:bottom w:val="single" w:sz="4" w:space="0" w:color="auto"/>
              <w:right w:val="single" w:sz="4" w:space="0" w:color="auto"/>
            </w:tcBorders>
            <w:noWrap/>
            <w:vAlign w:val="bottom"/>
            <w:hideMark/>
          </w:tcPr>
          <w:p w14:paraId="00CEBCA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bl>
    <w:p w14:paraId="23C58B75" w14:textId="77777777" w:rsidR="00023192" w:rsidRDefault="00F4724C" w:rsidP="00023192">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1695" w:name="_Toc79314088"/>
    </w:p>
    <w:p w14:paraId="72D1718F" w14:textId="4774C76B" w:rsidR="002F2624" w:rsidRPr="00023192" w:rsidRDefault="002F2624" w:rsidP="00023192">
      <w:pPr>
        <w:autoSpaceDE w:val="0"/>
        <w:autoSpaceDN w:val="0"/>
        <w:adjustRightInd w:val="0"/>
        <w:spacing w:before="360" w:after="0" w:line="360" w:lineRule="auto"/>
        <w:rPr>
          <w:rFonts w:cs="Times New Roman"/>
          <w:szCs w:val="24"/>
        </w:rPr>
      </w:pPr>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96</w:t>
      </w:r>
      <w:r w:rsidRPr="002F2624">
        <w:rPr>
          <w:rFonts w:cs="Times New Roman"/>
          <w:b/>
          <w:i/>
          <w:iCs/>
          <w:szCs w:val="24"/>
        </w:rPr>
        <w:fldChar w:fldCharType="end"/>
      </w:r>
      <w:r w:rsidRPr="002F2624">
        <w:rPr>
          <w:rFonts w:cs="Times New Roman"/>
          <w:b/>
          <w:szCs w:val="24"/>
        </w:rPr>
        <w:t>.</w:t>
      </w:r>
      <w:r w:rsidRPr="002F2624">
        <w:rPr>
          <w:rFonts w:cs="Times New Roman"/>
          <w:szCs w:val="24"/>
        </w:rPr>
        <w:t xml:space="preserve"> Absorción total de magnesio para diversas dosis de fósforo evaluadas en la provincia de Chimborazo 2012-2014.</w:t>
      </w:r>
      <w:bookmarkEnd w:id="1695"/>
    </w:p>
    <w:tbl>
      <w:tblPr>
        <w:tblW w:w="5000" w:type="pct"/>
        <w:jc w:val="center"/>
        <w:tblCellMar>
          <w:left w:w="70" w:type="dxa"/>
          <w:right w:w="70" w:type="dxa"/>
        </w:tblCellMar>
        <w:tblLook w:val="04A0" w:firstRow="1" w:lastRow="0" w:firstColumn="1" w:lastColumn="0" w:noHBand="0" w:noVBand="1"/>
      </w:tblPr>
      <w:tblGrid>
        <w:gridCol w:w="1895"/>
        <w:gridCol w:w="887"/>
        <w:gridCol w:w="445"/>
        <w:gridCol w:w="1967"/>
        <w:gridCol w:w="787"/>
        <w:gridCol w:w="1127"/>
        <w:gridCol w:w="819"/>
      </w:tblGrid>
      <w:tr w:rsidR="00F4724C" w14:paraId="6DBD951F" w14:textId="77777777" w:rsidTr="002F2624">
        <w:trPr>
          <w:trHeight w:val="300"/>
          <w:jc w:val="center"/>
        </w:trPr>
        <w:tc>
          <w:tcPr>
            <w:tcW w:w="1210" w:type="pct"/>
            <w:tcBorders>
              <w:top w:val="single" w:sz="4" w:space="0" w:color="auto"/>
              <w:left w:val="single" w:sz="4" w:space="0" w:color="auto"/>
              <w:bottom w:val="single" w:sz="4" w:space="0" w:color="auto"/>
              <w:right w:val="single" w:sz="4" w:space="0" w:color="auto"/>
            </w:tcBorders>
            <w:noWrap/>
            <w:vAlign w:val="bottom"/>
            <w:hideMark/>
          </w:tcPr>
          <w:p w14:paraId="44447ECA"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34" w:type="pct"/>
            <w:tcBorders>
              <w:top w:val="single" w:sz="4" w:space="0" w:color="auto"/>
              <w:left w:val="nil"/>
              <w:bottom w:val="single" w:sz="4" w:space="0" w:color="auto"/>
              <w:right w:val="single" w:sz="4" w:space="0" w:color="auto"/>
            </w:tcBorders>
            <w:noWrap/>
            <w:vAlign w:val="bottom"/>
            <w:hideMark/>
          </w:tcPr>
          <w:p w14:paraId="12C0D2F1"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295" w:type="pct"/>
            <w:tcBorders>
              <w:top w:val="single" w:sz="4" w:space="0" w:color="auto"/>
              <w:left w:val="nil"/>
              <w:bottom w:val="single" w:sz="4" w:space="0" w:color="auto"/>
              <w:right w:val="single" w:sz="4" w:space="0" w:color="auto"/>
            </w:tcBorders>
            <w:noWrap/>
            <w:vAlign w:val="bottom"/>
            <w:hideMark/>
          </w:tcPr>
          <w:p w14:paraId="0A692CF0"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255" w:type="pct"/>
            <w:tcBorders>
              <w:top w:val="single" w:sz="4" w:space="0" w:color="auto"/>
              <w:left w:val="nil"/>
              <w:bottom w:val="single" w:sz="4" w:space="0" w:color="auto"/>
              <w:right w:val="single" w:sz="4" w:space="0" w:color="auto"/>
            </w:tcBorders>
            <w:noWrap/>
            <w:vAlign w:val="bottom"/>
            <w:hideMark/>
          </w:tcPr>
          <w:p w14:paraId="7FEDAE4D"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511" w:type="pct"/>
            <w:tcBorders>
              <w:top w:val="single" w:sz="4" w:space="0" w:color="auto"/>
              <w:left w:val="single" w:sz="4" w:space="0" w:color="auto"/>
              <w:bottom w:val="single" w:sz="4" w:space="0" w:color="auto"/>
              <w:right w:val="nil"/>
            </w:tcBorders>
            <w:noWrap/>
            <w:vAlign w:val="bottom"/>
            <w:hideMark/>
          </w:tcPr>
          <w:p w14:paraId="5C44CC3D"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663" w:type="pct"/>
            <w:tcBorders>
              <w:top w:val="single" w:sz="4" w:space="0" w:color="auto"/>
              <w:left w:val="nil"/>
              <w:bottom w:val="single" w:sz="4" w:space="0" w:color="auto"/>
              <w:right w:val="nil"/>
            </w:tcBorders>
            <w:noWrap/>
            <w:vAlign w:val="bottom"/>
            <w:hideMark/>
          </w:tcPr>
          <w:p w14:paraId="565C1B32"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Lsd 0,05</w:t>
            </w:r>
          </w:p>
        </w:tc>
        <w:tc>
          <w:tcPr>
            <w:tcW w:w="531" w:type="pct"/>
            <w:tcBorders>
              <w:top w:val="single" w:sz="4" w:space="0" w:color="auto"/>
              <w:left w:val="nil"/>
              <w:bottom w:val="single" w:sz="4" w:space="0" w:color="auto"/>
              <w:right w:val="single" w:sz="4" w:space="0" w:color="auto"/>
            </w:tcBorders>
            <w:noWrap/>
            <w:vAlign w:val="bottom"/>
            <w:hideMark/>
          </w:tcPr>
          <w:p w14:paraId="268C419B"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F4724C" w14:paraId="184D84F0" w14:textId="77777777" w:rsidTr="002F2624">
        <w:trPr>
          <w:trHeight w:val="300"/>
          <w:jc w:val="center"/>
        </w:trPr>
        <w:tc>
          <w:tcPr>
            <w:tcW w:w="1210" w:type="pct"/>
            <w:tcBorders>
              <w:top w:val="nil"/>
              <w:left w:val="single" w:sz="4" w:space="0" w:color="auto"/>
              <w:bottom w:val="single" w:sz="4" w:space="0" w:color="auto"/>
              <w:right w:val="single" w:sz="4" w:space="0" w:color="auto"/>
            </w:tcBorders>
            <w:noWrap/>
            <w:vAlign w:val="bottom"/>
            <w:hideMark/>
          </w:tcPr>
          <w:p w14:paraId="1D0EC0D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534" w:type="pct"/>
            <w:tcBorders>
              <w:top w:val="nil"/>
              <w:left w:val="nil"/>
              <w:bottom w:val="single" w:sz="4" w:space="0" w:color="auto"/>
              <w:right w:val="single" w:sz="4" w:space="0" w:color="auto"/>
            </w:tcBorders>
            <w:noWrap/>
            <w:vAlign w:val="bottom"/>
            <w:hideMark/>
          </w:tcPr>
          <w:p w14:paraId="5A08FE9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12,34</w:t>
            </w:r>
          </w:p>
        </w:tc>
        <w:tc>
          <w:tcPr>
            <w:tcW w:w="295" w:type="pct"/>
            <w:tcBorders>
              <w:top w:val="nil"/>
              <w:left w:val="nil"/>
              <w:bottom w:val="single" w:sz="4" w:space="0" w:color="auto"/>
              <w:right w:val="single" w:sz="4" w:space="0" w:color="auto"/>
            </w:tcBorders>
            <w:noWrap/>
            <w:vAlign w:val="bottom"/>
            <w:hideMark/>
          </w:tcPr>
          <w:p w14:paraId="261C358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255" w:type="pct"/>
            <w:tcBorders>
              <w:top w:val="nil"/>
              <w:left w:val="nil"/>
              <w:bottom w:val="single" w:sz="4" w:space="0" w:color="auto"/>
              <w:right w:val="single" w:sz="4" w:space="0" w:color="auto"/>
            </w:tcBorders>
            <w:noWrap/>
            <w:vAlign w:val="bottom"/>
            <w:hideMark/>
          </w:tcPr>
          <w:p w14:paraId="233D94B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511" w:type="pct"/>
            <w:tcBorders>
              <w:top w:val="single" w:sz="4" w:space="0" w:color="auto"/>
              <w:left w:val="nil"/>
              <w:bottom w:val="single" w:sz="4" w:space="0" w:color="auto"/>
              <w:right w:val="single" w:sz="4" w:space="0" w:color="auto"/>
            </w:tcBorders>
            <w:noWrap/>
            <w:vAlign w:val="bottom"/>
            <w:hideMark/>
          </w:tcPr>
          <w:p w14:paraId="0C7F1E2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63" w:type="pct"/>
            <w:tcBorders>
              <w:top w:val="single" w:sz="4" w:space="0" w:color="auto"/>
              <w:left w:val="nil"/>
              <w:bottom w:val="single" w:sz="4" w:space="0" w:color="auto"/>
              <w:right w:val="single" w:sz="4" w:space="0" w:color="auto"/>
            </w:tcBorders>
            <w:noWrap/>
            <w:vAlign w:val="bottom"/>
            <w:hideMark/>
          </w:tcPr>
          <w:p w14:paraId="03B57B3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31" w:type="pct"/>
            <w:tcBorders>
              <w:top w:val="single" w:sz="4" w:space="0" w:color="auto"/>
              <w:left w:val="nil"/>
              <w:bottom w:val="single" w:sz="4" w:space="0" w:color="auto"/>
              <w:right w:val="single" w:sz="4" w:space="0" w:color="auto"/>
            </w:tcBorders>
            <w:noWrap/>
            <w:vAlign w:val="bottom"/>
            <w:hideMark/>
          </w:tcPr>
          <w:p w14:paraId="6443CE4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02402570" w14:textId="77777777" w:rsidTr="002F2624">
        <w:trPr>
          <w:trHeight w:val="300"/>
          <w:jc w:val="center"/>
        </w:trPr>
        <w:tc>
          <w:tcPr>
            <w:tcW w:w="1210" w:type="pct"/>
            <w:tcBorders>
              <w:top w:val="nil"/>
              <w:left w:val="single" w:sz="4" w:space="0" w:color="auto"/>
              <w:bottom w:val="single" w:sz="4" w:space="0" w:color="auto"/>
              <w:right w:val="single" w:sz="4" w:space="0" w:color="auto"/>
            </w:tcBorders>
            <w:noWrap/>
            <w:vAlign w:val="bottom"/>
            <w:hideMark/>
          </w:tcPr>
          <w:p w14:paraId="70F1AA6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534" w:type="pct"/>
            <w:tcBorders>
              <w:top w:val="nil"/>
              <w:left w:val="nil"/>
              <w:bottom w:val="single" w:sz="4" w:space="0" w:color="auto"/>
              <w:right w:val="single" w:sz="4" w:space="0" w:color="auto"/>
            </w:tcBorders>
            <w:noWrap/>
            <w:vAlign w:val="bottom"/>
            <w:hideMark/>
          </w:tcPr>
          <w:p w14:paraId="0223FD2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14,31</w:t>
            </w:r>
          </w:p>
        </w:tc>
        <w:tc>
          <w:tcPr>
            <w:tcW w:w="295" w:type="pct"/>
            <w:tcBorders>
              <w:top w:val="nil"/>
              <w:left w:val="nil"/>
              <w:bottom w:val="single" w:sz="4" w:space="0" w:color="auto"/>
              <w:right w:val="single" w:sz="4" w:space="0" w:color="auto"/>
            </w:tcBorders>
            <w:noWrap/>
            <w:vAlign w:val="bottom"/>
            <w:hideMark/>
          </w:tcPr>
          <w:p w14:paraId="39B2934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255" w:type="pct"/>
            <w:tcBorders>
              <w:top w:val="nil"/>
              <w:left w:val="nil"/>
              <w:bottom w:val="single" w:sz="4" w:space="0" w:color="auto"/>
              <w:right w:val="single" w:sz="4" w:space="0" w:color="auto"/>
            </w:tcBorders>
            <w:noWrap/>
            <w:vAlign w:val="bottom"/>
            <w:hideMark/>
          </w:tcPr>
          <w:p w14:paraId="12C834A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2,82</w:t>
            </w:r>
          </w:p>
        </w:tc>
        <w:tc>
          <w:tcPr>
            <w:tcW w:w="511" w:type="pct"/>
            <w:tcBorders>
              <w:top w:val="nil"/>
              <w:left w:val="nil"/>
              <w:bottom w:val="single" w:sz="4" w:space="0" w:color="auto"/>
              <w:right w:val="single" w:sz="4" w:space="0" w:color="auto"/>
            </w:tcBorders>
            <w:noWrap/>
            <w:vAlign w:val="bottom"/>
            <w:hideMark/>
          </w:tcPr>
          <w:p w14:paraId="2597D35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63" w:type="pct"/>
            <w:tcBorders>
              <w:top w:val="nil"/>
              <w:left w:val="nil"/>
              <w:bottom w:val="single" w:sz="4" w:space="0" w:color="auto"/>
              <w:right w:val="single" w:sz="4" w:space="0" w:color="auto"/>
            </w:tcBorders>
            <w:noWrap/>
            <w:vAlign w:val="bottom"/>
            <w:hideMark/>
          </w:tcPr>
          <w:p w14:paraId="4C92813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31" w:type="pct"/>
            <w:tcBorders>
              <w:top w:val="nil"/>
              <w:left w:val="nil"/>
              <w:bottom w:val="single" w:sz="4" w:space="0" w:color="auto"/>
              <w:right w:val="single" w:sz="4" w:space="0" w:color="auto"/>
            </w:tcBorders>
            <w:noWrap/>
            <w:vAlign w:val="bottom"/>
            <w:hideMark/>
          </w:tcPr>
          <w:p w14:paraId="2B7352E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2BF0E546" w14:textId="77777777" w:rsidTr="002F2624">
        <w:trPr>
          <w:trHeight w:val="300"/>
          <w:jc w:val="center"/>
        </w:trPr>
        <w:tc>
          <w:tcPr>
            <w:tcW w:w="1210" w:type="pct"/>
            <w:tcBorders>
              <w:top w:val="nil"/>
              <w:left w:val="single" w:sz="4" w:space="0" w:color="auto"/>
              <w:bottom w:val="single" w:sz="4" w:space="0" w:color="auto"/>
              <w:right w:val="single" w:sz="4" w:space="0" w:color="auto"/>
            </w:tcBorders>
            <w:noWrap/>
            <w:vAlign w:val="bottom"/>
            <w:hideMark/>
          </w:tcPr>
          <w:p w14:paraId="71E8F20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34" w:type="pct"/>
            <w:tcBorders>
              <w:top w:val="nil"/>
              <w:left w:val="nil"/>
              <w:bottom w:val="single" w:sz="4" w:space="0" w:color="auto"/>
              <w:right w:val="single" w:sz="4" w:space="0" w:color="auto"/>
            </w:tcBorders>
            <w:noWrap/>
            <w:vAlign w:val="bottom"/>
            <w:hideMark/>
          </w:tcPr>
          <w:p w14:paraId="109A0D8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17,23</w:t>
            </w:r>
          </w:p>
        </w:tc>
        <w:tc>
          <w:tcPr>
            <w:tcW w:w="295" w:type="pct"/>
            <w:tcBorders>
              <w:top w:val="nil"/>
              <w:left w:val="nil"/>
              <w:bottom w:val="single" w:sz="4" w:space="0" w:color="auto"/>
              <w:right w:val="single" w:sz="4" w:space="0" w:color="auto"/>
            </w:tcBorders>
            <w:noWrap/>
            <w:vAlign w:val="bottom"/>
            <w:hideMark/>
          </w:tcPr>
          <w:p w14:paraId="0105BEC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255" w:type="pct"/>
            <w:tcBorders>
              <w:top w:val="nil"/>
              <w:left w:val="nil"/>
              <w:bottom w:val="single" w:sz="4" w:space="0" w:color="auto"/>
              <w:right w:val="single" w:sz="4" w:space="0" w:color="auto"/>
            </w:tcBorders>
            <w:noWrap/>
            <w:vAlign w:val="bottom"/>
            <w:hideMark/>
          </w:tcPr>
          <w:p w14:paraId="547382E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c>
          <w:tcPr>
            <w:tcW w:w="511" w:type="pct"/>
            <w:tcBorders>
              <w:top w:val="nil"/>
              <w:left w:val="nil"/>
              <w:bottom w:val="single" w:sz="4" w:space="0" w:color="auto"/>
              <w:right w:val="single" w:sz="4" w:space="0" w:color="auto"/>
            </w:tcBorders>
            <w:noWrap/>
            <w:vAlign w:val="bottom"/>
            <w:hideMark/>
          </w:tcPr>
          <w:p w14:paraId="6E717F6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1331938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31" w:type="pct"/>
            <w:tcBorders>
              <w:top w:val="nil"/>
              <w:left w:val="nil"/>
              <w:bottom w:val="single" w:sz="4" w:space="0" w:color="auto"/>
              <w:right w:val="single" w:sz="4" w:space="0" w:color="auto"/>
            </w:tcBorders>
            <w:noWrap/>
            <w:vAlign w:val="bottom"/>
            <w:hideMark/>
          </w:tcPr>
          <w:p w14:paraId="6FF52DF4"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11F0AD73" w14:textId="77777777" w:rsidTr="002F2624">
        <w:trPr>
          <w:trHeight w:val="300"/>
          <w:jc w:val="center"/>
        </w:trPr>
        <w:tc>
          <w:tcPr>
            <w:tcW w:w="1210" w:type="pct"/>
            <w:tcBorders>
              <w:top w:val="nil"/>
              <w:left w:val="single" w:sz="4" w:space="0" w:color="auto"/>
              <w:bottom w:val="single" w:sz="4" w:space="0" w:color="auto"/>
              <w:right w:val="single" w:sz="4" w:space="0" w:color="auto"/>
            </w:tcBorders>
            <w:noWrap/>
            <w:vAlign w:val="bottom"/>
            <w:hideMark/>
          </w:tcPr>
          <w:p w14:paraId="53987D2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534" w:type="pct"/>
            <w:tcBorders>
              <w:top w:val="nil"/>
              <w:left w:val="nil"/>
              <w:bottom w:val="single" w:sz="4" w:space="0" w:color="auto"/>
              <w:right w:val="single" w:sz="4" w:space="0" w:color="auto"/>
            </w:tcBorders>
            <w:noWrap/>
            <w:vAlign w:val="bottom"/>
            <w:hideMark/>
          </w:tcPr>
          <w:p w14:paraId="1C0723E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17,98</w:t>
            </w:r>
          </w:p>
        </w:tc>
        <w:tc>
          <w:tcPr>
            <w:tcW w:w="295" w:type="pct"/>
            <w:tcBorders>
              <w:top w:val="nil"/>
              <w:left w:val="nil"/>
              <w:bottom w:val="single" w:sz="4" w:space="0" w:color="auto"/>
              <w:right w:val="single" w:sz="4" w:space="0" w:color="auto"/>
            </w:tcBorders>
            <w:noWrap/>
            <w:vAlign w:val="bottom"/>
            <w:hideMark/>
          </w:tcPr>
          <w:p w14:paraId="58F8443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255" w:type="pct"/>
            <w:tcBorders>
              <w:top w:val="nil"/>
              <w:left w:val="nil"/>
              <w:bottom w:val="single" w:sz="4" w:space="0" w:color="auto"/>
              <w:right w:val="single" w:sz="4" w:space="0" w:color="auto"/>
            </w:tcBorders>
            <w:noWrap/>
            <w:vAlign w:val="bottom"/>
            <w:hideMark/>
          </w:tcPr>
          <w:p w14:paraId="475E6EF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0,62</w:t>
            </w:r>
          </w:p>
        </w:tc>
        <w:tc>
          <w:tcPr>
            <w:tcW w:w="511" w:type="pct"/>
            <w:tcBorders>
              <w:top w:val="nil"/>
              <w:left w:val="nil"/>
              <w:bottom w:val="single" w:sz="4" w:space="0" w:color="auto"/>
              <w:right w:val="single" w:sz="4" w:space="0" w:color="auto"/>
            </w:tcBorders>
            <w:noWrap/>
            <w:vAlign w:val="bottom"/>
            <w:hideMark/>
          </w:tcPr>
          <w:p w14:paraId="0CD2CF6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0E6C1AB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31" w:type="pct"/>
            <w:tcBorders>
              <w:top w:val="nil"/>
              <w:left w:val="nil"/>
              <w:bottom w:val="single" w:sz="4" w:space="0" w:color="auto"/>
              <w:right w:val="single" w:sz="4" w:space="0" w:color="auto"/>
            </w:tcBorders>
            <w:noWrap/>
            <w:vAlign w:val="bottom"/>
            <w:hideMark/>
          </w:tcPr>
          <w:p w14:paraId="644A501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F4724C" w14:paraId="5E853C54" w14:textId="77777777" w:rsidTr="002F2624">
        <w:trPr>
          <w:trHeight w:val="300"/>
          <w:jc w:val="center"/>
        </w:trPr>
        <w:tc>
          <w:tcPr>
            <w:tcW w:w="1210" w:type="pct"/>
            <w:tcBorders>
              <w:top w:val="nil"/>
              <w:left w:val="single" w:sz="4" w:space="0" w:color="auto"/>
              <w:bottom w:val="single" w:sz="4" w:space="0" w:color="auto"/>
              <w:right w:val="single" w:sz="4" w:space="0" w:color="auto"/>
            </w:tcBorders>
            <w:noWrap/>
            <w:vAlign w:val="bottom"/>
            <w:hideMark/>
          </w:tcPr>
          <w:p w14:paraId="593AD5B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534" w:type="pct"/>
            <w:tcBorders>
              <w:top w:val="nil"/>
              <w:left w:val="nil"/>
              <w:bottom w:val="single" w:sz="4" w:space="0" w:color="auto"/>
              <w:right w:val="single" w:sz="4" w:space="0" w:color="auto"/>
            </w:tcBorders>
            <w:noWrap/>
            <w:vAlign w:val="bottom"/>
            <w:hideMark/>
          </w:tcPr>
          <w:p w14:paraId="4126A00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20,39</w:t>
            </w:r>
          </w:p>
        </w:tc>
        <w:tc>
          <w:tcPr>
            <w:tcW w:w="295" w:type="pct"/>
            <w:tcBorders>
              <w:top w:val="nil"/>
              <w:left w:val="nil"/>
              <w:bottom w:val="single" w:sz="4" w:space="0" w:color="auto"/>
              <w:right w:val="single" w:sz="4" w:space="0" w:color="auto"/>
            </w:tcBorders>
            <w:noWrap/>
            <w:vAlign w:val="bottom"/>
            <w:hideMark/>
          </w:tcPr>
          <w:p w14:paraId="01D5393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255" w:type="pct"/>
            <w:tcBorders>
              <w:top w:val="nil"/>
              <w:left w:val="nil"/>
              <w:bottom w:val="single" w:sz="4" w:space="0" w:color="auto"/>
              <w:right w:val="single" w:sz="4" w:space="0" w:color="auto"/>
            </w:tcBorders>
            <w:noWrap/>
            <w:vAlign w:val="bottom"/>
            <w:hideMark/>
          </w:tcPr>
          <w:p w14:paraId="6C01515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0,82</w:t>
            </w:r>
          </w:p>
        </w:tc>
        <w:tc>
          <w:tcPr>
            <w:tcW w:w="511" w:type="pct"/>
            <w:tcBorders>
              <w:top w:val="nil"/>
              <w:left w:val="nil"/>
              <w:bottom w:val="single" w:sz="4" w:space="0" w:color="auto"/>
              <w:right w:val="single" w:sz="4" w:space="0" w:color="auto"/>
            </w:tcBorders>
            <w:noWrap/>
            <w:vAlign w:val="bottom"/>
            <w:hideMark/>
          </w:tcPr>
          <w:p w14:paraId="099B613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28EC375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31" w:type="pct"/>
            <w:tcBorders>
              <w:top w:val="nil"/>
              <w:left w:val="nil"/>
              <w:bottom w:val="single" w:sz="4" w:space="0" w:color="auto"/>
              <w:right w:val="single" w:sz="4" w:space="0" w:color="auto"/>
            </w:tcBorders>
            <w:noWrap/>
            <w:vAlign w:val="bottom"/>
            <w:hideMark/>
          </w:tcPr>
          <w:p w14:paraId="0913FAB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F4724C" w14:paraId="3C6CBE01" w14:textId="77777777" w:rsidTr="002F2624">
        <w:trPr>
          <w:trHeight w:val="300"/>
          <w:jc w:val="center"/>
        </w:trPr>
        <w:tc>
          <w:tcPr>
            <w:tcW w:w="1210" w:type="pct"/>
            <w:tcBorders>
              <w:top w:val="nil"/>
              <w:left w:val="single" w:sz="4" w:space="0" w:color="auto"/>
              <w:bottom w:val="single" w:sz="4" w:space="0" w:color="auto"/>
              <w:right w:val="single" w:sz="4" w:space="0" w:color="auto"/>
            </w:tcBorders>
            <w:noWrap/>
            <w:vAlign w:val="bottom"/>
            <w:hideMark/>
          </w:tcPr>
          <w:p w14:paraId="38684F2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534" w:type="pct"/>
            <w:tcBorders>
              <w:top w:val="nil"/>
              <w:left w:val="nil"/>
              <w:bottom w:val="single" w:sz="4" w:space="0" w:color="auto"/>
              <w:right w:val="single" w:sz="4" w:space="0" w:color="auto"/>
            </w:tcBorders>
            <w:noWrap/>
            <w:vAlign w:val="bottom"/>
            <w:hideMark/>
          </w:tcPr>
          <w:p w14:paraId="14B1C04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20,71</w:t>
            </w:r>
          </w:p>
        </w:tc>
        <w:tc>
          <w:tcPr>
            <w:tcW w:w="295" w:type="pct"/>
            <w:tcBorders>
              <w:top w:val="nil"/>
              <w:left w:val="nil"/>
              <w:bottom w:val="single" w:sz="4" w:space="0" w:color="auto"/>
              <w:right w:val="single" w:sz="4" w:space="0" w:color="auto"/>
            </w:tcBorders>
            <w:noWrap/>
            <w:vAlign w:val="bottom"/>
            <w:hideMark/>
          </w:tcPr>
          <w:p w14:paraId="0229F1E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255" w:type="pct"/>
            <w:tcBorders>
              <w:top w:val="nil"/>
              <w:left w:val="nil"/>
              <w:bottom w:val="single" w:sz="4" w:space="0" w:color="auto"/>
              <w:right w:val="single" w:sz="4" w:space="0" w:color="auto"/>
            </w:tcBorders>
            <w:noWrap/>
            <w:vAlign w:val="bottom"/>
            <w:hideMark/>
          </w:tcPr>
          <w:p w14:paraId="1E31244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1,63</w:t>
            </w:r>
          </w:p>
        </w:tc>
        <w:tc>
          <w:tcPr>
            <w:tcW w:w="511" w:type="pct"/>
            <w:tcBorders>
              <w:top w:val="nil"/>
              <w:left w:val="nil"/>
              <w:bottom w:val="single" w:sz="4" w:space="0" w:color="auto"/>
              <w:right w:val="single" w:sz="4" w:space="0" w:color="auto"/>
            </w:tcBorders>
            <w:noWrap/>
            <w:vAlign w:val="bottom"/>
            <w:hideMark/>
          </w:tcPr>
          <w:p w14:paraId="5E495B9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3F4C59C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31" w:type="pct"/>
            <w:tcBorders>
              <w:top w:val="nil"/>
              <w:left w:val="nil"/>
              <w:bottom w:val="single" w:sz="4" w:space="0" w:color="auto"/>
              <w:right w:val="single" w:sz="4" w:space="0" w:color="auto"/>
            </w:tcBorders>
            <w:noWrap/>
            <w:vAlign w:val="bottom"/>
            <w:hideMark/>
          </w:tcPr>
          <w:p w14:paraId="6F1CBC3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32C1FF4F" w14:textId="77777777" w:rsidR="00F4724C" w:rsidRDefault="00F4724C" w:rsidP="00F4724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61749A02" w14:textId="528012E4" w:rsidR="002F2624" w:rsidRPr="002F2624" w:rsidRDefault="002F2624" w:rsidP="00023192">
      <w:pPr>
        <w:autoSpaceDE w:val="0"/>
        <w:autoSpaceDN w:val="0"/>
        <w:adjustRightInd w:val="0"/>
        <w:spacing w:before="360" w:after="0" w:line="360" w:lineRule="auto"/>
        <w:rPr>
          <w:rFonts w:cs="Times New Roman"/>
          <w:szCs w:val="24"/>
        </w:rPr>
      </w:pPr>
      <w:bookmarkStart w:id="1696" w:name="_Toc79314089"/>
      <w:r w:rsidRPr="002F2624">
        <w:rPr>
          <w:rFonts w:cs="Times New Roman"/>
          <w:b/>
          <w:szCs w:val="24"/>
        </w:rPr>
        <w:t xml:space="preserve">Cuadro </w:t>
      </w:r>
      <w:r w:rsidRPr="002F2624">
        <w:rPr>
          <w:rFonts w:cs="Times New Roman"/>
          <w:b/>
          <w:szCs w:val="24"/>
        </w:rPr>
        <w:fldChar w:fldCharType="begin"/>
      </w:r>
      <w:r w:rsidRPr="002F2624">
        <w:rPr>
          <w:rFonts w:cs="Times New Roman"/>
          <w:b/>
          <w:szCs w:val="24"/>
        </w:rPr>
        <w:instrText xml:space="preserve"> SEQ Cuadro \* ARABIC </w:instrText>
      </w:r>
      <w:r w:rsidRPr="002F2624">
        <w:rPr>
          <w:rFonts w:cs="Times New Roman"/>
          <w:b/>
          <w:szCs w:val="24"/>
        </w:rPr>
        <w:fldChar w:fldCharType="separate"/>
      </w:r>
      <w:r w:rsidR="000D1F55">
        <w:rPr>
          <w:rFonts w:cs="Times New Roman"/>
          <w:b/>
          <w:noProof/>
          <w:szCs w:val="24"/>
        </w:rPr>
        <w:t>97</w:t>
      </w:r>
      <w:r w:rsidRPr="002F2624">
        <w:rPr>
          <w:rFonts w:cs="Times New Roman"/>
          <w:b/>
          <w:szCs w:val="24"/>
        </w:rPr>
        <w:fldChar w:fldCharType="end"/>
      </w:r>
      <w:r w:rsidRPr="002F2624">
        <w:rPr>
          <w:rFonts w:cs="Times New Roman"/>
          <w:b/>
          <w:szCs w:val="24"/>
        </w:rPr>
        <w:t>.</w:t>
      </w:r>
      <w:r w:rsidRPr="002F2624">
        <w:rPr>
          <w:rFonts w:cs="Times New Roman"/>
          <w:szCs w:val="24"/>
        </w:rPr>
        <w:t xml:space="preserve"> Absorción total de magnesio para diversas dosis de potasio evaluadas en la provincia de Chimborazo 2012-2014.</w:t>
      </w:r>
      <w:bookmarkEnd w:id="1696"/>
    </w:p>
    <w:tbl>
      <w:tblPr>
        <w:tblW w:w="5514" w:type="dxa"/>
        <w:jc w:val="center"/>
        <w:tblCellMar>
          <w:left w:w="70" w:type="dxa"/>
          <w:right w:w="70" w:type="dxa"/>
        </w:tblCellMar>
        <w:tblLook w:val="04A0" w:firstRow="1" w:lastRow="0" w:firstColumn="1" w:lastColumn="0" w:noHBand="0" w:noVBand="1"/>
      </w:tblPr>
      <w:tblGrid>
        <w:gridCol w:w="2227"/>
        <w:gridCol w:w="887"/>
        <w:gridCol w:w="567"/>
        <w:gridCol w:w="1833"/>
      </w:tblGrid>
      <w:tr w:rsidR="00F4724C" w14:paraId="5828567C" w14:textId="77777777" w:rsidTr="00E36FC3">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463F27F6"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7FECE533"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noWrap/>
            <w:vAlign w:val="bottom"/>
            <w:hideMark/>
          </w:tcPr>
          <w:p w14:paraId="3E21D7C1"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33" w:type="dxa"/>
            <w:tcBorders>
              <w:top w:val="single" w:sz="4" w:space="0" w:color="auto"/>
              <w:left w:val="nil"/>
              <w:bottom w:val="single" w:sz="4" w:space="0" w:color="auto"/>
              <w:right w:val="single" w:sz="4" w:space="0" w:color="auto"/>
            </w:tcBorders>
            <w:noWrap/>
            <w:vAlign w:val="bottom"/>
            <w:hideMark/>
          </w:tcPr>
          <w:p w14:paraId="335ED544"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14FC27FB" w14:textId="77777777" w:rsidTr="00E36FC3">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E8AC98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887" w:type="dxa"/>
            <w:tcBorders>
              <w:top w:val="nil"/>
              <w:left w:val="nil"/>
              <w:bottom w:val="single" w:sz="4" w:space="0" w:color="auto"/>
              <w:right w:val="single" w:sz="4" w:space="0" w:color="auto"/>
            </w:tcBorders>
            <w:noWrap/>
            <w:vAlign w:val="bottom"/>
            <w:hideMark/>
          </w:tcPr>
          <w:p w14:paraId="4D6160B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14,31</w:t>
            </w:r>
          </w:p>
        </w:tc>
        <w:tc>
          <w:tcPr>
            <w:tcW w:w="567" w:type="dxa"/>
            <w:tcBorders>
              <w:top w:val="nil"/>
              <w:left w:val="nil"/>
              <w:bottom w:val="single" w:sz="4" w:space="0" w:color="auto"/>
              <w:right w:val="single" w:sz="4" w:space="0" w:color="auto"/>
            </w:tcBorders>
            <w:noWrap/>
            <w:vAlign w:val="bottom"/>
            <w:hideMark/>
          </w:tcPr>
          <w:p w14:paraId="2BC8E45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33" w:type="dxa"/>
            <w:tcBorders>
              <w:top w:val="nil"/>
              <w:left w:val="nil"/>
              <w:bottom w:val="single" w:sz="4" w:space="0" w:color="auto"/>
              <w:right w:val="single" w:sz="4" w:space="0" w:color="auto"/>
            </w:tcBorders>
            <w:noWrap/>
            <w:vAlign w:val="bottom"/>
            <w:hideMark/>
          </w:tcPr>
          <w:p w14:paraId="54ECA17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2,82</w:t>
            </w:r>
          </w:p>
        </w:tc>
      </w:tr>
      <w:tr w:rsidR="00F4724C" w14:paraId="1377A533" w14:textId="77777777" w:rsidTr="00E36FC3">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8968D6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32BC156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15,18</w:t>
            </w:r>
          </w:p>
        </w:tc>
        <w:tc>
          <w:tcPr>
            <w:tcW w:w="567" w:type="dxa"/>
            <w:tcBorders>
              <w:top w:val="nil"/>
              <w:left w:val="nil"/>
              <w:bottom w:val="single" w:sz="4" w:space="0" w:color="auto"/>
              <w:right w:val="single" w:sz="4" w:space="0" w:color="auto"/>
            </w:tcBorders>
            <w:noWrap/>
            <w:vAlign w:val="bottom"/>
            <w:hideMark/>
          </w:tcPr>
          <w:p w14:paraId="748E71A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833" w:type="dxa"/>
            <w:tcBorders>
              <w:top w:val="nil"/>
              <w:left w:val="nil"/>
              <w:bottom w:val="single" w:sz="4" w:space="0" w:color="auto"/>
              <w:right w:val="single" w:sz="4" w:space="0" w:color="auto"/>
            </w:tcBorders>
            <w:noWrap/>
            <w:vAlign w:val="bottom"/>
            <w:hideMark/>
          </w:tcPr>
          <w:p w14:paraId="17AAEDF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0,85</w:t>
            </w:r>
          </w:p>
        </w:tc>
      </w:tr>
      <w:tr w:rsidR="00F4724C" w14:paraId="723107A9" w14:textId="77777777" w:rsidTr="00E36FC3">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0095D2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3247BA3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16,75</w:t>
            </w:r>
          </w:p>
        </w:tc>
        <w:tc>
          <w:tcPr>
            <w:tcW w:w="567" w:type="dxa"/>
            <w:tcBorders>
              <w:top w:val="nil"/>
              <w:left w:val="nil"/>
              <w:bottom w:val="single" w:sz="4" w:space="0" w:color="auto"/>
              <w:right w:val="single" w:sz="4" w:space="0" w:color="auto"/>
            </w:tcBorders>
            <w:noWrap/>
            <w:vAlign w:val="bottom"/>
            <w:hideMark/>
          </w:tcPr>
          <w:p w14:paraId="04C0E054"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833" w:type="dxa"/>
            <w:tcBorders>
              <w:top w:val="nil"/>
              <w:left w:val="nil"/>
              <w:bottom w:val="single" w:sz="4" w:space="0" w:color="auto"/>
              <w:right w:val="single" w:sz="4" w:space="0" w:color="auto"/>
            </w:tcBorders>
            <w:noWrap/>
            <w:vAlign w:val="bottom"/>
            <w:hideMark/>
          </w:tcPr>
          <w:p w14:paraId="766A970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r>
      <w:tr w:rsidR="00F4724C" w14:paraId="05BD428C" w14:textId="77777777" w:rsidTr="00E36FC3">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5DFFE50A"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3D029A3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18,04</w:t>
            </w:r>
          </w:p>
        </w:tc>
        <w:tc>
          <w:tcPr>
            <w:tcW w:w="567" w:type="dxa"/>
            <w:tcBorders>
              <w:top w:val="nil"/>
              <w:left w:val="nil"/>
              <w:bottom w:val="single" w:sz="4" w:space="0" w:color="auto"/>
              <w:right w:val="single" w:sz="4" w:space="0" w:color="auto"/>
            </w:tcBorders>
            <w:noWrap/>
            <w:vAlign w:val="bottom"/>
            <w:hideMark/>
          </w:tcPr>
          <w:p w14:paraId="27E2BA7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833" w:type="dxa"/>
            <w:tcBorders>
              <w:top w:val="nil"/>
              <w:left w:val="nil"/>
              <w:bottom w:val="single" w:sz="4" w:space="0" w:color="auto"/>
              <w:right w:val="single" w:sz="4" w:space="0" w:color="auto"/>
            </w:tcBorders>
            <w:noWrap/>
            <w:vAlign w:val="bottom"/>
            <w:hideMark/>
          </w:tcPr>
          <w:p w14:paraId="401877E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0,72</w:t>
            </w:r>
          </w:p>
        </w:tc>
      </w:tr>
      <w:tr w:rsidR="00F4724C" w14:paraId="38C253F0" w14:textId="77777777" w:rsidTr="00E36FC3">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48AEB5F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7187E56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19,35</w:t>
            </w:r>
          </w:p>
        </w:tc>
        <w:tc>
          <w:tcPr>
            <w:tcW w:w="567" w:type="dxa"/>
            <w:tcBorders>
              <w:top w:val="nil"/>
              <w:left w:val="nil"/>
              <w:bottom w:val="single" w:sz="4" w:space="0" w:color="auto"/>
              <w:right w:val="single" w:sz="4" w:space="0" w:color="auto"/>
            </w:tcBorders>
            <w:noWrap/>
            <w:vAlign w:val="bottom"/>
            <w:hideMark/>
          </w:tcPr>
          <w:p w14:paraId="05777E8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833" w:type="dxa"/>
            <w:tcBorders>
              <w:top w:val="nil"/>
              <w:left w:val="nil"/>
              <w:bottom w:val="single" w:sz="4" w:space="0" w:color="auto"/>
              <w:right w:val="single" w:sz="4" w:space="0" w:color="auto"/>
            </w:tcBorders>
            <w:noWrap/>
            <w:vAlign w:val="bottom"/>
            <w:hideMark/>
          </w:tcPr>
          <w:p w14:paraId="543CBA42"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w:t>
            </w:r>
          </w:p>
        </w:tc>
      </w:tr>
      <w:tr w:rsidR="00F4724C" w14:paraId="7AE3B558" w14:textId="77777777" w:rsidTr="00E36FC3">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21AEF7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2E6244F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20,15</w:t>
            </w:r>
          </w:p>
        </w:tc>
        <w:tc>
          <w:tcPr>
            <w:tcW w:w="567" w:type="dxa"/>
            <w:tcBorders>
              <w:top w:val="nil"/>
              <w:left w:val="nil"/>
              <w:bottom w:val="single" w:sz="4" w:space="0" w:color="auto"/>
              <w:right w:val="single" w:sz="4" w:space="0" w:color="auto"/>
            </w:tcBorders>
            <w:noWrap/>
            <w:vAlign w:val="bottom"/>
            <w:hideMark/>
          </w:tcPr>
          <w:p w14:paraId="0AFC4DD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33" w:type="dxa"/>
            <w:tcBorders>
              <w:top w:val="nil"/>
              <w:left w:val="nil"/>
              <w:bottom w:val="single" w:sz="4" w:space="0" w:color="auto"/>
              <w:right w:val="single" w:sz="4" w:space="0" w:color="auto"/>
            </w:tcBorders>
            <w:noWrap/>
            <w:vAlign w:val="bottom"/>
            <w:hideMark/>
          </w:tcPr>
          <w:p w14:paraId="0C42D4A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0,82</w:t>
            </w:r>
          </w:p>
        </w:tc>
      </w:tr>
    </w:tbl>
    <w:p w14:paraId="31D78B3D" w14:textId="77777777" w:rsidR="00023192" w:rsidRDefault="00F4724C" w:rsidP="00023192">
      <w:pPr>
        <w:autoSpaceDE w:val="0"/>
        <w:autoSpaceDN w:val="0"/>
        <w:adjustRightInd w:val="0"/>
        <w:spacing w:before="360" w:after="0" w:line="360" w:lineRule="auto"/>
        <w:rPr>
          <w:rFonts w:cs="Times New Roman"/>
          <w:szCs w:val="24"/>
        </w:rPr>
      </w:pPr>
      <w:r>
        <w:rPr>
          <w:rFonts w:cs="Times New Roman"/>
          <w:szCs w:val="24"/>
        </w:rPr>
        <w:t>Ante un suelo sin fertilizante, se distingue un promedio superior a aquellos en los cuales se ap</w:t>
      </w:r>
      <w:r w:rsidR="002F2624">
        <w:rPr>
          <w:rFonts w:cs="Times New Roman"/>
          <w:szCs w:val="24"/>
        </w:rPr>
        <w:t>licó potasio de 5 y 30 medidas.</w:t>
      </w:r>
      <w:bookmarkStart w:id="1697" w:name="_Toc79314090"/>
    </w:p>
    <w:p w14:paraId="6B2F38A8" w14:textId="6D46E3BA" w:rsidR="002F2624" w:rsidRPr="00023192" w:rsidRDefault="002F2624" w:rsidP="00023192">
      <w:pPr>
        <w:autoSpaceDE w:val="0"/>
        <w:autoSpaceDN w:val="0"/>
        <w:adjustRightInd w:val="0"/>
        <w:spacing w:before="360" w:after="0" w:line="360" w:lineRule="auto"/>
        <w:rPr>
          <w:rFonts w:cs="Times New Roman"/>
          <w:szCs w:val="24"/>
        </w:rPr>
      </w:pPr>
      <w:r w:rsidRPr="002F2624">
        <w:rPr>
          <w:rFonts w:cs="Times New Roman"/>
          <w:b/>
          <w:szCs w:val="24"/>
        </w:rPr>
        <w:lastRenderedPageBreak/>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98</w:t>
      </w:r>
      <w:r w:rsidRPr="002F2624">
        <w:rPr>
          <w:rFonts w:cs="Times New Roman"/>
          <w:b/>
          <w:i/>
          <w:iCs/>
          <w:szCs w:val="24"/>
        </w:rPr>
        <w:fldChar w:fldCharType="end"/>
      </w:r>
      <w:r w:rsidRPr="002F2624">
        <w:rPr>
          <w:rFonts w:cs="Times New Roman"/>
          <w:b/>
          <w:szCs w:val="24"/>
        </w:rPr>
        <w:t xml:space="preserve">. </w:t>
      </w:r>
      <w:r w:rsidRPr="002F2624">
        <w:rPr>
          <w:rFonts w:cs="Times New Roman"/>
          <w:szCs w:val="24"/>
        </w:rPr>
        <w:t>Absorción total de magnesio para diversas dosis de azufre evaluadas en la provincia de Chimborazo 2012-2014.</w:t>
      </w:r>
      <w:bookmarkEnd w:id="1697"/>
    </w:p>
    <w:tbl>
      <w:tblPr>
        <w:tblW w:w="5409" w:type="dxa"/>
        <w:jc w:val="center"/>
        <w:tblCellMar>
          <w:left w:w="70" w:type="dxa"/>
          <w:right w:w="70" w:type="dxa"/>
        </w:tblCellMar>
        <w:tblLook w:val="04A0" w:firstRow="1" w:lastRow="0" w:firstColumn="1" w:lastColumn="0" w:noHBand="0" w:noVBand="1"/>
      </w:tblPr>
      <w:tblGrid>
        <w:gridCol w:w="2122"/>
        <w:gridCol w:w="887"/>
        <w:gridCol w:w="672"/>
        <w:gridCol w:w="1728"/>
      </w:tblGrid>
      <w:tr w:rsidR="00F4724C" w14:paraId="0907F6E9" w14:textId="77777777" w:rsidTr="00E36FC3">
        <w:trPr>
          <w:trHeight w:val="300"/>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4C575406"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4D3F49A3"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0FF8DBCB"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5914AB99"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F4724C" w14:paraId="482D167B" w14:textId="77777777" w:rsidTr="00E36FC3">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1197F27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0D3D339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15,42</w:t>
            </w:r>
          </w:p>
        </w:tc>
        <w:tc>
          <w:tcPr>
            <w:tcW w:w="672" w:type="dxa"/>
            <w:tcBorders>
              <w:top w:val="nil"/>
              <w:left w:val="nil"/>
              <w:bottom w:val="single" w:sz="4" w:space="0" w:color="auto"/>
              <w:right w:val="single" w:sz="4" w:space="0" w:color="auto"/>
            </w:tcBorders>
            <w:noWrap/>
            <w:vAlign w:val="bottom"/>
            <w:hideMark/>
          </w:tcPr>
          <w:p w14:paraId="7FF2085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728" w:type="dxa"/>
            <w:tcBorders>
              <w:top w:val="nil"/>
              <w:left w:val="nil"/>
              <w:bottom w:val="single" w:sz="4" w:space="0" w:color="auto"/>
              <w:right w:val="single" w:sz="4" w:space="0" w:color="auto"/>
            </w:tcBorders>
            <w:noWrap/>
            <w:vAlign w:val="bottom"/>
            <w:hideMark/>
          </w:tcPr>
          <w:p w14:paraId="0335F60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0,85</w:t>
            </w:r>
          </w:p>
        </w:tc>
      </w:tr>
      <w:tr w:rsidR="00F4724C" w14:paraId="01C71F97" w14:textId="77777777" w:rsidTr="00E36FC3">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04C44AA6"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7970843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16,41</w:t>
            </w:r>
          </w:p>
        </w:tc>
        <w:tc>
          <w:tcPr>
            <w:tcW w:w="672" w:type="dxa"/>
            <w:tcBorders>
              <w:top w:val="nil"/>
              <w:left w:val="nil"/>
              <w:bottom w:val="single" w:sz="4" w:space="0" w:color="auto"/>
              <w:right w:val="single" w:sz="4" w:space="0" w:color="auto"/>
            </w:tcBorders>
            <w:noWrap/>
            <w:vAlign w:val="bottom"/>
            <w:hideMark/>
          </w:tcPr>
          <w:p w14:paraId="6C8E125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w:t>
            </w:r>
          </w:p>
        </w:tc>
        <w:tc>
          <w:tcPr>
            <w:tcW w:w="1728" w:type="dxa"/>
            <w:tcBorders>
              <w:top w:val="nil"/>
              <w:left w:val="nil"/>
              <w:bottom w:val="single" w:sz="4" w:space="0" w:color="auto"/>
              <w:right w:val="single" w:sz="4" w:space="0" w:color="auto"/>
            </w:tcBorders>
            <w:noWrap/>
            <w:vAlign w:val="bottom"/>
            <w:hideMark/>
          </w:tcPr>
          <w:p w14:paraId="216383E1"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0,49</w:t>
            </w:r>
          </w:p>
        </w:tc>
      </w:tr>
      <w:tr w:rsidR="00F4724C" w14:paraId="3BA2D5AE" w14:textId="77777777" w:rsidTr="00E36FC3">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4F1396F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3D930A3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18,75</w:t>
            </w:r>
          </w:p>
        </w:tc>
        <w:tc>
          <w:tcPr>
            <w:tcW w:w="672" w:type="dxa"/>
            <w:tcBorders>
              <w:top w:val="nil"/>
              <w:left w:val="nil"/>
              <w:bottom w:val="single" w:sz="4" w:space="0" w:color="auto"/>
              <w:right w:val="single" w:sz="4" w:space="0" w:color="auto"/>
            </w:tcBorders>
            <w:noWrap/>
            <w:vAlign w:val="bottom"/>
            <w:hideMark/>
          </w:tcPr>
          <w:p w14:paraId="4CFB252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728" w:type="dxa"/>
            <w:tcBorders>
              <w:top w:val="nil"/>
              <w:left w:val="nil"/>
              <w:bottom w:val="single" w:sz="4" w:space="0" w:color="auto"/>
              <w:right w:val="single" w:sz="4" w:space="0" w:color="auto"/>
            </w:tcBorders>
            <w:noWrap/>
            <w:vAlign w:val="bottom"/>
            <w:hideMark/>
          </w:tcPr>
          <w:p w14:paraId="59CD7F8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0,62</w:t>
            </w:r>
          </w:p>
        </w:tc>
      </w:tr>
      <w:tr w:rsidR="00F4724C" w14:paraId="18B87C17" w14:textId="77777777" w:rsidTr="00E36FC3">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70EC5A6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3655650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20,18</w:t>
            </w:r>
          </w:p>
        </w:tc>
        <w:tc>
          <w:tcPr>
            <w:tcW w:w="672" w:type="dxa"/>
            <w:tcBorders>
              <w:top w:val="nil"/>
              <w:left w:val="nil"/>
              <w:bottom w:val="single" w:sz="4" w:space="0" w:color="auto"/>
              <w:right w:val="single" w:sz="4" w:space="0" w:color="auto"/>
            </w:tcBorders>
            <w:noWrap/>
            <w:vAlign w:val="bottom"/>
            <w:hideMark/>
          </w:tcPr>
          <w:p w14:paraId="0512AE1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28" w:type="dxa"/>
            <w:tcBorders>
              <w:top w:val="nil"/>
              <w:left w:val="nil"/>
              <w:bottom w:val="single" w:sz="4" w:space="0" w:color="auto"/>
              <w:right w:val="single" w:sz="4" w:space="0" w:color="auto"/>
            </w:tcBorders>
            <w:noWrap/>
            <w:vAlign w:val="bottom"/>
            <w:hideMark/>
          </w:tcPr>
          <w:p w14:paraId="38AE7B2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0,82</w:t>
            </w:r>
          </w:p>
        </w:tc>
      </w:tr>
    </w:tbl>
    <w:p w14:paraId="20C142EC" w14:textId="77777777" w:rsidR="00023192" w:rsidRDefault="00F4724C" w:rsidP="00023192">
      <w:pPr>
        <w:autoSpaceDE w:val="0"/>
        <w:autoSpaceDN w:val="0"/>
        <w:adjustRightInd w:val="0"/>
        <w:spacing w:before="360" w:after="360" w:line="360" w:lineRule="auto"/>
        <w:rPr>
          <w:rFonts w:cs="Times New Roman"/>
          <w:szCs w:val="24"/>
        </w:rPr>
      </w:pPr>
      <w:r>
        <w:rPr>
          <w:rFonts w:cs="Times New Roman"/>
          <w:szCs w:val="24"/>
        </w:rPr>
        <w:t>El suelo sin adición de azufre demuestra un promedio superior a aquel en el que se han a</w:t>
      </w:r>
      <w:r w:rsidR="002F2624">
        <w:rPr>
          <w:rFonts w:cs="Times New Roman"/>
          <w:szCs w:val="24"/>
        </w:rPr>
        <w:t>ñadido 20 medidas del elemento.</w:t>
      </w:r>
      <w:bookmarkStart w:id="1698" w:name="_Toc79314091"/>
    </w:p>
    <w:p w14:paraId="7DCE7157" w14:textId="2ACD9313" w:rsidR="002F2624" w:rsidRPr="00023192" w:rsidRDefault="002F2624" w:rsidP="00023192">
      <w:pPr>
        <w:autoSpaceDE w:val="0"/>
        <w:autoSpaceDN w:val="0"/>
        <w:adjustRightInd w:val="0"/>
        <w:spacing w:before="360" w:after="120" w:line="360" w:lineRule="auto"/>
        <w:rPr>
          <w:rFonts w:cs="Times New Roman"/>
          <w:szCs w:val="24"/>
        </w:rPr>
      </w:pPr>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99</w:t>
      </w:r>
      <w:r w:rsidRPr="002F2624">
        <w:rPr>
          <w:rFonts w:cs="Times New Roman"/>
          <w:b/>
          <w:i/>
          <w:iCs/>
          <w:szCs w:val="24"/>
        </w:rPr>
        <w:fldChar w:fldCharType="end"/>
      </w:r>
      <w:r w:rsidRPr="002F2624">
        <w:rPr>
          <w:rFonts w:cs="Times New Roman"/>
          <w:b/>
          <w:szCs w:val="24"/>
        </w:rPr>
        <w:t xml:space="preserve">. </w:t>
      </w:r>
      <w:r w:rsidRPr="002F2624">
        <w:rPr>
          <w:rFonts w:cs="Times New Roman"/>
          <w:szCs w:val="24"/>
        </w:rPr>
        <w:t>Absorción total de magnesio para diversas dosis de magnesio evaluadas en la provincia de Chimborazo 2012-2014.</w:t>
      </w:r>
      <w:bookmarkEnd w:id="1698"/>
    </w:p>
    <w:tbl>
      <w:tblPr>
        <w:tblW w:w="7914" w:type="dxa"/>
        <w:jc w:val="center"/>
        <w:tblCellMar>
          <w:left w:w="70" w:type="dxa"/>
          <w:right w:w="70" w:type="dxa"/>
        </w:tblCellMar>
        <w:tblLook w:val="04A0" w:firstRow="1" w:lastRow="0" w:firstColumn="1" w:lastColumn="0" w:noHBand="0" w:noVBand="1"/>
      </w:tblPr>
      <w:tblGrid>
        <w:gridCol w:w="2227"/>
        <w:gridCol w:w="887"/>
        <w:gridCol w:w="567"/>
        <w:gridCol w:w="1833"/>
        <w:gridCol w:w="1200"/>
        <w:gridCol w:w="1200"/>
      </w:tblGrid>
      <w:tr w:rsidR="00F4724C" w14:paraId="620AF0F0" w14:textId="77777777" w:rsidTr="00984A5E">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38FF8F58"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3F2AEA27"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noWrap/>
            <w:vAlign w:val="bottom"/>
            <w:hideMark/>
          </w:tcPr>
          <w:p w14:paraId="6C65A312"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33" w:type="dxa"/>
            <w:tcBorders>
              <w:top w:val="single" w:sz="4" w:space="0" w:color="auto"/>
              <w:left w:val="nil"/>
              <w:bottom w:val="single" w:sz="4" w:space="0" w:color="auto"/>
              <w:right w:val="single" w:sz="4" w:space="0" w:color="auto"/>
            </w:tcBorders>
            <w:noWrap/>
            <w:vAlign w:val="bottom"/>
            <w:hideMark/>
          </w:tcPr>
          <w:p w14:paraId="122DDFA1" w14:textId="77777777" w:rsidR="00F4724C" w:rsidRDefault="00F4724C" w:rsidP="0002319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04E8E128" w14:textId="77777777" w:rsidR="00F4724C" w:rsidRDefault="00F4724C" w:rsidP="00023192">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751281D0" w14:textId="77777777" w:rsidR="00F4724C" w:rsidRDefault="00F4724C" w:rsidP="00023192">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F4724C" w14:paraId="50285417" w14:textId="77777777" w:rsidTr="00984A5E">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58CA021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58BE796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11,21</w:t>
            </w:r>
          </w:p>
        </w:tc>
        <w:tc>
          <w:tcPr>
            <w:tcW w:w="567" w:type="dxa"/>
            <w:tcBorders>
              <w:top w:val="nil"/>
              <w:left w:val="nil"/>
              <w:bottom w:val="single" w:sz="4" w:space="0" w:color="auto"/>
              <w:right w:val="single" w:sz="4" w:space="0" w:color="auto"/>
            </w:tcBorders>
            <w:noWrap/>
            <w:vAlign w:val="bottom"/>
            <w:hideMark/>
          </w:tcPr>
          <w:p w14:paraId="1E4450D7"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w:t>
            </w:r>
          </w:p>
        </w:tc>
        <w:tc>
          <w:tcPr>
            <w:tcW w:w="1833" w:type="dxa"/>
            <w:tcBorders>
              <w:top w:val="nil"/>
              <w:left w:val="nil"/>
              <w:bottom w:val="single" w:sz="4" w:space="0" w:color="auto"/>
              <w:right w:val="single" w:sz="4" w:space="0" w:color="auto"/>
            </w:tcBorders>
            <w:noWrap/>
            <w:vAlign w:val="bottom"/>
            <w:hideMark/>
          </w:tcPr>
          <w:p w14:paraId="3DDE1B9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200" w:type="dxa"/>
            <w:tcBorders>
              <w:top w:val="single" w:sz="4" w:space="0" w:color="auto"/>
              <w:left w:val="nil"/>
              <w:bottom w:val="single" w:sz="4" w:space="0" w:color="auto"/>
              <w:right w:val="single" w:sz="4" w:space="0" w:color="auto"/>
            </w:tcBorders>
            <w:noWrap/>
            <w:vAlign w:val="bottom"/>
            <w:hideMark/>
          </w:tcPr>
          <w:p w14:paraId="0CD4BD9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5879B52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F4724C" w14:paraId="389B5F93" w14:textId="77777777" w:rsidTr="00984A5E">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362EE0E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3F76E2FF"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18,01</w:t>
            </w:r>
          </w:p>
        </w:tc>
        <w:tc>
          <w:tcPr>
            <w:tcW w:w="567" w:type="dxa"/>
            <w:tcBorders>
              <w:top w:val="nil"/>
              <w:left w:val="nil"/>
              <w:bottom w:val="single" w:sz="4" w:space="0" w:color="auto"/>
              <w:right w:val="single" w:sz="4" w:space="0" w:color="auto"/>
            </w:tcBorders>
            <w:noWrap/>
            <w:vAlign w:val="bottom"/>
            <w:hideMark/>
          </w:tcPr>
          <w:p w14:paraId="4EEF2BC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w:t>
            </w:r>
          </w:p>
        </w:tc>
        <w:tc>
          <w:tcPr>
            <w:tcW w:w="1833" w:type="dxa"/>
            <w:tcBorders>
              <w:top w:val="nil"/>
              <w:left w:val="nil"/>
              <w:bottom w:val="single" w:sz="4" w:space="0" w:color="auto"/>
              <w:right w:val="single" w:sz="4" w:space="0" w:color="auto"/>
            </w:tcBorders>
            <w:noWrap/>
            <w:vAlign w:val="bottom"/>
            <w:hideMark/>
          </w:tcPr>
          <w:p w14:paraId="486E39C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0,36</w:t>
            </w:r>
          </w:p>
        </w:tc>
        <w:tc>
          <w:tcPr>
            <w:tcW w:w="1200" w:type="dxa"/>
            <w:tcBorders>
              <w:top w:val="nil"/>
              <w:left w:val="nil"/>
              <w:bottom w:val="single" w:sz="4" w:space="0" w:color="auto"/>
              <w:right w:val="single" w:sz="4" w:space="0" w:color="auto"/>
            </w:tcBorders>
            <w:noWrap/>
            <w:vAlign w:val="bottom"/>
            <w:hideMark/>
          </w:tcPr>
          <w:p w14:paraId="47AC00C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2CA7B36E"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05160B88" w14:textId="77777777" w:rsidTr="00984A5E">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3BAE515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87" w:type="dxa"/>
            <w:tcBorders>
              <w:top w:val="nil"/>
              <w:left w:val="nil"/>
              <w:bottom w:val="single" w:sz="4" w:space="0" w:color="auto"/>
              <w:right w:val="single" w:sz="4" w:space="0" w:color="auto"/>
            </w:tcBorders>
            <w:noWrap/>
            <w:vAlign w:val="bottom"/>
            <w:hideMark/>
          </w:tcPr>
          <w:p w14:paraId="297410C9"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19,11</w:t>
            </w:r>
          </w:p>
        </w:tc>
        <w:tc>
          <w:tcPr>
            <w:tcW w:w="567" w:type="dxa"/>
            <w:tcBorders>
              <w:top w:val="nil"/>
              <w:left w:val="nil"/>
              <w:bottom w:val="single" w:sz="4" w:space="0" w:color="auto"/>
              <w:right w:val="single" w:sz="4" w:space="0" w:color="auto"/>
            </w:tcBorders>
            <w:noWrap/>
            <w:vAlign w:val="bottom"/>
            <w:hideMark/>
          </w:tcPr>
          <w:p w14:paraId="64B4CB1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833" w:type="dxa"/>
            <w:tcBorders>
              <w:top w:val="nil"/>
              <w:left w:val="nil"/>
              <w:bottom w:val="single" w:sz="4" w:space="0" w:color="auto"/>
              <w:right w:val="single" w:sz="4" w:space="0" w:color="auto"/>
            </w:tcBorders>
            <w:noWrap/>
            <w:vAlign w:val="bottom"/>
            <w:hideMark/>
          </w:tcPr>
          <w:p w14:paraId="06E0ADB8"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1,26</w:t>
            </w:r>
          </w:p>
        </w:tc>
        <w:tc>
          <w:tcPr>
            <w:tcW w:w="1200" w:type="dxa"/>
            <w:tcBorders>
              <w:top w:val="nil"/>
              <w:left w:val="nil"/>
              <w:bottom w:val="single" w:sz="4" w:space="0" w:color="auto"/>
              <w:right w:val="single" w:sz="4" w:space="0" w:color="auto"/>
            </w:tcBorders>
            <w:noWrap/>
            <w:vAlign w:val="bottom"/>
            <w:hideMark/>
          </w:tcPr>
          <w:p w14:paraId="74751653"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4AE66DFB"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F4724C" w14:paraId="7504D082" w14:textId="77777777" w:rsidTr="00984A5E">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39C50F9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57F4BE2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20,7</w:t>
            </w:r>
          </w:p>
        </w:tc>
        <w:tc>
          <w:tcPr>
            <w:tcW w:w="567" w:type="dxa"/>
            <w:tcBorders>
              <w:top w:val="nil"/>
              <w:left w:val="nil"/>
              <w:bottom w:val="single" w:sz="4" w:space="0" w:color="auto"/>
              <w:right w:val="single" w:sz="4" w:space="0" w:color="auto"/>
            </w:tcBorders>
            <w:noWrap/>
            <w:vAlign w:val="bottom"/>
            <w:hideMark/>
          </w:tcPr>
          <w:p w14:paraId="632F6F8D"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833" w:type="dxa"/>
            <w:tcBorders>
              <w:top w:val="nil"/>
              <w:left w:val="nil"/>
              <w:bottom w:val="single" w:sz="4" w:space="0" w:color="auto"/>
              <w:right w:val="single" w:sz="4" w:space="0" w:color="auto"/>
            </w:tcBorders>
            <w:noWrap/>
            <w:vAlign w:val="bottom"/>
            <w:hideMark/>
          </w:tcPr>
          <w:p w14:paraId="2DD75375"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1,41</w:t>
            </w:r>
          </w:p>
        </w:tc>
        <w:tc>
          <w:tcPr>
            <w:tcW w:w="1200" w:type="dxa"/>
            <w:tcBorders>
              <w:top w:val="nil"/>
              <w:left w:val="nil"/>
              <w:bottom w:val="single" w:sz="4" w:space="0" w:color="auto"/>
              <w:right w:val="single" w:sz="4" w:space="0" w:color="auto"/>
            </w:tcBorders>
            <w:noWrap/>
            <w:vAlign w:val="bottom"/>
            <w:hideMark/>
          </w:tcPr>
          <w:p w14:paraId="38A9842C"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5A406F90" w14:textId="77777777" w:rsidR="00F4724C" w:rsidRDefault="00F4724C" w:rsidP="0002319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54C00C54" w14:textId="77777777" w:rsidR="00F4724C" w:rsidRDefault="00F4724C" w:rsidP="00F4724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016F92CE" w14:textId="30E4E419" w:rsidR="00F4724C" w:rsidRDefault="00F4724C" w:rsidP="00023192">
      <w:pPr>
        <w:autoSpaceDE w:val="0"/>
        <w:autoSpaceDN w:val="0"/>
        <w:adjustRightInd w:val="0"/>
        <w:spacing w:before="360" w:after="0" w:line="360" w:lineRule="auto"/>
        <w:rPr>
          <w:rFonts w:cs="Times New Roman"/>
          <w:bCs/>
          <w:szCs w:val="24"/>
        </w:rPr>
      </w:pPr>
      <w:r>
        <w:rPr>
          <w:rFonts w:cs="Times New Roman"/>
          <w:bCs/>
          <w:szCs w:val="24"/>
        </w:rPr>
        <w:t xml:space="preserve">El efecto de los nutrientes que fueron </w:t>
      </w:r>
      <w:r w:rsidR="00BE2114">
        <w:rPr>
          <w:rFonts w:cs="Times New Roman"/>
          <w:bCs/>
          <w:szCs w:val="24"/>
        </w:rPr>
        <w:t>significativos (</w:t>
      </w:r>
      <w:r w:rsidR="00FC53D5">
        <w:rPr>
          <w:rFonts w:cs="Times New Roman"/>
          <w:bCs/>
          <w:szCs w:val="24"/>
        </w:rPr>
        <w:t>p&lt;0,001)</w:t>
      </w:r>
      <w:r w:rsidR="00DC4FC3">
        <w:rPr>
          <w:rFonts w:cs="Times New Roman"/>
          <w:bCs/>
          <w:szCs w:val="24"/>
        </w:rPr>
        <w:t xml:space="preserve"> </w:t>
      </w:r>
      <w:r>
        <w:rPr>
          <w:rFonts w:cs="Times New Roman"/>
          <w:bCs/>
          <w:szCs w:val="24"/>
        </w:rPr>
        <w:t xml:space="preserve">sobre la absorción de magnesio en la provincia de Chimborazo se observa en </w:t>
      </w:r>
      <w:r w:rsidR="000D1A0C">
        <w:rPr>
          <w:rFonts w:cs="Times New Roman"/>
          <w:bCs/>
          <w:szCs w:val="24"/>
        </w:rPr>
        <w:t>la</w:t>
      </w:r>
      <w:r>
        <w:rPr>
          <w:rFonts w:cs="Times New Roman"/>
          <w:bCs/>
          <w:szCs w:val="24"/>
        </w:rPr>
        <w:t xml:space="preserve"> siguiente </w:t>
      </w:r>
      <w:r w:rsidR="000D1A0C">
        <w:rPr>
          <w:rFonts w:cs="Times New Roman"/>
          <w:bCs/>
          <w:szCs w:val="24"/>
        </w:rPr>
        <w:t>figura</w:t>
      </w:r>
      <w:r w:rsidR="00FC569D">
        <w:rPr>
          <w:rFonts w:cs="Times New Roman"/>
          <w:bCs/>
          <w:szCs w:val="24"/>
        </w:rPr>
        <w:t>:</w:t>
      </w:r>
    </w:p>
    <w:p w14:paraId="305F9113" w14:textId="1F42C036" w:rsidR="00F4724C" w:rsidRPr="007123F5" w:rsidRDefault="007123F5" w:rsidP="005F2242">
      <w:pPr>
        <w:pStyle w:val="Ttulo1"/>
        <w:numPr>
          <w:ilvl w:val="0"/>
          <w:numId w:val="37"/>
        </w:numPr>
        <w:spacing w:before="360" w:after="360"/>
        <w:ind w:left="1077" w:hanging="357"/>
        <w:rPr>
          <w:b w:val="0"/>
          <w:bCs w:val="0"/>
        </w:rPr>
      </w:pPr>
      <w:bookmarkStart w:id="1699" w:name="_Toc72704625"/>
      <w:bookmarkStart w:id="1700" w:name="_Toc72705691"/>
      <w:bookmarkStart w:id="1701" w:name="_Toc72706330"/>
      <w:bookmarkStart w:id="1702" w:name="_Toc72741280"/>
      <w:bookmarkStart w:id="1703" w:name="_Toc72742876"/>
      <w:bookmarkStart w:id="1704" w:name="_Toc72881235"/>
      <w:bookmarkStart w:id="1705" w:name="_Toc72881606"/>
      <w:bookmarkStart w:id="1706" w:name="_Toc75606475"/>
      <w:bookmarkStart w:id="1707" w:name="_Toc75611954"/>
      <w:bookmarkStart w:id="1708" w:name="_Toc75612800"/>
      <w:bookmarkStart w:id="1709" w:name="_Toc75679956"/>
      <w:bookmarkStart w:id="1710" w:name="_Toc75702564"/>
      <w:bookmarkStart w:id="1711" w:name="_Toc79313229"/>
      <w:bookmarkStart w:id="1712" w:name="_Toc80008438"/>
      <w:bookmarkStart w:id="1713" w:name="_Toc80312331"/>
      <w:r w:rsidRPr="007123F5">
        <w:rPr>
          <w:b w:val="0"/>
          <w:bCs w:val="0"/>
        </w:rPr>
        <w:t>Nitrógeno</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5D4D4E22" w14:textId="6C84B6D5" w:rsidR="00F4724C" w:rsidRDefault="00F4724C" w:rsidP="00F4724C">
      <w:pPr>
        <w:autoSpaceDE w:val="0"/>
        <w:autoSpaceDN w:val="0"/>
        <w:adjustRightInd w:val="0"/>
        <w:spacing w:after="0" w:line="360" w:lineRule="auto"/>
        <w:jc w:val="center"/>
        <w:rPr>
          <w:rFonts w:cs="Times New Roman"/>
          <w:szCs w:val="24"/>
        </w:rPr>
      </w:pPr>
      <w:r>
        <w:rPr>
          <w:rFonts w:cs="Times New Roman"/>
          <w:noProof/>
          <w:szCs w:val="24"/>
          <w:lang w:eastAsia="es-EC"/>
        </w:rPr>
        <w:drawing>
          <wp:inline distT="0" distB="0" distL="0" distR="0" wp14:anchorId="55CF4A65" wp14:editId="277B0994">
            <wp:extent cx="4148957" cy="1867220"/>
            <wp:effectExtent l="0" t="0" r="4445" b="0"/>
            <wp:docPr id="64" name="Gráfico 64">
              <a:extLst xmlns:a="http://schemas.openxmlformats.org/drawingml/2006/main">
                <a:ext uri="{FF2B5EF4-FFF2-40B4-BE49-F238E27FC236}">
                  <a16:creationId xmlns:a16="http://schemas.microsoft.com/office/drawing/2014/main" id="{091032A9-0051-4CEC-8C55-E65C11F8D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D3CE50" w14:textId="75EADE44" w:rsidR="007123F5" w:rsidRDefault="007123F5" w:rsidP="005F2242">
      <w:pPr>
        <w:pStyle w:val="Ttulo1"/>
        <w:numPr>
          <w:ilvl w:val="0"/>
          <w:numId w:val="37"/>
        </w:numPr>
        <w:spacing w:before="360" w:after="360"/>
        <w:ind w:left="1077" w:hanging="357"/>
        <w:rPr>
          <w:szCs w:val="24"/>
        </w:rPr>
      </w:pPr>
      <w:bookmarkStart w:id="1714" w:name="_Toc72704626"/>
      <w:bookmarkStart w:id="1715" w:name="_Toc72705692"/>
      <w:bookmarkStart w:id="1716" w:name="_Toc72706331"/>
      <w:bookmarkStart w:id="1717" w:name="_Toc72741281"/>
      <w:bookmarkStart w:id="1718" w:name="_Toc72742877"/>
      <w:bookmarkStart w:id="1719" w:name="_Toc72881236"/>
      <w:bookmarkStart w:id="1720" w:name="_Toc72881607"/>
      <w:bookmarkStart w:id="1721" w:name="_Toc75606476"/>
      <w:bookmarkStart w:id="1722" w:name="_Toc75611955"/>
      <w:bookmarkStart w:id="1723" w:name="_Toc75612801"/>
      <w:bookmarkStart w:id="1724" w:name="_Toc75679957"/>
      <w:bookmarkStart w:id="1725" w:name="_Toc75702565"/>
      <w:bookmarkStart w:id="1726" w:name="_Toc79313230"/>
      <w:bookmarkStart w:id="1727" w:name="_Toc80008439"/>
      <w:bookmarkStart w:id="1728" w:name="_Toc80312332"/>
      <w:r>
        <w:rPr>
          <w:b w:val="0"/>
          <w:bCs w:val="0"/>
        </w:rPr>
        <w:lastRenderedPageBreak/>
        <w:t>F</w:t>
      </w:r>
      <w:r w:rsidR="00DC4FC3">
        <w:rPr>
          <w:b w:val="0"/>
          <w:bCs w:val="0"/>
        </w:rPr>
        <w:t>ó</w:t>
      </w:r>
      <w:r>
        <w:rPr>
          <w:b w:val="0"/>
          <w:bCs w:val="0"/>
        </w:rPr>
        <w:t>sforo</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4A9E9DB1" w14:textId="77777777" w:rsidR="007123F5" w:rsidRDefault="007123F5" w:rsidP="007123F5">
      <w:pPr>
        <w:autoSpaceDE w:val="0"/>
        <w:autoSpaceDN w:val="0"/>
        <w:adjustRightInd w:val="0"/>
        <w:spacing w:after="0" w:line="360" w:lineRule="auto"/>
        <w:jc w:val="center"/>
        <w:rPr>
          <w:rFonts w:cs="Times New Roman"/>
          <w:szCs w:val="24"/>
        </w:rPr>
      </w:pPr>
      <w:r>
        <w:rPr>
          <w:rFonts w:cs="Times New Roman"/>
          <w:noProof/>
          <w:szCs w:val="24"/>
          <w:lang w:eastAsia="es-EC"/>
        </w:rPr>
        <w:drawing>
          <wp:inline distT="0" distB="0" distL="0" distR="0" wp14:anchorId="421465D8" wp14:editId="4A900E17">
            <wp:extent cx="4095047" cy="1994170"/>
            <wp:effectExtent l="0" t="0" r="1270" b="6350"/>
            <wp:docPr id="65" name="Gráfico 65">
              <a:extLst xmlns:a="http://schemas.openxmlformats.org/drawingml/2006/main">
                <a:ext uri="{FF2B5EF4-FFF2-40B4-BE49-F238E27FC236}">
                  <a16:creationId xmlns:a16="http://schemas.microsoft.com/office/drawing/2014/main" id="{C0AC03D8-C8AC-4FFC-A3E9-E548C5119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53830C" w14:textId="23C8717A" w:rsidR="007123F5" w:rsidRDefault="007123F5" w:rsidP="005F2242">
      <w:pPr>
        <w:pStyle w:val="Ttulo1"/>
        <w:numPr>
          <w:ilvl w:val="0"/>
          <w:numId w:val="37"/>
        </w:numPr>
        <w:spacing w:before="360" w:after="360"/>
        <w:ind w:left="1077" w:hanging="357"/>
        <w:rPr>
          <w:szCs w:val="24"/>
        </w:rPr>
      </w:pPr>
      <w:bookmarkStart w:id="1729" w:name="_Toc72704627"/>
      <w:bookmarkStart w:id="1730" w:name="_Toc72705693"/>
      <w:bookmarkStart w:id="1731" w:name="_Toc72706332"/>
      <w:bookmarkStart w:id="1732" w:name="_Toc72741282"/>
      <w:bookmarkStart w:id="1733" w:name="_Toc72742878"/>
      <w:bookmarkStart w:id="1734" w:name="_Toc72881237"/>
      <w:bookmarkStart w:id="1735" w:name="_Toc72881608"/>
      <w:bookmarkStart w:id="1736" w:name="_Toc75606477"/>
      <w:bookmarkStart w:id="1737" w:name="_Toc75611956"/>
      <w:bookmarkStart w:id="1738" w:name="_Toc75612802"/>
      <w:bookmarkStart w:id="1739" w:name="_Toc75679958"/>
      <w:bookmarkStart w:id="1740" w:name="_Toc75702566"/>
      <w:bookmarkStart w:id="1741" w:name="_Toc79313231"/>
      <w:bookmarkStart w:id="1742" w:name="_Toc80008440"/>
      <w:bookmarkStart w:id="1743" w:name="_Toc80312333"/>
      <w:r>
        <w:rPr>
          <w:b w:val="0"/>
          <w:bCs w:val="0"/>
        </w:rPr>
        <w:t>Magnesio</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0542D8F8" w14:textId="169B4806" w:rsidR="00F4724C" w:rsidRDefault="00F4724C" w:rsidP="00F4724C">
      <w:pPr>
        <w:spacing w:line="360" w:lineRule="auto"/>
        <w:jc w:val="center"/>
        <w:rPr>
          <w:rFonts w:cs="Times New Roman"/>
          <w:szCs w:val="24"/>
        </w:rPr>
      </w:pPr>
      <w:r>
        <w:rPr>
          <w:rFonts w:cs="Times New Roman"/>
          <w:noProof/>
          <w:szCs w:val="24"/>
          <w:lang w:eastAsia="es-EC"/>
        </w:rPr>
        <w:drawing>
          <wp:inline distT="0" distB="0" distL="0" distR="0" wp14:anchorId="3A9E1E83" wp14:editId="4C0AEBAB">
            <wp:extent cx="4112377" cy="2405102"/>
            <wp:effectExtent l="0" t="0" r="2540" b="14605"/>
            <wp:docPr id="68" name="Gráfico 68">
              <a:extLst xmlns:a="http://schemas.openxmlformats.org/drawingml/2006/main">
                <a:ext uri="{FF2B5EF4-FFF2-40B4-BE49-F238E27FC236}">
                  <a16:creationId xmlns:a16="http://schemas.microsoft.com/office/drawing/2014/main" id="{D43F57C1-46CF-4814-A539-5F1E32ABC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8A42E9" w14:textId="0EAE0937" w:rsidR="00F4724C" w:rsidRDefault="00F4724C" w:rsidP="00F4724C">
      <w:pPr>
        <w:autoSpaceDE w:val="0"/>
        <w:autoSpaceDN w:val="0"/>
        <w:adjustRightInd w:val="0"/>
        <w:spacing w:after="0" w:line="360" w:lineRule="auto"/>
        <w:rPr>
          <w:rFonts w:cs="Times New Roman"/>
          <w:szCs w:val="24"/>
        </w:rPr>
      </w:pPr>
      <w:r>
        <w:rPr>
          <w:rFonts w:cs="Times New Roman"/>
          <w:szCs w:val="24"/>
        </w:rPr>
        <w:t xml:space="preserve">Efecto de los macronutrientes </w:t>
      </w:r>
      <w:r w:rsidR="004C00F1">
        <w:rPr>
          <w:rFonts w:cs="Times New Roman"/>
          <w:szCs w:val="24"/>
        </w:rPr>
        <w:t xml:space="preserve">a) nitrógeno, b) fósforo y c) magnesio </w:t>
      </w:r>
      <w:r>
        <w:rPr>
          <w:rFonts w:cs="Times New Roman"/>
          <w:szCs w:val="24"/>
        </w:rPr>
        <w:t>sobre la a</w:t>
      </w:r>
      <w:r w:rsidR="00241B4C">
        <w:rPr>
          <w:rFonts w:cs="Times New Roman"/>
          <w:szCs w:val="24"/>
        </w:rPr>
        <w:t>b</w:t>
      </w:r>
      <w:r>
        <w:rPr>
          <w:rFonts w:cs="Times New Roman"/>
          <w:szCs w:val="24"/>
        </w:rPr>
        <w:t>sorción de magnesio en maíz suave en la provincia de Chimborazo (2012-2014).</w:t>
      </w:r>
    </w:p>
    <w:p w14:paraId="0A784217" w14:textId="623B8430" w:rsidR="00C82BCC" w:rsidRDefault="004455F1" w:rsidP="005F2242">
      <w:pPr>
        <w:pStyle w:val="Ttulo2"/>
        <w:spacing w:before="360" w:after="360"/>
      </w:pPr>
      <w:bookmarkStart w:id="1744" w:name="_Toc75611957"/>
      <w:bookmarkStart w:id="1745" w:name="_Toc75612803"/>
      <w:bookmarkStart w:id="1746" w:name="_Toc75679959"/>
      <w:bookmarkStart w:id="1747" w:name="_Toc75702567"/>
      <w:bookmarkStart w:id="1748" w:name="_Toc80312334"/>
      <w:r>
        <w:t>R</w:t>
      </w:r>
      <w:r w:rsidRPr="007E253F">
        <w:t xml:space="preserve">espuesta del maíz </w:t>
      </w:r>
      <w:r>
        <w:t xml:space="preserve">suave </w:t>
      </w:r>
      <w:r w:rsidRPr="007E253F">
        <w:t>a la fertilización con macro nutrientes en la provincia de</w:t>
      </w:r>
      <w:r w:rsidR="00797AE2">
        <w:t xml:space="preserve"> </w:t>
      </w:r>
      <w:r>
        <w:t>I</w:t>
      </w:r>
      <w:r w:rsidRPr="00BE2114">
        <w:t>mbabura</w:t>
      </w:r>
      <w:bookmarkEnd w:id="1744"/>
      <w:bookmarkEnd w:id="1745"/>
      <w:bookmarkEnd w:id="1746"/>
      <w:bookmarkEnd w:id="1747"/>
      <w:bookmarkEnd w:id="1748"/>
    </w:p>
    <w:p w14:paraId="14690328" w14:textId="48F4AC7C" w:rsidR="00C82BCC" w:rsidRDefault="00C82BCC" w:rsidP="005F2242">
      <w:pPr>
        <w:pStyle w:val="Ttulo3"/>
        <w:spacing w:before="360" w:after="360"/>
      </w:pPr>
      <w:bookmarkStart w:id="1749" w:name="_Toc80312335"/>
      <w:r>
        <w:t>Rendimiento (t ha</w:t>
      </w:r>
      <w:r>
        <w:rPr>
          <w:vertAlign w:val="superscript"/>
        </w:rPr>
        <w:t>-1</w:t>
      </w:r>
      <w:r>
        <w:t>)</w:t>
      </w:r>
      <w:bookmarkEnd w:id="1749"/>
    </w:p>
    <w:p w14:paraId="1A2B1389" w14:textId="77777777" w:rsidR="005F2242" w:rsidRDefault="00C82BCC" w:rsidP="005F2242">
      <w:pPr>
        <w:autoSpaceDE w:val="0"/>
        <w:autoSpaceDN w:val="0"/>
        <w:adjustRightInd w:val="0"/>
        <w:spacing w:after="0" w:line="360" w:lineRule="auto"/>
        <w:rPr>
          <w:rFonts w:cs="Times New Roman"/>
          <w:b/>
          <w:bCs/>
          <w:color w:val="0000FF"/>
        </w:rPr>
      </w:pPr>
      <w:r>
        <w:rPr>
          <w:rFonts w:cs="Times New Roman"/>
          <w:szCs w:val="24"/>
        </w:rPr>
        <w:t xml:space="preserve">Al utilizar el modelo estadístico para rendimiento, se detectaron diferencias estadísticas significativas (p &lt;0,05) para las fuentes de variación de parroquia </w:t>
      </w:r>
      <w:r>
        <w:rPr>
          <w:rFonts w:cs="Times New Roman"/>
          <w:szCs w:val="24"/>
        </w:rPr>
        <w:lastRenderedPageBreak/>
        <w:t>(efecto de ambiente), nitrógeno, potasio y magnesio; mientras que no fueron significativos para dosis de fósforo y azufre (Cuadro 100). Por lo tanto, las dosis de los fertilizantes con N, K y Mg afectaron a esta variable, al igual que el efecto ambiental de cada parroquia donde se realizaron las evaluaciones. El promedio general de rendimiento fue 4,59 t ha</w:t>
      </w:r>
      <w:r>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0,92 y un coeficiente de variación fue de 12,36 %</w:t>
      </w:r>
      <w:r w:rsidR="002F2624">
        <w:rPr>
          <w:rFonts w:cs="Times New Roman"/>
          <w:b/>
          <w:bCs/>
          <w:color w:val="0000FF"/>
        </w:rPr>
        <w:t>.</w:t>
      </w:r>
      <w:bookmarkStart w:id="1750" w:name="_Toc79314092"/>
    </w:p>
    <w:p w14:paraId="28510C1A" w14:textId="7F87BD23" w:rsidR="002F2624" w:rsidRPr="005F2242" w:rsidRDefault="002F2624" w:rsidP="005F2242">
      <w:pPr>
        <w:autoSpaceDE w:val="0"/>
        <w:autoSpaceDN w:val="0"/>
        <w:adjustRightInd w:val="0"/>
        <w:spacing w:before="360" w:after="0" w:line="360" w:lineRule="auto"/>
        <w:rPr>
          <w:rFonts w:cs="Times New Roman"/>
          <w:b/>
          <w:bCs/>
          <w:color w:val="0000FF"/>
        </w:rPr>
      </w:pPr>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100</w:t>
      </w:r>
      <w:r w:rsidRPr="002F2624">
        <w:rPr>
          <w:rFonts w:cs="Times New Roman"/>
          <w:b/>
          <w:i/>
          <w:iCs/>
          <w:szCs w:val="24"/>
        </w:rPr>
        <w:fldChar w:fldCharType="end"/>
      </w:r>
      <w:r w:rsidRPr="002F2624">
        <w:rPr>
          <w:rFonts w:cs="Times New Roman"/>
          <w:b/>
          <w:szCs w:val="24"/>
        </w:rPr>
        <w:t>.</w:t>
      </w:r>
      <w:r w:rsidRPr="002F2624">
        <w:rPr>
          <w:rFonts w:cs="Times New Roman"/>
          <w:szCs w:val="24"/>
        </w:rPr>
        <w:t xml:space="preserve"> Análisis de la Varianza (SC tipo I) y porcentaje de varianza para el rendimiento de maíz suave en grano seco, evaluado en la provincia de Imbabura (2010-2015).</w:t>
      </w:r>
      <w:bookmarkEnd w:id="1750"/>
    </w:p>
    <w:tbl>
      <w:tblPr>
        <w:tblW w:w="7792" w:type="dxa"/>
        <w:tblCellMar>
          <w:left w:w="70" w:type="dxa"/>
          <w:right w:w="70" w:type="dxa"/>
        </w:tblCellMar>
        <w:tblLook w:val="04A0" w:firstRow="1" w:lastRow="0" w:firstColumn="1" w:lastColumn="0" w:noHBand="0" w:noVBand="1"/>
      </w:tblPr>
      <w:tblGrid>
        <w:gridCol w:w="1413"/>
        <w:gridCol w:w="1134"/>
        <w:gridCol w:w="709"/>
        <w:gridCol w:w="992"/>
        <w:gridCol w:w="850"/>
        <w:gridCol w:w="1276"/>
        <w:gridCol w:w="1418"/>
      </w:tblGrid>
      <w:tr w:rsidR="00C82BCC" w14:paraId="69D8A59A" w14:textId="77777777" w:rsidTr="005F2242">
        <w:trPr>
          <w:trHeight w:val="300"/>
        </w:trPr>
        <w:tc>
          <w:tcPr>
            <w:tcW w:w="1413" w:type="dxa"/>
            <w:tcBorders>
              <w:top w:val="single" w:sz="4" w:space="0" w:color="auto"/>
              <w:left w:val="single" w:sz="4" w:space="0" w:color="auto"/>
              <w:bottom w:val="single" w:sz="4" w:space="0" w:color="auto"/>
              <w:right w:val="single" w:sz="4" w:space="0" w:color="auto"/>
            </w:tcBorders>
            <w:noWrap/>
            <w:vAlign w:val="bottom"/>
            <w:hideMark/>
          </w:tcPr>
          <w:p w14:paraId="0B494EBA"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1134" w:type="dxa"/>
            <w:tcBorders>
              <w:top w:val="single" w:sz="4" w:space="0" w:color="auto"/>
              <w:left w:val="nil"/>
              <w:bottom w:val="single" w:sz="4" w:space="0" w:color="auto"/>
              <w:right w:val="single" w:sz="4" w:space="0" w:color="auto"/>
            </w:tcBorders>
            <w:noWrap/>
            <w:vAlign w:val="bottom"/>
            <w:hideMark/>
          </w:tcPr>
          <w:p w14:paraId="165DF63C"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709" w:type="dxa"/>
            <w:tcBorders>
              <w:top w:val="single" w:sz="4" w:space="0" w:color="auto"/>
              <w:left w:val="nil"/>
              <w:bottom w:val="single" w:sz="4" w:space="0" w:color="auto"/>
              <w:right w:val="single" w:sz="4" w:space="0" w:color="auto"/>
            </w:tcBorders>
            <w:noWrap/>
            <w:vAlign w:val="bottom"/>
            <w:hideMark/>
          </w:tcPr>
          <w:p w14:paraId="2DBC2C45"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gl</w:t>
            </w:r>
          </w:p>
        </w:tc>
        <w:tc>
          <w:tcPr>
            <w:tcW w:w="992" w:type="dxa"/>
            <w:tcBorders>
              <w:top w:val="single" w:sz="4" w:space="0" w:color="auto"/>
              <w:left w:val="nil"/>
              <w:bottom w:val="single" w:sz="4" w:space="0" w:color="auto"/>
              <w:right w:val="single" w:sz="4" w:space="0" w:color="auto"/>
            </w:tcBorders>
            <w:noWrap/>
            <w:vAlign w:val="bottom"/>
            <w:hideMark/>
          </w:tcPr>
          <w:p w14:paraId="26FB300E"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850" w:type="dxa"/>
            <w:tcBorders>
              <w:top w:val="single" w:sz="4" w:space="0" w:color="auto"/>
              <w:left w:val="nil"/>
              <w:bottom w:val="single" w:sz="4" w:space="0" w:color="auto"/>
              <w:right w:val="single" w:sz="4" w:space="0" w:color="auto"/>
            </w:tcBorders>
            <w:noWrap/>
            <w:vAlign w:val="bottom"/>
            <w:hideMark/>
          </w:tcPr>
          <w:p w14:paraId="0D6F4C86"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1276" w:type="dxa"/>
            <w:tcBorders>
              <w:top w:val="single" w:sz="4" w:space="0" w:color="auto"/>
              <w:left w:val="nil"/>
              <w:bottom w:val="single" w:sz="4" w:space="0" w:color="auto"/>
              <w:right w:val="single" w:sz="4" w:space="0" w:color="auto"/>
            </w:tcBorders>
            <w:noWrap/>
            <w:vAlign w:val="bottom"/>
            <w:hideMark/>
          </w:tcPr>
          <w:p w14:paraId="01D77671"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1418" w:type="dxa"/>
            <w:tcBorders>
              <w:top w:val="single" w:sz="4" w:space="0" w:color="auto"/>
              <w:left w:val="nil"/>
              <w:bottom w:val="single" w:sz="4" w:space="0" w:color="auto"/>
              <w:right w:val="single" w:sz="4" w:space="0" w:color="auto"/>
            </w:tcBorders>
            <w:noWrap/>
            <w:vAlign w:val="bottom"/>
            <w:hideMark/>
          </w:tcPr>
          <w:p w14:paraId="41E784A6"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092E4374"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3755F8D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1134" w:type="dxa"/>
            <w:tcBorders>
              <w:top w:val="nil"/>
              <w:left w:val="nil"/>
              <w:bottom w:val="single" w:sz="4" w:space="0" w:color="auto"/>
              <w:right w:val="single" w:sz="4" w:space="0" w:color="auto"/>
            </w:tcBorders>
            <w:noWrap/>
            <w:vAlign w:val="bottom"/>
            <w:hideMark/>
          </w:tcPr>
          <w:p w14:paraId="7838E9A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175,88</w:t>
            </w:r>
          </w:p>
        </w:tc>
        <w:tc>
          <w:tcPr>
            <w:tcW w:w="709" w:type="dxa"/>
            <w:tcBorders>
              <w:top w:val="nil"/>
              <w:left w:val="nil"/>
              <w:bottom w:val="single" w:sz="4" w:space="0" w:color="auto"/>
              <w:right w:val="single" w:sz="4" w:space="0" w:color="auto"/>
            </w:tcBorders>
            <w:noWrap/>
            <w:vAlign w:val="bottom"/>
            <w:hideMark/>
          </w:tcPr>
          <w:p w14:paraId="3A69CFA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992" w:type="dxa"/>
            <w:tcBorders>
              <w:top w:val="nil"/>
              <w:left w:val="nil"/>
              <w:bottom w:val="single" w:sz="4" w:space="0" w:color="auto"/>
              <w:right w:val="single" w:sz="4" w:space="0" w:color="auto"/>
            </w:tcBorders>
            <w:noWrap/>
            <w:vAlign w:val="bottom"/>
            <w:hideMark/>
          </w:tcPr>
          <w:p w14:paraId="084FA42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8,38</w:t>
            </w:r>
          </w:p>
        </w:tc>
        <w:tc>
          <w:tcPr>
            <w:tcW w:w="850" w:type="dxa"/>
            <w:tcBorders>
              <w:top w:val="nil"/>
              <w:left w:val="nil"/>
              <w:bottom w:val="single" w:sz="4" w:space="0" w:color="auto"/>
              <w:right w:val="single" w:sz="4" w:space="0" w:color="auto"/>
            </w:tcBorders>
            <w:noWrap/>
            <w:vAlign w:val="bottom"/>
            <w:hideMark/>
          </w:tcPr>
          <w:p w14:paraId="7259B41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26,07</w:t>
            </w:r>
          </w:p>
        </w:tc>
        <w:tc>
          <w:tcPr>
            <w:tcW w:w="1276" w:type="dxa"/>
            <w:tcBorders>
              <w:top w:val="nil"/>
              <w:left w:val="nil"/>
              <w:bottom w:val="single" w:sz="4" w:space="0" w:color="auto"/>
              <w:right w:val="single" w:sz="4" w:space="0" w:color="auto"/>
            </w:tcBorders>
            <w:noWrap/>
            <w:vAlign w:val="bottom"/>
            <w:hideMark/>
          </w:tcPr>
          <w:p w14:paraId="765E2E6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418" w:type="dxa"/>
            <w:tcBorders>
              <w:top w:val="nil"/>
              <w:left w:val="nil"/>
              <w:bottom w:val="single" w:sz="4" w:space="0" w:color="auto"/>
              <w:right w:val="single" w:sz="4" w:space="0" w:color="auto"/>
            </w:tcBorders>
            <w:noWrap/>
            <w:vAlign w:val="bottom"/>
            <w:hideMark/>
          </w:tcPr>
          <w:p w14:paraId="16279FE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92,09</w:t>
            </w:r>
          </w:p>
        </w:tc>
      </w:tr>
      <w:tr w:rsidR="00C82BCC" w14:paraId="2B3B88FB"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4EDE672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1134" w:type="dxa"/>
            <w:tcBorders>
              <w:top w:val="nil"/>
              <w:left w:val="nil"/>
              <w:bottom w:val="single" w:sz="4" w:space="0" w:color="auto"/>
              <w:right w:val="single" w:sz="4" w:space="0" w:color="auto"/>
            </w:tcBorders>
            <w:noWrap/>
            <w:vAlign w:val="bottom"/>
            <w:hideMark/>
          </w:tcPr>
          <w:p w14:paraId="4527E48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88,39</w:t>
            </w:r>
          </w:p>
        </w:tc>
        <w:tc>
          <w:tcPr>
            <w:tcW w:w="709" w:type="dxa"/>
            <w:tcBorders>
              <w:top w:val="nil"/>
              <w:left w:val="nil"/>
              <w:bottom w:val="single" w:sz="4" w:space="0" w:color="auto"/>
              <w:right w:val="single" w:sz="4" w:space="0" w:color="auto"/>
            </w:tcBorders>
            <w:noWrap/>
            <w:vAlign w:val="bottom"/>
            <w:hideMark/>
          </w:tcPr>
          <w:p w14:paraId="267648E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992" w:type="dxa"/>
            <w:tcBorders>
              <w:top w:val="nil"/>
              <w:left w:val="nil"/>
              <w:bottom w:val="single" w:sz="4" w:space="0" w:color="auto"/>
              <w:right w:val="single" w:sz="4" w:space="0" w:color="auto"/>
            </w:tcBorders>
            <w:noWrap/>
            <w:vAlign w:val="bottom"/>
            <w:hideMark/>
          </w:tcPr>
          <w:p w14:paraId="22D7EBE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22,1</w:t>
            </w:r>
          </w:p>
        </w:tc>
        <w:tc>
          <w:tcPr>
            <w:tcW w:w="850" w:type="dxa"/>
            <w:tcBorders>
              <w:top w:val="nil"/>
              <w:left w:val="nil"/>
              <w:bottom w:val="single" w:sz="4" w:space="0" w:color="auto"/>
              <w:right w:val="single" w:sz="4" w:space="0" w:color="auto"/>
            </w:tcBorders>
            <w:noWrap/>
            <w:vAlign w:val="bottom"/>
            <w:hideMark/>
          </w:tcPr>
          <w:p w14:paraId="508123C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68,78</w:t>
            </w:r>
          </w:p>
        </w:tc>
        <w:tc>
          <w:tcPr>
            <w:tcW w:w="1276" w:type="dxa"/>
            <w:tcBorders>
              <w:top w:val="nil"/>
              <w:left w:val="nil"/>
              <w:bottom w:val="single" w:sz="4" w:space="0" w:color="auto"/>
              <w:right w:val="single" w:sz="4" w:space="0" w:color="auto"/>
            </w:tcBorders>
            <w:noWrap/>
            <w:vAlign w:val="bottom"/>
            <w:hideMark/>
          </w:tcPr>
          <w:p w14:paraId="0545771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418" w:type="dxa"/>
            <w:tcBorders>
              <w:top w:val="nil"/>
              <w:left w:val="nil"/>
              <w:bottom w:val="single" w:sz="4" w:space="0" w:color="auto"/>
              <w:right w:val="single" w:sz="4" w:space="0" w:color="auto"/>
            </w:tcBorders>
            <w:noWrap/>
            <w:vAlign w:val="bottom"/>
            <w:hideMark/>
          </w:tcPr>
          <w:p w14:paraId="54F7386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46,28</w:t>
            </w:r>
          </w:p>
        </w:tc>
      </w:tr>
      <w:tr w:rsidR="00C82BCC" w14:paraId="0386DC5F"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2602DC8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1134" w:type="dxa"/>
            <w:tcBorders>
              <w:top w:val="nil"/>
              <w:left w:val="nil"/>
              <w:bottom w:val="single" w:sz="4" w:space="0" w:color="auto"/>
              <w:right w:val="single" w:sz="4" w:space="0" w:color="auto"/>
            </w:tcBorders>
            <w:noWrap/>
            <w:vAlign w:val="bottom"/>
            <w:hideMark/>
          </w:tcPr>
          <w:p w14:paraId="56D3DF1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40,5</w:t>
            </w:r>
          </w:p>
        </w:tc>
        <w:tc>
          <w:tcPr>
            <w:tcW w:w="709" w:type="dxa"/>
            <w:tcBorders>
              <w:top w:val="nil"/>
              <w:left w:val="nil"/>
              <w:bottom w:val="single" w:sz="4" w:space="0" w:color="auto"/>
              <w:right w:val="single" w:sz="4" w:space="0" w:color="auto"/>
            </w:tcBorders>
            <w:noWrap/>
            <w:vAlign w:val="bottom"/>
            <w:hideMark/>
          </w:tcPr>
          <w:p w14:paraId="1923703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992" w:type="dxa"/>
            <w:tcBorders>
              <w:top w:val="nil"/>
              <w:left w:val="nil"/>
              <w:bottom w:val="single" w:sz="4" w:space="0" w:color="auto"/>
              <w:right w:val="single" w:sz="4" w:space="0" w:color="auto"/>
            </w:tcBorders>
            <w:noWrap/>
            <w:vAlign w:val="bottom"/>
            <w:hideMark/>
          </w:tcPr>
          <w:p w14:paraId="7F93F00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6,75</w:t>
            </w:r>
          </w:p>
        </w:tc>
        <w:tc>
          <w:tcPr>
            <w:tcW w:w="850" w:type="dxa"/>
            <w:tcBorders>
              <w:top w:val="nil"/>
              <w:left w:val="nil"/>
              <w:bottom w:val="single" w:sz="4" w:space="0" w:color="auto"/>
              <w:right w:val="single" w:sz="4" w:space="0" w:color="auto"/>
            </w:tcBorders>
            <w:noWrap/>
            <w:vAlign w:val="bottom"/>
            <w:hideMark/>
          </w:tcPr>
          <w:p w14:paraId="696C096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21,01</w:t>
            </w:r>
          </w:p>
        </w:tc>
        <w:tc>
          <w:tcPr>
            <w:tcW w:w="1276" w:type="dxa"/>
            <w:tcBorders>
              <w:top w:val="nil"/>
              <w:left w:val="nil"/>
              <w:bottom w:val="single" w:sz="4" w:space="0" w:color="auto"/>
              <w:right w:val="single" w:sz="4" w:space="0" w:color="auto"/>
            </w:tcBorders>
            <w:noWrap/>
            <w:vAlign w:val="bottom"/>
            <w:hideMark/>
          </w:tcPr>
          <w:p w14:paraId="70B235C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418" w:type="dxa"/>
            <w:tcBorders>
              <w:top w:val="nil"/>
              <w:left w:val="nil"/>
              <w:bottom w:val="single" w:sz="4" w:space="0" w:color="auto"/>
              <w:right w:val="single" w:sz="4" w:space="0" w:color="auto"/>
            </w:tcBorders>
            <w:noWrap/>
            <w:vAlign w:val="bottom"/>
            <w:hideMark/>
          </w:tcPr>
          <w:p w14:paraId="7FC6AA7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21,21</w:t>
            </w:r>
          </w:p>
        </w:tc>
      </w:tr>
      <w:tr w:rsidR="00C82BCC" w14:paraId="2B970387"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67C0D81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1134" w:type="dxa"/>
            <w:tcBorders>
              <w:top w:val="nil"/>
              <w:left w:val="nil"/>
              <w:bottom w:val="single" w:sz="4" w:space="0" w:color="auto"/>
              <w:right w:val="single" w:sz="4" w:space="0" w:color="auto"/>
            </w:tcBorders>
            <w:noWrap/>
            <w:vAlign w:val="bottom"/>
            <w:hideMark/>
          </w:tcPr>
          <w:p w14:paraId="6C2ED14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1,08</w:t>
            </w:r>
          </w:p>
        </w:tc>
        <w:tc>
          <w:tcPr>
            <w:tcW w:w="709" w:type="dxa"/>
            <w:tcBorders>
              <w:top w:val="nil"/>
              <w:left w:val="nil"/>
              <w:bottom w:val="single" w:sz="4" w:space="0" w:color="auto"/>
              <w:right w:val="single" w:sz="4" w:space="0" w:color="auto"/>
            </w:tcBorders>
            <w:noWrap/>
            <w:vAlign w:val="bottom"/>
            <w:hideMark/>
          </w:tcPr>
          <w:p w14:paraId="5B208D3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992" w:type="dxa"/>
            <w:tcBorders>
              <w:top w:val="nil"/>
              <w:left w:val="nil"/>
              <w:bottom w:val="single" w:sz="4" w:space="0" w:color="auto"/>
              <w:right w:val="single" w:sz="4" w:space="0" w:color="auto"/>
            </w:tcBorders>
            <w:noWrap/>
            <w:vAlign w:val="bottom"/>
            <w:hideMark/>
          </w:tcPr>
          <w:p w14:paraId="0AD5E51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0,27</w:t>
            </w:r>
          </w:p>
        </w:tc>
        <w:tc>
          <w:tcPr>
            <w:tcW w:w="850" w:type="dxa"/>
            <w:tcBorders>
              <w:top w:val="nil"/>
              <w:left w:val="nil"/>
              <w:bottom w:val="single" w:sz="4" w:space="0" w:color="auto"/>
              <w:right w:val="single" w:sz="4" w:space="0" w:color="auto"/>
            </w:tcBorders>
            <w:noWrap/>
            <w:vAlign w:val="bottom"/>
            <w:hideMark/>
          </w:tcPr>
          <w:p w14:paraId="4AC1D3E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0,84</w:t>
            </w:r>
          </w:p>
        </w:tc>
        <w:tc>
          <w:tcPr>
            <w:tcW w:w="1276" w:type="dxa"/>
            <w:tcBorders>
              <w:top w:val="nil"/>
              <w:left w:val="nil"/>
              <w:bottom w:val="single" w:sz="4" w:space="0" w:color="auto"/>
              <w:right w:val="single" w:sz="4" w:space="0" w:color="auto"/>
            </w:tcBorders>
            <w:noWrap/>
            <w:vAlign w:val="bottom"/>
            <w:hideMark/>
          </w:tcPr>
          <w:p w14:paraId="08EC3CF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0,508</w:t>
            </w:r>
          </w:p>
        </w:tc>
        <w:tc>
          <w:tcPr>
            <w:tcW w:w="1418" w:type="dxa"/>
            <w:tcBorders>
              <w:top w:val="nil"/>
              <w:left w:val="nil"/>
              <w:bottom w:val="single" w:sz="4" w:space="0" w:color="auto"/>
              <w:right w:val="single" w:sz="4" w:space="0" w:color="auto"/>
            </w:tcBorders>
            <w:noWrap/>
            <w:vAlign w:val="bottom"/>
            <w:hideMark/>
          </w:tcPr>
          <w:p w14:paraId="69EC5C1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0,57</w:t>
            </w:r>
          </w:p>
        </w:tc>
      </w:tr>
      <w:tr w:rsidR="00C82BCC" w14:paraId="16A931DF"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5B6F2BF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1134" w:type="dxa"/>
            <w:tcBorders>
              <w:top w:val="nil"/>
              <w:left w:val="nil"/>
              <w:bottom w:val="single" w:sz="4" w:space="0" w:color="auto"/>
              <w:right w:val="single" w:sz="4" w:space="0" w:color="auto"/>
            </w:tcBorders>
            <w:noWrap/>
            <w:vAlign w:val="bottom"/>
            <w:hideMark/>
          </w:tcPr>
          <w:p w14:paraId="52F62EA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39,84</w:t>
            </w:r>
          </w:p>
        </w:tc>
        <w:tc>
          <w:tcPr>
            <w:tcW w:w="709" w:type="dxa"/>
            <w:tcBorders>
              <w:top w:val="nil"/>
              <w:left w:val="nil"/>
              <w:bottom w:val="single" w:sz="4" w:space="0" w:color="auto"/>
              <w:right w:val="single" w:sz="4" w:space="0" w:color="auto"/>
            </w:tcBorders>
            <w:noWrap/>
            <w:vAlign w:val="bottom"/>
            <w:hideMark/>
          </w:tcPr>
          <w:p w14:paraId="4968453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992" w:type="dxa"/>
            <w:tcBorders>
              <w:top w:val="nil"/>
              <w:left w:val="nil"/>
              <w:bottom w:val="single" w:sz="4" w:space="0" w:color="auto"/>
              <w:right w:val="single" w:sz="4" w:space="0" w:color="auto"/>
            </w:tcBorders>
            <w:noWrap/>
            <w:vAlign w:val="bottom"/>
            <w:hideMark/>
          </w:tcPr>
          <w:p w14:paraId="4033F73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13,28</w:t>
            </w:r>
          </w:p>
        </w:tc>
        <w:tc>
          <w:tcPr>
            <w:tcW w:w="850" w:type="dxa"/>
            <w:tcBorders>
              <w:top w:val="nil"/>
              <w:left w:val="nil"/>
              <w:bottom w:val="single" w:sz="4" w:space="0" w:color="auto"/>
              <w:right w:val="single" w:sz="4" w:space="0" w:color="auto"/>
            </w:tcBorders>
            <w:noWrap/>
            <w:vAlign w:val="bottom"/>
            <w:hideMark/>
          </w:tcPr>
          <w:p w14:paraId="249FE79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41,34</w:t>
            </w:r>
          </w:p>
        </w:tc>
        <w:tc>
          <w:tcPr>
            <w:tcW w:w="1276" w:type="dxa"/>
            <w:tcBorders>
              <w:top w:val="nil"/>
              <w:left w:val="nil"/>
              <w:bottom w:val="single" w:sz="4" w:space="0" w:color="auto"/>
              <w:right w:val="single" w:sz="4" w:space="0" w:color="auto"/>
            </w:tcBorders>
            <w:noWrap/>
            <w:vAlign w:val="bottom"/>
            <w:hideMark/>
          </w:tcPr>
          <w:p w14:paraId="2583D02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418" w:type="dxa"/>
            <w:tcBorders>
              <w:top w:val="nil"/>
              <w:left w:val="nil"/>
              <w:bottom w:val="single" w:sz="4" w:space="0" w:color="auto"/>
              <w:right w:val="single" w:sz="4" w:space="0" w:color="auto"/>
            </w:tcBorders>
            <w:noWrap/>
            <w:vAlign w:val="bottom"/>
            <w:hideMark/>
          </w:tcPr>
          <w:p w14:paraId="4CD4B17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20,86</w:t>
            </w:r>
          </w:p>
        </w:tc>
      </w:tr>
      <w:tr w:rsidR="00C82BCC" w14:paraId="1E7BAB63"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73EAF35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1134" w:type="dxa"/>
            <w:tcBorders>
              <w:top w:val="nil"/>
              <w:left w:val="nil"/>
              <w:bottom w:val="single" w:sz="4" w:space="0" w:color="auto"/>
              <w:right w:val="single" w:sz="4" w:space="0" w:color="auto"/>
            </w:tcBorders>
            <w:noWrap/>
            <w:vAlign w:val="bottom"/>
            <w:hideMark/>
          </w:tcPr>
          <w:p w14:paraId="1786BE8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w:t>
            </w:r>
          </w:p>
        </w:tc>
        <w:tc>
          <w:tcPr>
            <w:tcW w:w="709" w:type="dxa"/>
            <w:tcBorders>
              <w:top w:val="nil"/>
              <w:left w:val="nil"/>
              <w:bottom w:val="single" w:sz="4" w:space="0" w:color="auto"/>
              <w:right w:val="single" w:sz="4" w:space="0" w:color="auto"/>
            </w:tcBorders>
            <w:noWrap/>
            <w:vAlign w:val="bottom"/>
            <w:hideMark/>
          </w:tcPr>
          <w:p w14:paraId="2747299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992" w:type="dxa"/>
            <w:tcBorders>
              <w:top w:val="nil"/>
              <w:left w:val="nil"/>
              <w:bottom w:val="single" w:sz="4" w:space="0" w:color="auto"/>
              <w:right w:val="single" w:sz="4" w:space="0" w:color="auto"/>
            </w:tcBorders>
            <w:noWrap/>
            <w:vAlign w:val="bottom"/>
            <w:hideMark/>
          </w:tcPr>
          <w:p w14:paraId="7014423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0,83</w:t>
            </w:r>
          </w:p>
        </w:tc>
        <w:tc>
          <w:tcPr>
            <w:tcW w:w="850" w:type="dxa"/>
            <w:tcBorders>
              <w:top w:val="nil"/>
              <w:left w:val="nil"/>
              <w:bottom w:val="single" w:sz="4" w:space="0" w:color="auto"/>
              <w:right w:val="single" w:sz="4" w:space="0" w:color="auto"/>
            </w:tcBorders>
            <w:noWrap/>
            <w:vAlign w:val="bottom"/>
            <w:hideMark/>
          </w:tcPr>
          <w:p w14:paraId="543C9A6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2,58</w:t>
            </w:r>
          </w:p>
        </w:tc>
        <w:tc>
          <w:tcPr>
            <w:tcW w:w="1276" w:type="dxa"/>
            <w:tcBorders>
              <w:top w:val="nil"/>
              <w:left w:val="nil"/>
              <w:bottom w:val="single" w:sz="4" w:space="0" w:color="auto"/>
              <w:right w:val="single" w:sz="4" w:space="0" w:color="auto"/>
            </w:tcBorders>
            <w:noWrap/>
            <w:vAlign w:val="bottom"/>
            <w:hideMark/>
          </w:tcPr>
          <w:p w14:paraId="33FB852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0,0868</w:t>
            </w:r>
          </w:p>
        </w:tc>
        <w:tc>
          <w:tcPr>
            <w:tcW w:w="1418" w:type="dxa"/>
            <w:tcBorders>
              <w:top w:val="nil"/>
              <w:left w:val="nil"/>
              <w:bottom w:val="single" w:sz="4" w:space="0" w:color="auto"/>
              <w:right w:val="single" w:sz="4" w:space="0" w:color="auto"/>
            </w:tcBorders>
            <w:noWrap/>
            <w:vAlign w:val="bottom"/>
            <w:hideMark/>
          </w:tcPr>
          <w:p w14:paraId="53311EE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0,87</w:t>
            </w:r>
          </w:p>
        </w:tc>
      </w:tr>
      <w:tr w:rsidR="00C82BCC" w14:paraId="5F2061FB"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096AA72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1134" w:type="dxa"/>
            <w:tcBorders>
              <w:top w:val="nil"/>
              <w:left w:val="nil"/>
              <w:bottom w:val="single" w:sz="4" w:space="0" w:color="auto"/>
              <w:right w:val="single" w:sz="4" w:space="0" w:color="auto"/>
            </w:tcBorders>
            <w:noWrap/>
            <w:vAlign w:val="bottom"/>
            <w:hideMark/>
          </w:tcPr>
          <w:p w14:paraId="5B9BEAE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4,42</w:t>
            </w:r>
          </w:p>
        </w:tc>
        <w:tc>
          <w:tcPr>
            <w:tcW w:w="709" w:type="dxa"/>
            <w:tcBorders>
              <w:top w:val="nil"/>
              <w:left w:val="nil"/>
              <w:bottom w:val="single" w:sz="4" w:space="0" w:color="auto"/>
              <w:right w:val="single" w:sz="4" w:space="0" w:color="auto"/>
            </w:tcBorders>
            <w:noWrap/>
            <w:vAlign w:val="bottom"/>
            <w:hideMark/>
          </w:tcPr>
          <w:p w14:paraId="0790327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992" w:type="dxa"/>
            <w:tcBorders>
              <w:top w:val="nil"/>
              <w:left w:val="nil"/>
              <w:bottom w:val="single" w:sz="4" w:space="0" w:color="auto"/>
              <w:right w:val="single" w:sz="4" w:space="0" w:color="auto"/>
            </w:tcBorders>
            <w:noWrap/>
            <w:vAlign w:val="bottom"/>
            <w:hideMark/>
          </w:tcPr>
          <w:p w14:paraId="41EC7A5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2,21</w:t>
            </w:r>
          </w:p>
        </w:tc>
        <w:tc>
          <w:tcPr>
            <w:tcW w:w="850" w:type="dxa"/>
            <w:tcBorders>
              <w:top w:val="nil"/>
              <w:left w:val="nil"/>
              <w:bottom w:val="single" w:sz="4" w:space="0" w:color="auto"/>
              <w:right w:val="single" w:sz="4" w:space="0" w:color="auto"/>
            </w:tcBorders>
            <w:noWrap/>
            <w:vAlign w:val="bottom"/>
            <w:hideMark/>
          </w:tcPr>
          <w:p w14:paraId="281EFCA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6,88</w:t>
            </w:r>
          </w:p>
        </w:tc>
        <w:tc>
          <w:tcPr>
            <w:tcW w:w="1276" w:type="dxa"/>
            <w:tcBorders>
              <w:top w:val="nil"/>
              <w:left w:val="nil"/>
              <w:bottom w:val="single" w:sz="4" w:space="0" w:color="auto"/>
              <w:right w:val="single" w:sz="4" w:space="0" w:color="auto"/>
            </w:tcBorders>
            <w:noWrap/>
            <w:vAlign w:val="bottom"/>
            <w:hideMark/>
          </w:tcPr>
          <w:p w14:paraId="47D0703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0,0024</w:t>
            </w:r>
          </w:p>
        </w:tc>
        <w:tc>
          <w:tcPr>
            <w:tcW w:w="1418" w:type="dxa"/>
            <w:tcBorders>
              <w:top w:val="nil"/>
              <w:left w:val="nil"/>
              <w:bottom w:val="single" w:sz="4" w:space="0" w:color="auto"/>
              <w:right w:val="single" w:sz="4" w:space="0" w:color="auto"/>
            </w:tcBorders>
            <w:noWrap/>
            <w:vAlign w:val="bottom"/>
            <w:hideMark/>
          </w:tcPr>
          <w:p w14:paraId="226D88A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2,31</w:t>
            </w:r>
          </w:p>
        </w:tc>
      </w:tr>
      <w:tr w:rsidR="00C82BCC" w14:paraId="1C205BB9"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785BC8E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1134" w:type="dxa"/>
            <w:tcBorders>
              <w:top w:val="nil"/>
              <w:left w:val="nil"/>
              <w:bottom w:val="single" w:sz="4" w:space="0" w:color="auto"/>
              <w:right w:val="single" w:sz="4" w:space="0" w:color="auto"/>
            </w:tcBorders>
            <w:noWrap/>
            <w:vAlign w:val="bottom"/>
            <w:hideMark/>
          </w:tcPr>
          <w:p w14:paraId="743817C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15,1</w:t>
            </w:r>
          </w:p>
        </w:tc>
        <w:tc>
          <w:tcPr>
            <w:tcW w:w="709" w:type="dxa"/>
            <w:tcBorders>
              <w:top w:val="nil"/>
              <w:left w:val="nil"/>
              <w:bottom w:val="single" w:sz="4" w:space="0" w:color="auto"/>
              <w:right w:val="single" w:sz="4" w:space="0" w:color="auto"/>
            </w:tcBorders>
            <w:noWrap/>
            <w:vAlign w:val="bottom"/>
            <w:hideMark/>
          </w:tcPr>
          <w:p w14:paraId="26F4BB2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992" w:type="dxa"/>
            <w:tcBorders>
              <w:top w:val="nil"/>
              <w:left w:val="nil"/>
              <w:bottom w:val="single" w:sz="4" w:space="0" w:color="auto"/>
              <w:right w:val="single" w:sz="4" w:space="0" w:color="auto"/>
            </w:tcBorders>
            <w:noWrap/>
            <w:vAlign w:val="bottom"/>
            <w:hideMark/>
          </w:tcPr>
          <w:p w14:paraId="15BCB83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0,32</w:t>
            </w:r>
          </w:p>
        </w:tc>
        <w:tc>
          <w:tcPr>
            <w:tcW w:w="850" w:type="dxa"/>
            <w:tcBorders>
              <w:top w:val="nil"/>
              <w:left w:val="nil"/>
              <w:bottom w:val="single" w:sz="4" w:space="0" w:color="auto"/>
              <w:right w:val="single" w:sz="4" w:space="0" w:color="auto"/>
            </w:tcBorders>
            <w:noWrap/>
            <w:vAlign w:val="bottom"/>
            <w:hideMark/>
          </w:tcPr>
          <w:p w14:paraId="03F4B350"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76" w:type="dxa"/>
            <w:tcBorders>
              <w:top w:val="nil"/>
              <w:left w:val="nil"/>
              <w:bottom w:val="single" w:sz="4" w:space="0" w:color="auto"/>
              <w:right w:val="single" w:sz="4" w:space="0" w:color="auto"/>
            </w:tcBorders>
            <w:noWrap/>
            <w:vAlign w:val="bottom"/>
            <w:hideMark/>
          </w:tcPr>
          <w:p w14:paraId="5D8FAB8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8" w:type="dxa"/>
            <w:tcBorders>
              <w:top w:val="nil"/>
              <w:left w:val="nil"/>
              <w:bottom w:val="single" w:sz="4" w:space="0" w:color="auto"/>
              <w:right w:val="single" w:sz="4" w:space="0" w:color="auto"/>
            </w:tcBorders>
            <w:noWrap/>
            <w:vAlign w:val="bottom"/>
            <w:hideMark/>
          </w:tcPr>
          <w:p w14:paraId="6BB50F7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7,91</w:t>
            </w:r>
          </w:p>
        </w:tc>
      </w:tr>
      <w:tr w:rsidR="00C82BCC" w14:paraId="0794A6AE" w14:textId="77777777" w:rsidTr="005F2242">
        <w:trPr>
          <w:trHeight w:val="300"/>
        </w:trPr>
        <w:tc>
          <w:tcPr>
            <w:tcW w:w="1413" w:type="dxa"/>
            <w:tcBorders>
              <w:top w:val="nil"/>
              <w:left w:val="single" w:sz="4" w:space="0" w:color="auto"/>
              <w:bottom w:val="single" w:sz="4" w:space="0" w:color="auto"/>
              <w:right w:val="single" w:sz="4" w:space="0" w:color="auto"/>
            </w:tcBorders>
            <w:noWrap/>
            <w:vAlign w:val="bottom"/>
            <w:hideMark/>
          </w:tcPr>
          <w:p w14:paraId="206B80E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1134" w:type="dxa"/>
            <w:tcBorders>
              <w:top w:val="nil"/>
              <w:left w:val="nil"/>
              <w:bottom w:val="single" w:sz="4" w:space="0" w:color="auto"/>
              <w:right w:val="single" w:sz="4" w:space="0" w:color="auto"/>
            </w:tcBorders>
            <w:noWrap/>
            <w:vAlign w:val="bottom"/>
            <w:hideMark/>
          </w:tcPr>
          <w:p w14:paraId="573DF13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190,98</w:t>
            </w:r>
          </w:p>
        </w:tc>
        <w:tc>
          <w:tcPr>
            <w:tcW w:w="709" w:type="dxa"/>
            <w:tcBorders>
              <w:top w:val="nil"/>
              <w:left w:val="nil"/>
              <w:bottom w:val="single" w:sz="4" w:space="0" w:color="auto"/>
              <w:right w:val="single" w:sz="4" w:space="0" w:color="auto"/>
            </w:tcBorders>
            <w:noWrap/>
            <w:vAlign w:val="bottom"/>
            <w:hideMark/>
          </w:tcPr>
          <w:p w14:paraId="7E5AD09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w:t>
            </w:r>
          </w:p>
        </w:tc>
        <w:tc>
          <w:tcPr>
            <w:tcW w:w="992" w:type="dxa"/>
            <w:tcBorders>
              <w:top w:val="nil"/>
              <w:left w:val="nil"/>
              <w:bottom w:val="single" w:sz="4" w:space="0" w:color="auto"/>
              <w:right w:val="single" w:sz="4" w:space="0" w:color="auto"/>
            </w:tcBorders>
            <w:noWrap/>
            <w:vAlign w:val="bottom"/>
            <w:hideMark/>
          </w:tcPr>
          <w:p w14:paraId="7D024C3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50" w:type="dxa"/>
            <w:tcBorders>
              <w:top w:val="nil"/>
              <w:left w:val="nil"/>
              <w:bottom w:val="single" w:sz="4" w:space="0" w:color="auto"/>
              <w:right w:val="single" w:sz="4" w:space="0" w:color="auto"/>
            </w:tcBorders>
            <w:noWrap/>
            <w:vAlign w:val="bottom"/>
            <w:hideMark/>
          </w:tcPr>
          <w:p w14:paraId="5C32958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76" w:type="dxa"/>
            <w:tcBorders>
              <w:top w:val="nil"/>
              <w:left w:val="nil"/>
              <w:bottom w:val="single" w:sz="4" w:space="0" w:color="auto"/>
              <w:right w:val="single" w:sz="4" w:space="0" w:color="auto"/>
            </w:tcBorders>
            <w:noWrap/>
            <w:vAlign w:val="bottom"/>
            <w:hideMark/>
          </w:tcPr>
          <w:p w14:paraId="1BA0054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418" w:type="dxa"/>
            <w:tcBorders>
              <w:top w:val="nil"/>
              <w:left w:val="nil"/>
              <w:bottom w:val="single" w:sz="4" w:space="0" w:color="auto"/>
              <w:right w:val="single" w:sz="4" w:space="0" w:color="auto"/>
            </w:tcBorders>
            <w:noWrap/>
            <w:vAlign w:val="bottom"/>
            <w:hideMark/>
          </w:tcPr>
          <w:p w14:paraId="64F78AC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4455E796" w14:textId="1FE753A7" w:rsidR="00C82BCC" w:rsidRDefault="00C82BCC" w:rsidP="005F2242">
      <w:pPr>
        <w:autoSpaceDE w:val="0"/>
        <w:autoSpaceDN w:val="0"/>
        <w:adjustRightInd w:val="0"/>
        <w:spacing w:before="360" w:after="360" w:line="360" w:lineRule="auto"/>
        <w:rPr>
          <w:rFonts w:cs="Times New Roman"/>
          <w:bCs/>
          <w:szCs w:val="24"/>
        </w:rPr>
      </w:pPr>
      <w:r>
        <w:rPr>
          <w:rFonts w:cs="Times New Roman"/>
          <w:bCs/>
          <w:szCs w:val="24"/>
        </w:rPr>
        <w:t>El modelo estadístico establecido explica el 92,09 % de la variación observada en los datos; siendo nitrógeno el nutriente más importante que explicó el 21,21 % de la variación observada. El 7,91 % de la variación se les atribuyó a efectos aleatorios que el modelo no pudo explicar (error). La parroquia, el potasio y el magnesio explicaron el 46,28 %, 20,86 % y el 2,31 % del rendimiento, respectivamente. El resto de nutrientes y la interacción explicaron menos del 5% del rendimiento (</w:t>
      </w:r>
      <w:r w:rsidR="006B2851">
        <w:rPr>
          <w:rFonts w:cs="Times New Roman"/>
          <w:bCs/>
          <w:szCs w:val="24"/>
        </w:rPr>
        <w:t>Cuadro</w:t>
      </w:r>
      <w:r>
        <w:rPr>
          <w:rFonts w:cs="Times New Roman"/>
          <w:bCs/>
          <w:szCs w:val="24"/>
        </w:rPr>
        <w:t xml:space="preserve"> 100).  </w:t>
      </w:r>
    </w:p>
    <w:p w14:paraId="20F176BA" w14:textId="525B9CA5" w:rsidR="00C82BCC" w:rsidRDefault="00C82BCC" w:rsidP="00C82BCC">
      <w:pPr>
        <w:autoSpaceDE w:val="0"/>
        <w:autoSpaceDN w:val="0"/>
        <w:adjustRightInd w:val="0"/>
        <w:spacing w:after="0" w:line="360" w:lineRule="auto"/>
        <w:rPr>
          <w:rFonts w:cs="Times New Roman"/>
          <w:bCs/>
          <w:szCs w:val="24"/>
        </w:rPr>
      </w:pPr>
      <w:r>
        <w:rPr>
          <w:rFonts w:cs="Times New Roman"/>
          <w:bCs/>
          <w:szCs w:val="24"/>
        </w:rPr>
        <w:t xml:space="preserve">En </w:t>
      </w:r>
      <w:r w:rsidR="006B2851">
        <w:rPr>
          <w:rFonts w:cs="Times New Roman"/>
          <w:bCs/>
          <w:szCs w:val="24"/>
        </w:rPr>
        <w:t>los cuadros</w:t>
      </w:r>
      <w:r>
        <w:rPr>
          <w:rFonts w:cs="Times New Roman"/>
          <w:bCs/>
          <w:szCs w:val="24"/>
        </w:rPr>
        <w:t xml:space="preserve"> </w:t>
      </w:r>
      <w:r w:rsidR="0039325D">
        <w:rPr>
          <w:rFonts w:cs="Times New Roman"/>
          <w:bCs/>
          <w:szCs w:val="24"/>
        </w:rPr>
        <w:t xml:space="preserve">100, </w:t>
      </w:r>
      <w:r>
        <w:rPr>
          <w:rFonts w:cs="Times New Roman"/>
          <w:bCs/>
          <w:szCs w:val="24"/>
        </w:rPr>
        <w:t>101, 102,103,104</w:t>
      </w:r>
      <w:r w:rsidR="0039325D">
        <w:rPr>
          <w:rFonts w:cs="Times New Roman"/>
          <w:bCs/>
          <w:szCs w:val="24"/>
        </w:rPr>
        <w:t xml:space="preserve"> y </w:t>
      </w:r>
      <w:r>
        <w:rPr>
          <w:rFonts w:cs="Times New Roman"/>
          <w:bCs/>
          <w:szCs w:val="24"/>
        </w:rPr>
        <w:t xml:space="preserve">105 se presentan los promedios y el error estándar de rendimiento por efecto de las localidades (parroquia) y los niveles de nitrógeno, fósforo, potasio, azufre, magnesio con su respectivo, prueba de Lsd Fisher (alfa=0,05).  </w:t>
      </w:r>
    </w:p>
    <w:p w14:paraId="6C42DDBB" w14:textId="24BF709A" w:rsidR="002F2624" w:rsidRPr="005F2242" w:rsidRDefault="002F2624" w:rsidP="005F2242">
      <w:pPr>
        <w:autoSpaceDE w:val="0"/>
        <w:autoSpaceDN w:val="0"/>
        <w:adjustRightInd w:val="0"/>
        <w:spacing w:before="360" w:after="0" w:line="360" w:lineRule="auto"/>
        <w:rPr>
          <w:rFonts w:cs="Times New Roman"/>
          <w:szCs w:val="24"/>
          <w:u w:val="single"/>
        </w:rPr>
      </w:pPr>
      <w:bookmarkStart w:id="1751" w:name="_Toc79314093"/>
      <w:r w:rsidRPr="002F2624">
        <w:rPr>
          <w:rFonts w:cs="Times New Roman"/>
          <w:b/>
          <w:bCs/>
          <w:szCs w:val="24"/>
        </w:rPr>
        <w:lastRenderedPageBreak/>
        <w:t xml:space="preserve">Cuadro </w:t>
      </w:r>
      <w:r w:rsidRPr="002F2624">
        <w:rPr>
          <w:rFonts w:cs="Times New Roman"/>
          <w:b/>
          <w:bCs/>
          <w:i/>
          <w:iCs/>
          <w:szCs w:val="24"/>
        </w:rPr>
        <w:fldChar w:fldCharType="begin"/>
      </w:r>
      <w:r w:rsidRPr="002F2624">
        <w:rPr>
          <w:rFonts w:cs="Times New Roman"/>
          <w:b/>
          <w:bCs/>
          <w:szCs w:val="24"/>
        </w:rPr>
        <w:instrText xml:space="preserve"> SEQ Cuadro \* ARABIC </w:instrText>
      </w:r>
      <w:r w:rsidRPr="002F2624">
        <w:rPr>
          <w:rFonts w:cs="Times New Roman"/>
          <w:b/>
          <w:bCs/>
          <w:i/>
          <w:iCs/>
          <w:szCs w:val="24"/>
        </w:rPr>
        <w:fldChar w:fldCharType="separate"/>
      </w:r>
      <w:r w:rsidR="000D1F55">
        <w:rPr>
          <w:rFonts w:cs="Times New Roman"/>
          <w:b/>
          <w:bCs/>
          <w:noProof/>
          <w:szCs w:val="24"/>
        </w:rPr>
        <w:t>101</w:t>
      </w:r>
      <w:r w:rsidRPr="002F2624">
        <w:rPr>
          <w:rFonts w:cs="Times New Roman"/>
          <w:b/>
          <w:bCs/>
          <w:i/>
          <w:iCs/>
          <w:szCs w:val="24"/>
        </w:rPr>
        <w:fldChar w:fldCharType="end"/>
      </w:r>
      <w:r w:rsidRPr="002F2624">
        <w:rPr>
          <w:rFonts w:cs="Times New Roman"/>
          <w:b/>
          <w:bCs/>
          <w:szCs w:val="24"/>
        </w:rPr>
        <w:t xml:space="preserve">. </w:t>
      </w:r>
      <w:r w:rsidRPr="002F2624">
        <w:rPr>
          <w:rFonts w:cs="Times New Roman"/>
          <w:bCs/>
          <w:szCs w:val="24"/>
        </w:rPr>
        <w:t>Rendimiento de maíz suave en grano seco, evaluado en varias localidades (parroquia) de la provincia de Imbabura, 2010-2015.</w:t>
      </w:r>
      <w:bookmarkEnd w:id="1751"/>
    </w:p>
    <w:tbl>
      <w:tblPr>
        <w:tblW w:w="7933" w:type="dxa"/>
        <w:tblCellMar>
          <w:left w:w="70" w:type="dxa"/>
          <w:right w:w="70" w:type="dxa"/>
        </w:tblCellMar>
        <w:tblLook w:val="04A0" w:firstRow="1" w:lastRow="0" w:firstColumn="1" w:lastColumn="0" w:noHBand="0" w:noVBand="1"/>
      </w:tblPr>
      <w:tblGrid>
        <w:gridCol w:w="2020"/>
        <w:gridCol w:w="1200"/>
        <w:gridCol w:w="1200"/>
        <w:gridCol w:w="1954"/>
        <w:gridCol w:w="446"/>
        <w:gridCol w:w="688"/>
        <w:gridCol w:w="425"/>
      </w:tblGrid>
      <w:tr w:rsidR="00C82BCC" w14:paraId="205C6D5B" w14:textId="77777777" w:rsidTr="00A1364F">
        <w:trPr>
          <w:trHeight w:val="300"/>
        </w:trPr>
        <w:tc>
          <w:tcPr>
            <w:tcW w:w="2020" w:type="dxa"/>
            <w:tcBorders>
              <w:top w:val="single" w:sz="4" w:space="0" w:color="auto"/>
              <w:left w:val="single" w:sz="4" w:space="0" w:color="auto"/>
              <w:bottom w:val="single" w:sz="4" w:space="0" w:color="auto"/>
              <w:right w:val="single" w:sz="4" w:space="0" w:color="auto"/>
            </w:tcBorders>
            <w:noWrap/>
            <w:vAlign w:val="bottom"/>
            <w:hideMark/>
          </w:tcPr>
          <w:p w14:paraId="00DE8E71"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Parroquia</w:t>
            </w:r>
          </w:p>
        </w:tc>
        <w:tc>
          <w:tcPr>
            <w:tcW w:w="1200" w:type="dxa"/>
            <w:tcBorders>
              <w:top w:val="single" w:sz="4" w:space="0" w:color="auto"/>
              <w:left w:val="nil"/>
              <w:bottom w:val="single" w:sz="4" w:space="0" w:color="auto"/>
              <w:right w:val="single" w:sz="4" w:space="0" w:color="auto"/>
            </w:tcBorders>
            <w:noWrap/>
            <w:vAlign w:val="bottom"/>
            <w:hideMark/>
          </w:tcPr>
          <w:p w14:paraId="750B4184"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1200" w:type="dxa"/>
            <w:tcBorders>
              <w:top w:val="single" w:sz="4" w:space="0" w:color="auto"/>
              <w:left w:val="nil"/>
              <w:bottom w:val="single" w:sz="4" w:space="0" w:color="auto"/>
              <w:right w:val="single" w:sz="4" w:space="0" w:color="auto"/>
            </w:tcBorders>
            <w:noWrap/>
            <w:vAlign w:val="bottom"/>
            <w:hideMark/>
          </w:tcPr>
          <w:p w14:paraId="4BDD5532" w14:textId="2C9D27D1" w:rsidR="00C82BCC" w:rsidRDefault="00DC4FC3"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954" w:type="dxa"/>
            <w:tcBorders>
              <w:top w:val="single" w:sz="4" w:space="0" w:color="auto"/>
              <w:left w:val="nil"/>
              <w:bottom w:val="single" w:sz="4" w:space="0" w:color="auto"/>
              <w:right w:val="single" w:sz="4" w:space="0" w:color="auto"/>
            </w:tcBorders>
            <w:noWrap/>
            <w:vAlign w:val="bottom"/>
            <w:hideMark/>
          </w:tcPr>
          <w:p w14:paraId="051A484B"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559" w:type="dxa"/>
            <w:gridSpan w:val="3"/>
            <w:tcBorders>
              <w:top w:val="single" w:sz="4" w:space="0" w:color="auto"/>
              <w:left w:val="nil"/>
              <w:bottom w:val="single" w:sz="4" w:space="0" w:color="auto"/>
              <w:right w:val="single" w:sz="4" w:space="0" w:color="auto"/>
            </w:tcBorders>
            <w:noWrap/>
            <w:vAlign w:val="bottom"/>
            <w:hideMark/>
          </w:tcPr>
          <w:p w14:paraId="5C5412A7"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Lsd 0,05</w:t>
            </w:r>
          </w:p>
        </w:tc>
      </w:tr>
      <w:tr w:rsidR="00C82BCC" w14:paraId="25038C80" w14:textId="77777777" w:rsidTr="00A1364F">
        <w:trPr>
          <w:trHeight w:val="300"/>
        </w:trPr>
        <w:tc>
          <w:tcPr>
            <w:tcW w:w="2020" w:type="dxa"/>
            <w:tcBorders>
              <w:top w:val="nil"/>
              <w:left w:val="single" w:sz="4" w:space="0" w:color="auto"/>
              <w:bottom w:val="single" w:sz="4" w:space="0" w:color="auto"/>
              <w:right w:val="single" w:sz="4" w:space="0" w:color="auto"/>
            </w:tcBorders>
            <w:noWrap/>
            <w:vAlign w:val="bottom"/>
            <w:hideMark/>
          </w:tcPr>
          <w:p w14:paraId="14DC09F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Miguel Egas</w:t>
            </w:r>
          </w:p>
        </w:tc>
        <w:tc>
          <w:tcPr>
            <w:tcW w:w="1200" w:type="dxa"/>
            <w:tcBorders>
              <w:top w:val="nil"/>
              <w:left w:val="nil"/>
              <w:bottom w:val="single" w:sz="4" w:space="0" w:color="auto"/>
              <w:right w:val="single" w:sz="4" w:space="0" w:color="auto"/>
            </w:tcBorders>
            <w:noWrap/>
            <w:vAlign w:val="bottom"/>
            <w:hideMark/>
          </w:tcPr>
          <w:p w14:paraId="5877DEC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3,69</w:t>
            </w:r>
          </w:p>
        </w:tc>
        <w:tc>
          <w:tcPr>
            <w:tcW w:w="1200" w:type="dxa"/>
            <w:tcBorders>
              <w:top w:val="nil"/>
              <w:left w:val="nil"/>
              <w:bottom w:val="single" w:sz="4" w:space="0" w:color="auto"/>
              <w:right w:val="single" w:sz="4" w:space="0" w:color="auto"/>
            </w:tcBorders>
            <w:noWrap/>
            <w:vAlign w:val="bottom"/>
            <w:hideMark/>
          </w:tcPr>
          <w:p w14:paraId="09AAC7D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1954" w:type="dxa"/>
            <w:tcBorders>
              <w:top w:val="nil"/>
              <w:left w:val="nil"/>
              <w:bottom w:val="single" w:sz="4" w:space="0" w:color="auto"/>
              <w:right w:val="single" w:sz="4" w:space="0" w:color="auto"/>
            </w:tcBorders>
            <w:noWrap/>
            <w:vAlign w:val="bottom"/>
            <w:hideMark/>
          </w:tcPr>
          <w:p w14:paraId="77C188D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0,14</w:t>
            </w:r>
          </w:p>
        </w:tc>
        <w:tc>
          <w:tcPr>
            <w:tcW w:w="446" w:type="dxa"/>
            <w:tcBorders>
              <w:top w:val="nil"/>
              <w:left w:val="nil"/>
              <w:bottom w:val="single" w:sz="4" w:space="0" w:color="auto"/>
              <w:right w:val="single" w:sz="4" w:space="0" w:color="auto"/>
            </w:tcBorders>
            <w:noWrap/>
            <w:vAlign w:val="bottom"/>
            <w:hideMark/>
          </w:tcPr>
          <w:p w14:paraId="56ABF5C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88" w:type="dxa"/>
            <w:tcBorders>
              <w:top w:val="nil"/>
              <w:left w:val="nil"/>
              <w:bottom w:val="single" w:sz="4" w:space="0" w:color="auto"/>
              <w:right w:val="single" w:sz="4" w:space="0" w:color="auto"/>
            </w:tcBorders>
            <w:noWrap/>
            <w:vAlign w:val="bottom"/>
            <w:hideMark/>
          </w:tcPr>
          <w:p w14:paraId="1E0194D0"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5" w:type="dxa"/>
            <w:tcBorders>
              <w:top w:val="nil"/>
              <w:left w:val="nil"/>
              <w:bottom w:val="single" w:sz="4" w:space="0" w:color="auto"/>
              <w:right w:val="single" w:sz="4" w:space="0" w:color="auto"/>
            </w:tcBorders>
            <w:noWrap/>
            <w:vAlign w:val="bottom"/>
            <w:hideMark/>
          </w:tcPr>
          <w:p w14:paraId="3DB6B32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1A09AEC" w14:textId="77777777" w:rsidTr="00A1364F">
        <w:trPr>
          <w:trHeight w:val="300"/>
        </w:trPr>
        <w:tc>
          <w:tcPr>
            <w:tcW w:w="2020" w:type="dxa"/>
            <w:tcBorders>
              <w:top w:val="nil"/>
              <w:left w:val="single" w:sz="4" w:space="0" w:color="auto"/>
              <w:bottom w:val="single" w:sz="4" w:space="0" w:color="auto"/>
              <w:right w:val="single" w:sz="4" w:space="0" w:color="auto"/>
            </w:tcBorders>
            <w:noWrap/>
            <w:vAlign w:val="bottom"/>
            <w:hideMark/>
          </w:tcPr>
          <w:p w14:paraId="1431E03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Paztavi    </w:t>
            </w:r>
          </w:p>
        </w:tc>
        <w:tc>
          <w:tcPr>
            <w:tcW w:w="1200" w:type="dxa"/>
            <w:tcBorders>
              <w:top w:val="nil"/>
              <w:left w:val="nil"/>
              <w:bottom w:val="single" w:sz="4" w:space="0" w:color="auto"/>
              <w:right w:val="single" w:sz="4" w:space="0" w:color="auto"/>
            </w:tcBorders>
            <w:noWrap/>
            <w:vAlign w:val="bottom"/>
            <w:hideMark/>
          </w:tcPr>
          <w:p w14:paraId="5873966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4,44</w:t>
            </w:r>
          </w:p>
        </w:tc>
        <w:tc>
          <w:tcPr>
            <w:tcW w:w="1200" w:type="dxa"/>
            <w:tcBorders>
              <w:top w:val="nil"/>
              <w:left w:val="nil"/>
              <w:bottom w:val="single" w:sz="4" w:space="0" w:color="auto"/>
              <w:right w:val="single" w:sz="4" w:space="0" w:color="auto"/>
            </w:tcBorders>
            <w:noWrap/>
            <w:vAlign w:val="bottom"/>
            <w:hideMark/>
          </w:tcPr>
          <w:p w14:paraId="655D503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954" w:type="dxa"/>
            <w:tcBorders>
              <w:top w:val="nil"/>
              <w:left w:val="nil"/>
              <w:bottom w:val="single" w:sz="4" w:space="0" w:color="auto"/>
              <w:right w:val="single" w:sz="4" w:space="0" w:color="auto"/>
            </w:tcBorders>
            <w:noWrap/>
            <w:vAlign w:val="bottom"/>
            <w:hideMark/>
          </w:tcPr>
          <w:p w14:paraId="47DA6E2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0,24</w:t>
            </w:r>
          </w:p>
        </w:tc>
        <w:tc>
          <w:tcPr>
            <w:tcW w:w="446" w:type="dxa"/>
            <w:tcBorders>
              <w:top w:val="nil"/>
              <w:left w:val="nil"/>
              <w:bottom w:val="single" w:sz="4" w:space="0" w:color="auto"/>
              <w:right w:val="single" w:sz="4" w:space="0" w:color="auto"/>
            </w:tcBorders>
            <w:noWrap/>
            <w:vAlign w:val="bottom"/>
            <w:hideMark/>
          </w:tcPr>
          <w:p w14:paraId="21C0756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8" w:type="dxa"/>
            <w:tcBorders>
              <w:top w:val="nil"/>
              <w:left w:val="nil"/>
              <w:bottom w:val="single" w:sz="4" w:space="0" w:color="auto"/>
              <w:right w:val="single" w:sz="4" w:space="0" w:color="auto"/>
            </w:tcBorders>
            <w:noWrap/>
            <w:vAlign w:val="bottom"/>
            <w:hideMark/>
          </w:tcPr>
          <w:p w14:paraId="6F65DDB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25" w:type="dxa"/>
            <w:tcBorders>
              <w:top w:val="nil"/>
              <w:left w:val="nil"/>
              <w:bottom w:val="single" w:sz="4" w:space="0" w:color="auto"/>
              <w:right w:val="single" w:sz="4" w:space="0" w:color="auto"/>
            </w:tcBorders>
            <w:noWrap/>
            <w:vAlign w:val="bottom"/>
            <w:hideMark/>
          </w:tcPr>
          <w:p w14:paraId="31F6BC3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432C415" w14:textId="77777777" w:rsidTr="00A1364F">
        <w:trPr>
          <w:trHeight w:val="300"/>
        </w:trPr>
        <w:tc>
          <w:tcPr>
            <w:tcW w:w="2020" w:type="dxa"/>
            <w:tcBorders>
              <w:top w:val="nil"/>
              <w:left w:val="single" w:sz="4" w:space="0" w:color="auto"/>
              <w:bottom w:val="single" w:sz="4" w:space="0" w:color="auto"/>
              <w:right w:val="single" w:sz="4" w:space="0" w:color="auto"/>
            </w:tcBorders>
            <w:noWrap/>
            <w:vAlign w:val="bottom"/>
            <w:hideMark/>
          </w:tcPr>
          <w:p w14:paraId="696427F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Ilumán     </w:t>
            </w:r>
          </w:p>
        </w:tc>
        <w:tc>
          <w:tcPr>
            <w:tcW w:w="1200" w:type="dxa"/>
            <w:tcBorders>
              <w:top w:val="nil"/>
              <w:left w:val="nil"/>
              <w:bottom w:val="single" w:sz="4" w:space="0" w:color="auto"/>
              <w:right w:val="single" w:sz="4" w:space="0" w:color="auto"/>
            </w:tcBorders>
            <w:noWrap/>
            <w:vAlign w:val="bottom"/>
            <w:hideMark/>
          </w:tcPr>
          <w:p w14:paraId="425F60C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4,54</w:t>
            </w:r>
          </w:p>
        </w:tc>
        <w:tc>
          <w:tcPr>
            <w:tcW w:w="1200" w:type="dxa"/>
            <w:tcBorders>
              <w:top w:val="nil"/>
              <w:left w:val="nil"/>
              <w:bottom w:val="single" w:sz="4" w:space="0" w:color="auto"/>
              <w:right w:val="single" w:sz="4" w:space="0" w:color="auto"/>
            </w:tcBorders>
            <w:noWrap/>
            <w:vAlign w:val="bottom"/>
            <w:hideMark/>
          </w:tcPr>
          <w:p w14:paraId="6011089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954" w:type="dxa"/>
            <w:tcBorders>
              <w:top w:val="nil"/>
              <w:left w:val="nil"/>
              <w:bottom w:val="single" w:sz="4" w:space="0" w:color="auto"/>
              <w:right w:val="single" w:sz="4" w:space="0" w:color="auto"/>
            </w:tcBorders>
            <w:noWrap/>
            <w:vAlign w:val="bottom"/>
            <w:hideMark/>
          </w:tcPr>
          <w:p w14:paraId="08834F3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0,16</w:t>
            </w:r>
          </w:p>
        </w:tc>
        <w:tc>
          <w:tcPr>
            <w:tcW w:w="446" w:type="dxa"/>
            <w:tcBorders>
              <w:top w:val="nil"/>
              <w:left w:val="nil"/>
              <w:bottom w:val="single" w:sz="4" w:space="0" w:color="auto"/>
              <w:right w:val="single" w:sz="4" w:space="0" w:color="auto"/>
            </w:tcBorders>
            <w:noWrap/>
            <w:vAlign w:val="bottom"/>
            <w:hideMark/>
          </w:tcPr>
          <w:p w14:paraId="3082B9F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8" w:type="dxa"/>
            <w:tcBorders>
              <w:top w:val="nil"/>
              <w:left w:val="nil"/>
              <w:bottom w:val="single" w:sz="4" w:space="0" w:color="auto"/>
              <w:right w:val="single" w:sz="4" w:space="0" w:color="auto"/>
            </w:tcBorders>
            <w:noWrap/>
            <w:vAlign w:val="bottom"/>
            <w:hideMark/>
          </w:tcPr>
          <w:p w14:paraId="2224E910"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25" w:type="dxa"/>
            <w:tcBorders>
              <w:top w:val="nil"/>
              <w:left w:val="nil"/>
              <w:bottom w:val="single" w:sz="4" w:space="0" w:color="auto"/>
              <w:right w:val="single" w:sz="4" w:space="0" w:color="auto"/>
            </w:tcBorders>
            <w:noWrap/>
            <w:vAlign w:val="bottom"/>
            <w:hideMark/>
          </w:tcPr>
          <w:p w14:paraId="7D0DC45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9E6140D" w14:textId="77777777" w:rsidTr="00A1364F">
        <w:trPr>
          <w:trHeight w:val="300"/>
        </w:trPr>
        <w:tc>
          <w:tcPr>
            <w:tcW w:w="2020" w:type="dxa"/>
            <w:tcBorders>
              <w:top w:val="nil"/>
              <w:left w:val="single" w:sz="4" w:space="0" w:color="auto"/>
              <w:bottom w:val="single" w:sz="4" w:space="0" w:color="auto"/>
              <w:right w:val="single" w:sz="4" w:space="0" w:color="auto"/>
            </w:tcBorders>
            <w:noWrap/>
            <w:vAlign w:val="bottom"/>
            <w:hideMark/>
          </w:tcPr>
          <w:p w14:paraId="7A99183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El Sagrario</w:t>
            </w:r>
          </w:p>
        </w:tc>
        <w:tc>
          <w:tcPr>
            <w:tcW w:w="1200" w:type="dxa"/>
            <w:tcBorders>
              <w:top w:val="nil"/>
              <w:left w:val="nil"/>
              <w:bottom w:val="single" w:sz="4" w:space="0" w:color="auto"/>
              <w:right w:val="single" w:sz="4" w:space="0" w:color="auto"/>
            </w:tcBorders>
            <w:noWrap/>
            <w:vAlign w:val="bottom"/>
            <w:hideMark/>
          </w:tcPr>
          <w:p w14:paraId="5E42035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4,60</w:t>
            </w:r>
          </w:p>
        </w:tc>
        <w:tc>
          <w:tcPr>
            <w:tcW w:w="1200" w:type="dxa"/>
            <w:tcBorders>
              <w:top w:val="nil"/>
              <w:left w:val="nil"/>
              <w:bottom w:val="single" w:sz="4" w:space="0" w:color="auto"/>
              <w:right w:val="single" w:sz="4" w:space="0" w:color="auto"/>
            </w:tcBorders>
            <w:noWrap/>
            <w:vAlign w:val="bottom"/>
            <w:hideMark/>
          </w:tcPr>
          <w:p w14:paraId="2586FE0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1954" w:type="dxa"/>
            <w:tcBorders>
              <w:top w:val="nil"/>
              <w:left w:val="nil"/>
              <w:bottom w:val="single" w:sz="4" w:space="0" w:color="auto"/>
              <w:right w:val="single" w:sz="4" w:space="0" w:color="auto"/>
            </w:tcBorders>
            <w:noWrap/>
            <w:vAlign w:val="bottom"/>
            <w:hideMark/>
          </w:tcPr>
          <w:p w14:paraId="46CCB2E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0,19</w:t>
            </w:r>
          </w:p>
        </w:tc>
        <w:tc>
          <w:tcPr>
            <w:tcW w:w="446" w:type="dxa"/>
            <w:tcBorders>
              <w:top w:val="nil"/>
              <w:left w:val="nil"/>
              <w:bottom w:val="single" w:sz="4" w:space="0" w:color="auto"/>
              <w:right w:val="single" w:sz="4" w:space="0" w:color="auto"/>
            </w:tcBorders>
            <w:noWrap/>
            <w:vAlign w:val="bottom"/>
            <w:hideMark/>
          </w:tcPr>
          <w:p w14:paraId="35F7352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8" w:type="dxa"/>
            <w:tcBorders>
              <w:top w:val="nil"/>
              <w:left w:val="nil"/>
              <w:bottom w:val="single" w:sz="4" w:space="0" w:color="auto"/>
              <w:right w:val="single" w:sz="4" w:space="0" w:color="auto"/>
            </w:tcBorders>
            <w:noWrap/>
            <w:vAlign w:val="bottom"/>
            <w:hideMark/>
          </w:tcPr>
          <w:p w14:paraId="67BE398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25" w:type="dxa"/>
            <w:tcBorders>
              <w:top w:val="nil"/>
              <w:left w:val="nil"/>
              <w:bottom w:val="single" w:sz="4" w:space="0" w:color="auto"/>
              <w:right w:val="single" w:sz="4" w:space="0" w:color="auto"/>
            </w:tcBorders>
            <w:noWrap/>
            <w:vAlign w:val="bottom"/>
            <w:hideMark/>
          </w:tcPr>
          <w:p w14:paraId="07B3057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F79FA7B" w14:textId="77777777" w:rsidTr="00A1364F">
        <w:trPr>
          <w:trHeight w:val="300"/>
        </w:trPr>
        <w:tc>
          <w:tcPr>
            <w:tcW w:w="2020" w:type="dxa"/>
            <w:tcBorders>
              <w:top w:val="nil"/>
              <w:left w:val="single" w:sz="4" w:space="0" w:color="auto"/>
              <w:bottom w:val="single" w:sz="4" w:space="0" w:color="auto"/>
              <w:right w:val="single" w:sz="4" w:space="0" w:color="auto"/>
            </w:tcBorders>
            <w:noWrap/>
            <w:vAlign w:val="bottom"/>
            <w:hideMark/>
          </w:tcPr>
          <w:p w14:paraId="0A9C24C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Imantag    </w:t>
            </w:r>
          </w:p>
        </w:tc>
        <w:tc>
          <w:tcPr>
            <w:tcW w:w="1200" w:type="dxa"/>
            <w:tcBorders>
              <w:top w:val="nil"/>
              <w:left w:val="nil"/>
              <w:bottom w:val="single" w:sz="4" w:space="0" w:color="auto"/>
              <w:right w:val="single" w:sz="4" w:space="0" w:color="auto"/>
            </w:tcBorders>
            <w:noWrap/>
            <w:vAlign w:val="bottom"/>
            <w:hideMark/>
          </w:tcPr>
          <w:p w14:paraId="233C532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6,32</w:t>
            </w:r>
          </w:p>
        </w:tc>
        <w:tc>
          <w:tcPr>
            <w:tcW w:w="1200" w:type="dxa"/>
            <w:tcBorders>
              <w:top w:val="nil"/>
              <w:left w:val="nil"/>
              <w:bottom w:val="single" w:sz="4" w:space="0" w:color="auto"/>
              <w:right w:val="single" w:sz="4" w:space="0" w:color="auto"/>
            </w:tcBorders>
            <w:noWrap/>
            <w:vAlign w:val="bottom"/>
            <w:hideMark/>
          </w:tcPr>
          <w:p w14:paraId="5C4E6C4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954" w:type="dxa"/>
            <w:tcBorders>
              <w:top w:val="nil"/>
              <w:left w:val="nil"/>
              <w:bottom w:val="single" w:sz="4" w:space="0" w:color="auto"/>
              <w:right w:val="single" w:sz="4" w:space="0" w:color="auto"/>
            </w:tcBorders>
            <w:noWrap/>
            <w:vAlign w:val="bottom"/>
            <w:hideMark/>
          </w:tcPr>
          <w:p w14:paraId="479D0F0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0,14</w:t>
            </w:r>
          </w:p>
        </w:tc>
        <w:tc>
          <w:tcPr>
            <w:tcW w:w="446" w:type="dxa"/>
            <w:tcBorders>
              <w:top w:val="nil"/>
              <w:left w:val="nil"/>
              <w:bottom w:val="single" w:sz="4" w:space="0" w:color="auto"/>
              <w:right w:val="single" w:sz="4" w:space="0" w:color="auto"/>
            </w:tcBorders>
            <w:noWrap/>
            <w:vAlign w:val="bottom"/>
            <w:hideMark/>
          </w:tcPr>
          <w:p w14:paraId="6F573A1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8" w:type="dxa"/>
            <w:tcBorders>
              <w:top w:val="nil"/>
              <w:left w:val="nil"/>
              <w:bottom w:val="single" w:sz="4" w:space="0" w:color="auto"/>
              <w:right w:val="single" w:sz="4" w:space="0" w:color="auto"/>
            </w:tcBorders>
            <w:noWrap/>
            <w:vAlign w:val="bottom"/>
            <w:hideMark/>
          </w:tcPr>
          <w:p w14:paraId="005C726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5" w:type="dxa"/>
            <w:tcBorders>
              <w:top w:val="nil"/>
              <w:left w:val="nil"/>
              <w:bottom w:val="single" w:sz="4" w:space="0" w:color="auto"/>
              <w:right w:val="single" w:sz="4" w:space="0" w:color="auto"/>
            </w:tcBorders>
            <w:noWrap/>
            <w:vAlign w:val="bottom"/>
            <w:hideMark/>
          </w:tcPr>
          <w:p w14:paraId="759E92F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009E2564" w14:textId="421EA73B" w:rsidR="002F2624" w:rsidRPr="005F2242" w:rsidRDefault="002F2624" w:rsidP="005F2242">
      <w:pPr>
        <w:autoSpaceDE w:val="0"/>
        <w:autoSpaceDN w:val="0"/>
        <w:adjustRightInd w:val="0"/>
        <w:spacing w:before="360" w:after="0" w:line="360" w:lineRule="auto"/>
        <w:rPr>
          <w:rFonts w:cs="Times New Roman"/>
          <w:szCs w:val="24"/>
        </w:rPr>
      </w:pPr>
      <w:bookmarkStart w:id="1752" w:name="_Toc79314094"/>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102</w:t>
      </w:r>
      <w:r w:rsidRPr="002F2624">
        <w:rPr>
          <w:rFonts w:cs="Times New Roman"/>
          <w:b/>
          <w:i/>
          <w:iCs/>
          <w:szCs w:val="24"/>
        </w:rPr>
        <w:fldChar w:fldCharType="end"/>
      </w:r>
      <w:r w:rsidRPr="002F2624">
        <w:rPr>
          <w:rFonts w:cs="Times New Roman"/>
          <w:b/>
          <w:szCs w:val="24"/>
        </w:rPr>
        <w:t xml:space="preserve">. </w:t>
      </w:r>
      <w:r w:rsidRPr="002F2624">
        <w:rPr>
          <w:rFonts w:cs="Times New Roman"/>
          <w:szCs w:val="24"/>
        </w:rPr>
        <w:t>Rendimiento de maíz suave en grano seco para varias dosis de nitrógeno evaluados en la provincia de Imbabura, 2010-2015.</w:t>
      </w:r>
      <w:bookmarkEnd w:id="1752"/>
    </w:p>
    <w:tbl>
      <w:tblPr>
        <w:tblW w:w="7933" w:type="dxa"/>
        <w:tblCellMar>
          <w:left w:w="70" w:type="dxa"/>
          <w:right w:w="70" w:type="dxa"/>
        </w:tblCellMar>
        <w:tblLook w:val="04A0" w:firstRow="1" w:lastRow="0" w:firstColumn="1" w:lastColumn="0" w:noHBand="0" w:noVBand="1"/>
      </w:tblPr>
      <w:tblGrid>
        <w:gridCol w:w="2263"/>
        <w:gridCol w:w="1454"/>
        <w:gridCol w:w="531"/>
        <w:gridCol w:w="1701"/>
        <w:gridCol w:w="709"/>
        <w:gridCol w:w="947"/>
        <w:gridCol w:w="328"/>
      </w:tblGrid>
      <w:tr w:rsidR="00C82BCC" w14:paraId="403573D7" w14:textId="77777777" w:rsidTr="00A1364F">
        <w:trPr>
          <w:trHeight w:val="300"/>
        </w:trPr>
        <w:tc>
          <w:tcPr>
            <w:tcW w:w="2263" w:type="dxa"/>
            <w:tcBorders>
              <w:top w:val="single" w:sz="4" w:space="0" w:color="auto"/>
              <w:left w:val="single" w:sz="4" w:space="0" w:color="auto"/>
              <w:bottom w:val="single" w:sz="4" w:space="0" w:color="auto"/>
              <w:right w:val="single" w:sz="4" w:space="0" w:color="auto"/>
            </w:tcBorders>
            <w:noWrap/>
            <w:vAlign w:val="bottom"/>
            <w:hideMark/>
          </w:tcPr>
          <w:p w14:paraId="1ADFEEAC"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454" w:type="dxa"/>
            <w:tcBorders>
              <w:top w:val="single" w:sz="4" w:space="0" w:color="auto"/>
              <w:left w:val="nil"/>
              <w:bottom w:val="single" w:sz="4" w:space="0" w:color="auto"/>
              <w:right w:val="single" w:sz="4" w:space="0" w:color="auto"/>
            </w:tcBorders>
            <w:noWrap/>
            <w:vAlign w:val="bottom"/>
            <w:hideMark/>
          </w:tcPr>
          <w:p w14:paraId="1BD3FDC0"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1" w:type="dxa"/>
            <w:tcBorders>
              <w:top w:val="single" w:sz="4" w:space="0" w:color="auto"/>
              <w:left w:val="nil"/>
              <w:bottom w:val="single" w:sz="4" w:space="0" w:color="auto"/>
              <w:right w:val="single" w:sz="4" w:space="0" w:color="auto"/>
            </w:tcBorders>
            <w:noWrap/>
            <w:vAlign w:val="bottom"/>
            <w:hideMark/>
          </w:tcPr>
          <w:p w14:paraId="2EBA6A3F"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01" w:type="dxa"/>
            <w:tcBorders>
              <w:top w:val="single" w:sz="4" w:space="0" w:color="auto"/>
              <w:left w:val="nil"/>
              <w:bottom w:val="single" w:sz="4" w:space="0" w:color="auto"/>
              <w:right w:val="single" w:sz="4" w:space="0" w:color="auto"/>
            </w:tcBorders>
            <w:noWrap/>
            <w:vAlign w:val="bottom"/>
            <w:hideMark/>
          </w:tcPr>
          <w:p w14:paraId="408AAEE8"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709" w:type="dxa"/>
            <w:tcBorders>
              <w:top w:val="single" w:sz="4" w:space="0" w:color="auto"/>
              <w:left w:val="single" w:sz="4" w:space="0" w:color="auto"/>
              <w:bottom w:val="single" w:sz="4" w:space="0" w:color="auto"/>
              <w:right w:val="nil"/>
            </w:tcBorders>
            <w:noWrap/>
            <w:vAlign w:val="bottom"/>
            <w:hideMark/>
          </w:tcPr>
          <w:p w14:paraId="2364C0B7"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947" w:type="dxa"/>
            <w:tcBorders>
              <w:top w:val="single" w:sz="4" w:space="0" w:color="auto"/>
              <w:left w:val="nil"/>
              <w:bottom w:val="single" w:sz="4" w:space="0" w:color="auto"/>
              <w:right w:val="nil"/>
            </w:tcBorders>
            <w:noWrap/>
            <w:vAlign w:val="bottom"/>
            <w:hideMark/>
          </w:tcPr>
          <w:p w14:paraId="6B41FC6D"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Lsd0,05  </w:t>
            </w:r>
          </w:p>
        </w:tc>
        <w:tc>
          <w:tcPr>
            <w:tcW w:w="328" w:type="dxa"/>
            <w:tcBorders>
              <w:top w:val="single" w:sz="4" w:space="0" w:color="auto"/>
              <w:left w:val="nil"/>
              <w:bottom w:val="single" w:sz="4" w:space="0" w:color="auto"/>
              <w:right w:val="single" w:sz="4" w:space="0" w:color="auto"/>
            </w:tcBorders>
            <w:noWrap/>
            <w:vAlign w:val="bottom"/>
            <w:hideMark/>
          </w:tcPr>
          <w:p w14:paraId="5D7DDA88"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64AD2B9B" w14:textId="77777777" w:rsidTr="00A1364F">
        <w:trPr>
          <w:trHeight w:val="300"/>
        </w:trPr>
        <w:tc>
          <w:tcPr>
            <w:tcW w:w="2263" w:type="dxa"/>
            <w:tcBorders>
              <w:top w:val="nil"/>
              <w:left w:val="single" w:sz="4" w:space="0" w:color="auto"/>
              <w:bottom w:val="single" w:sz="4" w:space="0" w:color="auto"/>
              <w:right w:val="single" w:sz="4" w:space="0" w:color="auto"/>
            </w:tcBorders>
            <w:noWrap/>
            <w:vAlign w:val="bottom"/>
            <w:hideMark/>
          </w:tcPr>
          <w:p w14:paraId="5DA9D02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454" w:type="dxa"/>
            <w:tcBorders>
              <w:top w:val="nil"/>
              <w:left w:val="nil"/>
              <w:bottom w:val="single" w:sz="4" w:space="0" w:color="auto"/>
              <w:right w:val="single" w:sz="4" w:space="0" w:color="auto"/>
            </w:tcBorders>
            <w:noWrap/>
            <w:vAlign w:val="bottom"/>
            <w:hideMark/>
          </w:tcPr>
          <w:p w14:paraId="56A43CB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3,81</w:t>
            </w:r>
          </w:p>
        </w:tc>
        <w:tc>
          <w:tcPr>
            <w:tcW w:w="531" w:type="dxa"/>
            <w:tcBorders>
              <w:top w:val="nil"/>
              <w:left w:val="nil"/>
              <w:bottom w:val="single" w:sz="4" w:space="0" w:color="auto"/>
              <w:right w:val="single" w:sz="4" w:space="0" w:color="auto"/>
            </w:tcBorders>
            <w:noWrap/>
            <w:vAlign w:val="bottom"/>
            <w:hideMark/>
          </w:tcPr>
          <w:p w14:paraId="75BA27A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701" w:type="dxa"/>
            <w:tcBorders>
              <w:top w:val="nil"/>
              <w:left w:val="nil"/>
              <w:bottom w:val="single" w:sz="4" w:space="0" w:color="auto"/>
              <w:right w:val="single" w:sz="4" w:space="0" w:color="auto"/>
            </w:tcBorders>
            <w:noWrap/>
            <w:vAlign w:val="bottom"/>
            <w:hideMark/>
          </w:tcPr>
          <w:p w14:paraId="0190E09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0,13</w:t>
            </w:r>
          </w:p>
        </w:tc>
        <w:tc>
          <w:tcPr>
            <w:tcW w:w="709" w:type="dxa"/>
            <w:tcBorders>
              <w:top w:val="single" w:sz="4" w:space="0" w:color="auto"/>
              <w:left w:val="nil"/>
              <w:bottom w:val="single" w:sz="4" w:space="0" w:color="auto"/>
              <w:right w:val="single" w:sz="4" w:space="0" w:color="auto"/>
            </w:tcBorders>
            <w:noWrap/>
            <w:vAlign w:val="bottom"/>
            <w:hideMark/>
          </w:tcPr>
          <w:p w14:paraId="2E055C2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947" w:type="dxa"/>
            <w:tcBorders>
              <w:top w:val="single" w:sz="4" w:space="0" w:color="auto"/>
              <w:left w:val="nil"/>
              <w:bottom w:val="single" w:sz="4" w:space="0" w:color="auto"/>
              <w:right w:val="single" w:sz="4" w:space="0" w:color="auto"/>
            </w:tcBorders>
            <w:noWrap/>
            <w:vAlign w:val="bottom"/>
            <w:hideMark/>
          </w:tcPr>
          <w:p w14:paraId="1EADD0D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28" w:type="dxa"/>
            <w:tcBorders>
              <w:top w:val="single" w:sz="4" w:space="0" w:color="auto"/>
              <w:left w:val="nil"/>
              <w:bottom w:val="single" w:sz="4" w:space="0" w:color="auto"/>
              <w:right w:val="single" w:sz="4" w:space="0" w:color="auto"/>
            </w:tcBorders>
            <w:noWrap/>
            <w:vAlign w:val="bottom"/>
            <w:hideMark/>
          </w:tcPr>
          <w:p w14:paraId="0D327B3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5ECE460" w14:textId="77777777" w:rsidTr="00A1364F">
        <w:trPr>
          <w:trHeight w:val="300"/>
        </w:trPr>
        <w:tc>
          <w:tcPr>
            <w:tcW w:w="2263" w:type="dxa"/>
            <w:tcBorders>
              <w:top w:val="nil"/>
              <w:left w:val="single" w:sz="4" w:space="0" w:color="auto"/>
              <w:bottom w:val="single" w:sz="4" w:space="0" w:color="auto"/>
              <w:right w:val="single" w:sz="4" w:space="0" w:color="auto"/>
            </w:tcBorders>
            <w:noWrap/>
            <w:vAlign w:val="bottom"/>
            <w:hideMark/>
          </w:tcPr>
          <w:p w14:paraId="626EB3D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454" w:type="dxa"/>
            <w:tcBorders>
              <w:top w:val="nil"/>
              <w:left w:val="nil"/>
              <w:bottom w:val="single" w:sz="4" w:space="0" w:color="auto"/>
              <w:right w:val="single" w:sz="4" w:space="0" w:color="auto"/>
            </w:tcBorders>
            <w:noWrap/>
            <w:vAlign w:val="bottom"/>
            <w:hideMark/>
          </w:tcPr>
          <w:p w14:paraId="4BF6D94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4,37</w:t>
            </w:r>
          </w:p>
        </w:tc>
        <w:tc>
          <w:tcPr>
            <w:tcW w:w="531" w:type="dxa"/>
            <w:tcBorders>
              <w:top w:val="nil"/>
              <w:left w:val="nil"/>
              <w:bottom w:val="single" w:sz="4" w:space="0" w:color="auto"/>
              <w:right w:val="single" w:sz="4" w:space="0" w:color="auto"/>
            </w:tcBorders>
            <w:noWrap/>
            <w:vAlign w:val="bottom"/>
            <w:hideMark/>
          </w:tcPr>
          <w:p w14:paraId="57FAA19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01" w:type="dxa"/>
            <w:tcBorders>
              <w:top w:val="nil"/>
              <w:left w:val="nil"/>
              <w:bottom w:val="single" w:sz="4" w:space="0" w:color="auto"/>
              <w:right w:val="single" w:sz="4" w:space="0" w:color="auto"/>
            </w:tcBorders>
            <w:noWrap/>
            <w:vAlign w:val="bottom"/>
            <w:hideMark/>
          </w:tcPr>
          <w:p w14:paraId="45169A3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0,59</w:t>
            </w:r>
          </w:p>
        </w:tc>
        <w:tc>
          <w:tcPr>
            <w:tcW w:w="709" w:type="dxa"/>
            <w:tcBorders>
              <w:top w:val="nil"/>
              <w:left w:val="nil"/>
              <w:bottom w:val="single" w:sz="4" w:space="0" w:color="auto"/>
              <w:right w:val="single" w:sz="4" w:space="0" w:color="auto"/>
            </w:tcBorders>
            <w:noWrap/>
            <w:vAlign w:val="bottom"/>
            <w:hideMark/>
          </w:tcPr>
          <w:p w14:paraId="0F2700D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947" w:type="dxa"/>
            <w:tcBorders>
              <w:top w:val="nil"/>
              <w:left w:val="nil"/>
              <w:bottom w:val="single" w:sz="4" w:space="0" w:color="auto"/>
              <w:right w:val="single" w:sz="4" w:space="0" w:color="auto"/>
            </w:tcBorders>
            <w:noWrap/>
            <w:vAlign w:val="bottom"/>
            <w:hideMark/>
          </w:tcPr>
          <w:p w14:paraId="66579E7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328" w:type="dxa"/>
            <w:tcBorders>
              <w:top w:val="nil"/>
              <w:left w:val="nil"/>
              <w:bottom w:val="single" w:sz="4" w:space="0" w:color="auto"/>
              <w:right w:val="single" w:sz="4" w:space="0" w:color="auto"/>
            </w:tcBorders>
            <w:noWrap/>
            <w:vAlign w:val="bottom"/>
            <w:hideMark/>
          </w:tcPr>
          <w:p w14:paraId="4A67A9E0"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C778656" w14:textId="77777777" w:rsidTr="00A1364F">
        <w:trPr>
          <w:trHeight w:val="300"/>
        </w:trPr>
        <w:tc>
          <w:tcPr>
            <w:tcW w:w="2263" w:type="dxa"/>
            <w:tcBorders>
              <w:top w:val="nil"/>
              <w:left w:val="single" w:sz="4" w:space="0" w:color="auto"/>
              <w:bottom w:val="single" w:sz="4" w:space="0" w:color="auto"/>
              <w:right w:val="single" w:sz="4" w:space="0" w:color="auto"/>
            </w:tcBorders>
            <w:noWrap/>
            <w:vAlign w:val="bottom"/>
            <w:hideMark/>
          </w:tcPr>
          <w:p w14:paraId="6C01DCD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454" w:type="dxa"/>
            <w:tcBorders>
              <w:top w:val="nil"/>
              <w:left w:val="nil"/>
              <w:bottom w:val="single" w:sz="4" w:space="0" w:color="auto"/>
              <w:right w:val="single" w:sz="4" w:space="0" w:color="auto"/>
            </w:tcBorders>
            <w:noWrap/>
            <w:vAlign w:val="bottom"/>
            <w:hideMark/>
          </w:tcPr>
          <w:p w14:paraId="1E82E7A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4,84</w:t>
            </w:r>
          </w:p>
        </w:tc>
        <w:tc>
          <w:tcPr>
            <w:tcW w:w="531" w:type="dxa"/>
            <w:tcBorders>
              <w:top w:val="nil"/>
              <w:left w:val="nil"/>
              <w:bottom w:val="single" w:sz="4" w:space="0" w:color="auto"/>
              <w:right w:val="single" w:sz="4" w:space="0" w:color="auto"/>
            </w:tcBorders>
            <w:noWrap/>
            <w:vAlign w:val="bottom"/>
            <w:hideMark/>
          </w:tcPr>
          <w:p w14:paraId="1EFD8B5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701" w:type="dxa"/>
            <w:tcBorders>
              <w:top w:val="nil"/>
              <w:left w:val="nil"/>
              <w:bottom w:val="single" w:sz="4" w:space="0" w:color="auto"/>
              <w:right w:val="single" w:sz="4" w:space="0" w:color="auto"/>
            </w:tcBorders>
            <w:noWrap/>
            <w:vAlign w:val="bottom"/>
            <w:hideMark/>
          </w:tcPr>
          <w:p w14:paraId="7FD87A9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0,29</w:t>
            </w:r>
          </w:p>
        </w:tc>
        <w:tc>
          <w:tcPr>
            <w:tcW w:w="709" w:type="dxa"/>
            <w:tcBorders>
              <w:top w:val="nil"/>
              <w:left w:val="nil"/>
              <w:bottom w:val="single" w:sz="4" w:space="0" w:color="auto"/>
              <w:right w:val="single" w:sz="4" w:space="0" w:color="auto"/>
            </w:tcBorders>
            <w:noWrap/>
            <w:vAlign w:val="bottom"/>
            <w:hideMark/>
          </w:tcPr>
          <w:p w14:paraId="2EE43D8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47" w:type="dxa"/>
            <w:tcBorders>
              <w:top w:val="nil"/>
              <w:left w:val="nil"/>
              <w:bottom w:val="single" w:sz="4" w:space="0" w:color="auto"/>
              <w:right w:val="single" w:sz="4" w:space="0" w:color="auto"/>
            </w:tcBorders>
            <w:noWrap/>
            <w:vAlign w:val="bottom"/>
            <w:hideMark/>
          </w:tcPr>
          <w:p w14:paraId="051997A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328" w:type="dxa"/>
            <w:tcBorders>
              <w:top w:val="nil"/>
              <w:left w:val="nil"/>
              <w:bottom w:val="single" w:sz="4" w:space="0" w:color="auto"/>
              <w:right w:val="single" w:sz="4" w:space="0" w:color="auto"/>
            </w:tcBorders>
            <w:noWrap/>
            <w:vAlign w:val="bottom"/>
            <w:hideMark/>
          </w:tcPr>
          <w:p w14:paraId="41DB7DD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283897C3" w14:textId="77777777" w:rsidTr="00A1364F">
        <w:trPr>
          <w:trHeight w:val="300"/>
        </w:trPr>
        <w:tc>
          <w:tcPr>
            <w:tcW w:w="2263" w:type="dxa"/>
            <w:tcBorders>
              <w:top w:val="nil"/>
              <w:left w:val="single" w:sz="4" w:space="0" w:color="auto"/>
              <w:bottom w:val="single" w:sz="4" w:space="0" w:color="auto"/>
              <w:right w:val="single" w:sz="4" w:space="0" w:color="auto"/>
            </w:tcBorders>
            <w:noWrap/>
            <w:vAlign w:val="bottom"/>
            <w:hideMark/>
          </w:tcPr>
          <w:p w14:paraId="306953E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1454" w:type="dxa"/>
            <w:tcBorders>
              <w:top w:val="nil"/>
              <w:left w:val="nil"/>
              <w:bottom w:val="single" w:sz="4" w:space="0" w:color="auto"/>
              <w:right w:val="single" w:sz="4" w:space="0" w:color="auto"/>
            </w:tcBorders>
            <w:noWrap/>
            <w:vAlign w:val="bottom"/>
            <w:hideMark/>
          </w:tcPr>
          <w:p w14:paraId="53C59E4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5,03</w:t>
            </w:r>
          </w:p>
        </w:tc>
        <w:tc>
          <w:tcPr>
            <w:tcW w:w="531" w:type="dxa"/>
            <w:tcBorders>
              <w:top w:val="nil"/>
              <w:left w:val="nil"/>
              <w:bottom w:val="single" w:sz="4" w:space="0" w:color="auto"/>
              <w:right w:val="single" w:sz="4" w:space="0" w:color="auto"/>
            </w:tcBorders>
            <w:noWrap/>
            <w:vAlign w:val="bottom"/>
            <w:hideMark/>
          </w:tcPr>
          <w:p w14:paraId="5F55512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701" w:type="dxa"/>
            <w:tcBorders>
              <w:top w:val="nil"/>
              <w:left w:val="nil"/>
              <w:bottom w:val="single" w:sz="4" w:space="0" w:color="auto"/>
              <w:right w:val="single" w:sz="4" w:space="0" w:color="auto"/>
            </w:tcBorders>
            <w:noWrap/>
            <w:vAlign w:val="bottom"/>
            <w:hideMark/>
          </w:tcPr>
          <w:p w14:paraId="6716EC5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c>
          <w:tcPr>
            <w:tcW w:w="709" w:type="dxa"/>
            <w:tcBorders>
              <w:top w:val="nil"/>
              <w:left w:val="nil"/>
              <w:bottom w:val="single" w:sz="4" w:space="0" w:color="auto"/>
              <w:right w:val="single" w:sz="4" w:space="0" w:color="auto"/>
            </w:tcBorders>
            <w:noWrap/>
            <w:vAlign w:val="bottom"/>
            <w:hideMark/>
          </w:tcPr>
          <w:p w14:paraId="757638D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47" w:type="dxa"/>
            <w:tcBorders>
              <w:top w:val="nil"/>
              <w:left w:val="nil"/>
              <w:bottom w:val="single" w:sz="4" w:space="0" w:color="auto"/>
              <w:right w:val="single" w:sz="4" w:space="0" w:color="auto"/>
            </w:tcBorders>
            <w:noWrap/>
            <w:vAlign w:val="bottom"/>
            <w:hideMark/>
          </w:tcPr>
          <w:p w14:paraId="536EC15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328" w:type="dxa"/>
            <w:tcBorders>
              <w:top w:val="nil"/>
              <w:left w:val="nil"/>
              <w:bottom w:val="single" w:sz="4" w:space="0" w:color="auto"/>
              <w:right w:val="single" w:sz="4" w:space="0" w:color="auto"/>
            </w:tcBorders>
            <w:noWrap/>
            <w:vAlign w:val="bottom"/>
            <w:hideMark/>
          </w:tcPr>
          <w:p w14:paraId="5AFC9DA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725F9C0" w14:textId="77777777" w:rsidTr="00A1364F">
        <w:trPr>
          <w:trHeight w:val="300"/>
        </w:trPr>
        <w:tc>
          <w:tcPr>
            <w:tcW w:w="2263" w:type="dxa"/>
            <w:tcBorders>
              <w:top w:val="nil"/>
              <w:left w:val="single" w:sz="4" w:space="0" w:color="auto"/>
              <w:bottom w:val="single" w:sz="4" w:space="0" w:color="auto"/>
              <w:right w:val="single" w:sz="4" w:space="0" w:color="auto"/>
            </w:tcBorders>
            <w:noWrap/>
            <w:vAlign w:val="bottom"/>
            <w:hideMark/>
          </w:tcPr>
          <w:p w14:paraId="1E22DEF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1454" w:type="dxa"/>
            <w:tcBorders>
              <w:top w:val="nil"/>
              <w:left w:val="nil"/>
              <w:bottom w:val="single" w:sz="4" w:space="0" w:color="auto"/>
              <w:right w:val="single" w:sz="4" w:space="0" w:color="auto"/>
            </w:tcBorders>
            <w:noWrap/>
            <w:vAlign w:val="bottom"/>
            <w:hideMark/>
          </w:tcPr>
          <w:p w14:paraId="3AD1973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5,61</w:t>
            </w:r>
          </w:p>
        </w:tc>
        <w:tc>
          <w:tcPr>
            <w:tcW w:w="531" w:type="dxa"/>
            <w:tcBorders>
              <w:top w:val="nil"/>
              <w:left w:val="nil"/>
              <w:bottom w:val="single" w:sz="4" w:space="0" w:color="auto"/>
              <w:right w:val="single" w:sz="4" w:space="0" w:color="auto"/>
            </w:tcBorders>
            <w:noWrap/>
            <w:vAlign w:val="bottom"/>
            <w:hideMark/>
          </w:tcPr>
          <w:p w14:paraId="15A38DE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701" w:type="dxa"/>
            <w:tcBorders>
              <w:top w:val="nil"/>
              <w:left w:val="nil"/>
              <w:bottom w:val="single" w:sz="4" w:space="0" w:color="auto"/>
              <w:right w:val="single" w:sz="4" w:space="0" w:color="auto"/>
            </w:tcBorders>
            <w:noWrap/>
            <w:vAlign w:val="bottom"/>
            <w:hideMark/>
          </w:tcPr>
          <w:p w14:paraId="3E88684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0,14</w:t>
            </w:r>
          </w:p>
        </w:tc>
        <w:tc>
          <w:tcPr>
            <w:tcW w:w="709" w:type="dxa"/>
            <w:tcBorders>
              <w:top w:val="nil"/>
              <w:left w:val="nil"/>
              <w:bottom w:val="single" w:sz="4" w:space="0" w:color="auto"/>
              <w:right w:val="single" w:sz="4" w:space="0" w:color="auto"/>
            </w:tcBorders>
            <w:noWrap/>
            <w:vAlign w:val="bottom"/>
            <w:hideMark/>
          </w:tcPr>
          <w:p w14:paraId="1214776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47" w:type="dxa"/>
            <w:tcBorders>
              <w:top w:val="nil"/>
              <w:left w:val="nil"/>
              <w:bottom w:val="single" w:sz="4" w:space="0" w:color="auto"/>
              <w:right w:val="single" w:sz="4" w:space="0" w:color="auto"/>
            </w:tcBorders>
            <w:noWrap/>
            <w:vAlign w:val="bottom"/>
            <w:hideMark/>
          </w:tcPr>
          <w:p w14:paraId="36368D6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28" w:type="dxa"/>
            <w:tcBorders>
              <w:top w:val="nil"/>
              <w:left w:val="nil"/>
              <w:bottom w:val="single" w:sz="4" w:space="0" w:color="auto"/>
              <w:right w:val="single" w:sz="4" w:space="0" w:color="auto"/>
            </w:tcBorders>
            <w:noWrap/>
            <w:vAlign w:val="bottom"/>
            <w:hideMark/>
          </w:tcPr>
          <w:p w14:paraId="65DC7FF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C82BCC" w14:paraId="0528A0B9" w14:textId="77777777" w:rsidTr="00A1364F">
        <w:trPr>
          <w:trHeight w:val="300"/>
        </w:trPr>
        <w:tc>
          <w:tcPr>
            <w:tcW w:w="2263" w:type="dxa"/>
            <w:tcBorders>
              <w:top w:val="nil"/>
              <w:left w:val="single" w:sz="4" w:space="0" w:color="auto"/>
              <w:bottom w:val="single" w:sz="4" w:space="0" w:color="auto"/>
              <w:right w:val="single" w:sz="4" w:space="0" w:color="auto"/>
            </w:tcBorders>
            <w:noWrap/>
            <w:vAlign w:val="bottom"/>
            <w:hideMark/>
          </w:tcPr>
          <w:p w14:paraId="66EB1E7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1454" w:type="dxa"/>
            <w:tcBorders>
              <w:top w:val="nil"/>
              <w:left w:val="nil"/>
              <w:bottom w:val="single" w:sz="4" w:space="0" w:color="auto"/>
              <w:right w:val="single" w:sz="4" w:space="0" w:color="auto"/>
            </w:tcBorders>
            <w:noWrap/>
            <w:vAlign w:val="bottom"/>
            <w:hideMark/>
          </w:tcPr>
          <w:p w14:paraId="64FD257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w:t>
            </w:r>
          </w:p>
        </w:tc>
        <w:tc>
          <w:tcPr>
            <w:tcW w:w="531" w:type="dxa"/>
            <w:tcBorders>
              <w:top w:val="nil"/>
              <w:left w:val="nil"/>
              <w:bottom w:val="single" w:sz="4" w:space="0" w:color="auto"/>
              <w:right w:val="single" w:sz="4" w:space="0" w:color="auto"/>
            </w:tcBorders>
            <w:noWrap/>
            <w:vAlign w:val="bottom"/>
            <w:hideMark/>
          </w:tcPr>
          <w:p w14:paraId="5E92CC00"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701" w:type="dxa"/>
            <w:tcBorders>
              <w:top w:val="nil"/>
              <w:left w:val="nil"/>
              <w:bottom w:val="single" w:sz="4" w:space="0" w:color="auto"/>
              <w:right w:val="single" w:sz="4" w:space="0" w:color="auto"/>
            </w:tcBorders>
            <w:noWrap/>
            <w:vAlign w:val="bottom"/>
            <w:hideMark/>
          </w:tcPr>
          <w:p w14:paraId="40A8F55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0,34</w:t>
            </w:r>
          </w:p>
        </w:tc>
        <w:tc>
          <w:tcPr>
            <w:tcW w:w="709" w:type="dxa"/>
            <w:tcBorders>
              <w:top w:val="nil"/>
              <w:left w:val="nil"/>
              <w:bottom w:val="single" w:sz="4" w:space="0" w:color="auto"/>
              <w:right w:val="single" w:sz="4" w:space="0" w:color="auto"/>
            </w:tcBorders>
            <w:noWrap/>
            <w:vAlign w:val="bottom"/>
            <w:hideMark/>
          </w:tcPr>
          <w:p w14:paraId="2CD7EBA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47" w:type="dxa"/>
            <w:tcBorders>
              <w:top w:val="nil"/>
              <w:left w:val="nil"/>
              <w:bottom w:val="single" w:sz="4" w:space="0" w:color="auto"/>
              <w:right w:val="single" w:sz="4" w:space="0" w:color="auto"/>
            </w:tcBorders>
            <w:noWrap/>
            <w:vAlign w:val="bottom"/>
            <w:hideMark/>
          </w:tcPr>
          <w:p w14:paraId="7279687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28" w:type="dxa"/>
            <w:tcBorders>
              <w:top w:val="nil"/>
              <w:left w:val="nil"/>
              <w:bottom w:val="single" w:sz="4" w:space="0" w:color="auto"/>
              <w:right w:val="single" w:sz="4" w:space="0" w:color="auto"/>
            </w:tcBorders>
            <w:noWrap/>
            <w:vAlign w:val="bottom"/>
            <w:hideMark/>
          </w:tcPr>
          <w:p w14:paraId="36A8CF6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C82BCC" w14:paraId="7A8FC493" w14:textId="77777777" w:rsidTr="00A1364F">
        <w:trPr>
          <w:trHeight w:val="300"/>
        </w:trPr>
        <w:tc>
          <w:tcPr>
            <w:tcW w:w="2263" w:type="dxa"/>
            <w:tcBorders>
              <w:top w:val="nil"/>
              <w:left w:val="single" w:sz="4" w:space="0" w:color="auto"/>
              <w:bottom w:val="single" w:sz="4" w:space="0" w:color="auto"/>
              <w:right w:val="single" w:sz="4" w:space="0" w:color="auto"/>
            </w:tcBorders>
            <w:noWrap/>
            <w:vAlign w:val="bottom"/>
            <w:hideMark/>
          </w:tcPr>
          <w:p w14:paraId="02AA7C9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1454" w:type="dxa"/>
            <w:tcBorders>
              <w:top w:val="nil"/>
              <w:left w:val="nil"/>
              <w:bottom w:val="single" w:sz="4" w:space="0" w:color="auto"/>
              <w:right w:val="single" w:sz="4" w:space="0" w:color="auto"/>
            </w:tcBorders>
            <w:noWrap/>
            <w:vAlign w:val="bottom"/>
            <w:hideMark/>
          </w:tcPr>
          <w:p w14:paraId="6179E30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5,87</w:t>
            </w:r>
          </w:p>
        </w:tc>
        <w:tc>
          <w:tcPr>
            <w:tcW w:w="531" w:type="dxa"/>
            <w:tcBorders>
              <w:top w:val="nil"/>
              <w:left w:val="nil"/>
              <w:bottom w:val="single" w:sz="4" w:space="0" w:color="auto"/>
              <w:right w:val="single" w:sz="4" w:space="0" w:color="auto"/>
            </w:tcBorders>
            <w:noWrap/>
            <w:vAlign w:val="bottom"/>
            <w:hideMark/>
          </w:tcPr>
          <w:p w14:paraId="1C0846C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701" w:type="dxa"/>
            <w:tcBorders>
              <w:top w:val="nil"/>
              <w:left w:val="nil"/>
              <w:bottom w:val="single" w:sz="4" w:space="0" w:color="auto"/>
              <w:right w:val="single" w:sz="4" w:space="0" w:color="auto"/>
            </w:tcBorders>
            <w:noWrap/>
            <w:vAlign w:val="bottom"/>
            <w:hideMark/>
          </w:tcPr>
          <w:p w14:paraId="04906E6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0,34</w:t>
            </w:r>
          </w:p>
        </w:tc>
        <w:tc>
          <w:tcPr>
            <w:tcW w:w="709" w:type="dxa"/>
            <w:tcBorders>
              <w:top w:val="nil"/>
              <w:left w:val="nil"/>
              <w:bottom w:val="single" w:sz="4" w:space="0" w:color="auto"/>
              <w:right w:val="single" w:sz="4" w:space="0" w:color="auto"/>
            </w:tcBorders>
            <w:noWrap/>
            <w:vAlign w:val="bottom"/>
            <w:hideMark/>
          </w:tcPr>
          <w:p w14:paraId="33E92A8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47" w:type="dxa"/>
            <w:tcBorders>
              <w:top w:val="nil"/>
              <w:left w:val="nil"/>
              <w:bottom w:val="single" w:sz="4" w:space="0" w:color="auto"/>
              <w:right w:val="single" w:sz="4" w:space="0" w:color="auto"/>
            </w:tcBorders>
            <w:noWrap/>
            <w:vAlign w:val="bottom"/>
            <w:hideMark/>
          </w:tcPr>
          <w:p w14:paraId="1311829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28" w:type="dxa"/>
            <w:tcBorders>
              <w:top w:val="nil"/>
              <w:left w:val="nil"/>
              <w:bottom w:val="single" w:sz="4" w:space="0" w:color="auto"/>
              <w:right w:val="single" w:sz="4" w:space="0" w:color="auto"/>
            </w:tcBorders>
            <w:noWrap/>
            <w:vAlign w:val="bottom"/>
            <w:hideMark/>
          </w:tcPr>
          <w:p w14:paraId="21CAC26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029E593C" w14:textId="67535F2E" w:rsidR="002F2624" w:rsidRPr="005F2242" w:rsidRDefault="002F2624" w:rsidP="005F2242">
      <w:pPr>
        <w:autoSpaceDE w:val="0"/>
        <w:autoSpaceDN w:val="0"/>
        <w:adjustRightInd w:val="0"/>
        <w:spacing w:before="360" w:after="0" w:line="360" w:lineRule="auto"/>
        <w:rPr>
          <w:rFonts w:cs="Times New Roman"/>
          <w:szCs w:val="24"/>
        </w:rPr>
      </w:pPr>
      <w:bookmarkStart w:id="1753" w:name="_Toc79314095"/>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103</w:t>
      </w:r>
      <w:r w:rsidRPr="002F2624">
        <w:rPr>
          <w:rFonts w:cs="Times New Roman"/>
          <w:b/>
          <w:i/>
          <w:iCs/>
          <w:szCs w:val="24"/>
        </w:rPr>
        <w:fldChar w:fldCharType="end"/>
      </w:r>
      <w:r w:rsidRPr="002F2624">
        <w:rPr>
          <w:rFonts w:cs="Times New Roman"/>
          <w:b/>
          <w:szCs w:val="24"/>
        </w:rPr>
        <w:t>.</w:t>
      </w:r>
      <w:r w:rsidRPr="002F2624">
        <w:rPr>
          <w:rFonts w:cs="Times New Roman"/>
          <w:szCs w:val="24"/>
        </w:rPr>
        <w:t xml:space="preserve"> Rendimiento de maíz suave en grano seco para varias dosis de fósforo evaluados en la provincia de Imbabura, 2010-2015.</w:t>
      </w:r>
      <w:bookmarkEnd w:id="1753"/>
    </w:p>
    <w:tbl>
      <w:tblPr>
        <w:tblW w:w="5834" w:type="dxa"/>
        <w:jc w:val="center"/>
        <w:tblCellMar>
          <w:left w:w="70" w:type="dxa"/>
          <w:right w:w="70" w:type="dxa"/>
        </w:tblCellMar>
        <w:tblLook w:val="04A0" w:firstRow="1" w:lastRow="0" w:firstColumn="1" w:lastColumn="0" w:noHBand="0" w:noVBand="1"/>
      </w:tblPr>
      <w:tblGrid>
        <w:gridCol w:w="1980"/>
        <w:gridCol w:w="992"/>
        <w:gridCol w:w="851"/>
        <w:gridCol w:w="2011"/>
      </w:tblGrid>
      <w:tr w:rsidR="00C82BCC" w14:paraId="51D3292C" w14:textId="77777777" w:rsidTr="00220A73">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5110821"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992" w:type="dxa"/>
            <w:tcBorders>
              <w:top w:val="single" w:sz="4" w:space="0" w:color="auto"/>
              <w:left w:val="nil"/>
              <w:bottom w:val="single" w:sz="4" w:space="0" w:color="auto"/>
              <w:right w:val="single" w:sz="4" w:space="0" w:color="auto"/>
            </w:tcBorders>
            <w:noWrap/>
            <w:vAlign w:val="bottom"/>
            <w:hideMark/>
          </w:tcPr>
          <w:p w14:paraId="49719435"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851" w:type="dxa"/>
            <w:tcBorders>
              <w:top w:val="single" w:sz="4" w:space="0" w:color="auto"/>
              <w:left w:val="nil"/>
              <w:bottom w:val="single" w:sz="4" w:space="0" w:color="auto"/>
              <w:right w:val="single" w:sz="4" w:space="0" w:color="auto"/>
            </w:tcBorders>
            <w:noWrap/>
            <w:vAlign w:val="bottom"/>
            <w:hideMark/>
          </w:tcPr>
          <w:p w14:paraId="254F9444"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2011" w:type="dxa"/>
            <w:tcBorders>
              <w:top w:val="single" w:sz="4" w:space="0" w:color="auto"/>
              <w:left w:val="nil"/>
              <w:bottom w:val="single" w:sz="4" w:space="0" w:color="auto"/>
              <w:right w:val="single" w:sz="4" w:space="0" w:color="auto"/>
            </w:tcBorders>
            <w:noWrap/>
            <w:vAlign w:val="bottom"/>
            <w:hideMark/>
          </w:tcPr>
          <w:p w14:paraId="78F7B477"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231A9CCF" w14:textId="77777777" w:rsidTr="00220A7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2CDF653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992" w:type="dxa"/>
            <w:tcBorders>
              <w:top w:val="nil"/>
              <w:left w:val="nil"/>
              <w:bottom w:val="single" w:sz="4" w:space="0" w:color="auto"/>
              <w:right w:val="single" w:sz="4" w:space="0" w:color="auto"/>
            </w:tcBorders>
            <w:noWrap/>
            <w:vAlign w:val="bottom"/>
            <w:hideMark/>
          </w:tcPr>
          <w:p w14:paraId="113A957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4,37</w:t>
            </w:r>
          </w:p>
        </w:tc>
        <w:tc>
          <w:tcPr>
            <w:tcW w:w="851" w:type="dxa"/>
            <w:tcBorders>
              <w:top w:val="nil"/>
              <w:left w:val="nil"/>
              <w:bottom w:val="single" w:sz="4" w:space="0" w:color="auto"/>
              <w:right w:val="single" w:sz="4" w:space="0" w:color="auto"/>
            </w:tcBorders>
            <w:noWrap/>
            <w:vAlign w:val="bottom"/>
            <w:hideMark/>
          </w:tcPr>
          <w:p w14:paraId="0F85EA8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2011" w:type="dxa"/>
            <w:tcBorders>
              <w:top w:val="nil"/>
              <w:left w:val="nil"/>
              <w:bottom w:val="single" w:sz="4" w:space="0" w:color="auto"/>
              <w:right w:val="single" w:sz="4" w:space="0" w:color="auto"/>
            </w:tcBorders>
            <w:noWrap/>
            <w:vAlign w:val="bottom"/>
            <w:hideMark/>
          </w:tcPr>
          <w:p w14:paraId="1F83ECA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0,59</w:t>
            </w:r>
          </w:p>
        </w:tc>
      </w:tr>
      <w:tr w:rsidR="00C82BCC" w14:paraId="6BE35D0E" w14:textId="77777777" w:rsidTr="00220A7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EFE786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992" w:type="dxa"/>
            <w:tcBorders>
              <w:top w:val="nil"/>
              <w:left w:val="nil"/>
              <w:bottom w:val="single" w:sz="4" w:space="0" w:color="auto"/>
              <w:right w:val="single" w:sz="4" w:space="0" w:color="auto"/>
            </w:tcBorders>
            <w:noWrap/>
            <w:vAlign w:val="bottom"/>
            <w:hideMark/>
          </w:tcPr>
          <w:p w14:paraId="135D108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4,56</w:t>
            </w:r>
          </w:p>
        </w:tc>
        <w:tc>
          <w:tcPr>
            <w:tcW w:w="851" w:type="dxa"/>
            <w:tcBorders>
              <w:top w:val="nil"/>
              <w:left w:val="nil"/>
              <w:bottom w:val="single" w:sz="4" w:space="0" w:color="auto"/>
              <w:right w:val="single" w:sz="4" w:space="0" w:color="auto"/>
            </w:tcBorders>
            <w:noWrap/>
            <w:vAlign w:val="bottom"/>
            <w:hideMark/>
          </w:tcPr>
          <w:p w14:paraId="744F1AF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2011" w:type="dxa"/>
            <w:tcBorders>
              <w:top w:val="nil"/>
              <w:left w:val="nil"/>
              <w:bottom w:val="single" w:sz="4" w:space="0" w:color="auto"/>
              <w:right w:val="single" w:sz="4" w:space="0" w:color="auto"/>
            </w:tcBorders>
            <w:noWrap/>
            <w:vAlign w:val="bottom"/>
            <w:hideMark/>
          </w:tcPr>
          <w:p w14:paraId="19C9C04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0,13</w:t>
            </w:r>
          </w:p>
        </w:tc>
      </w:tr>
      <w:tr w:rsidR="00C82BCC" w14:paraId="4C19297F" w14:textId="77777777" w:rsidTr="00220A7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C75D16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992" w:type="dxa"/>
            <w:tcBorders>
              <w:top w:val="nil"/>
              <w:left w:val="nil"/>
              <w:bottom w:val="single" w:sz="4" w:space="0" w:color="auto"/>
              <w:right w:val="single" w:sz="4" w:space="0" w:color="auto"/>
            </w:tcBorders>
            <w:noWrap/>
            <w:vAlign w:val="bottom"/>
            <w:hideMark/>
          </w:tcPr>
          <w:p w14:paraId="1EF03FC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4,59</w:t>
            </w:r>
          </w:p>
        </w:tc>
        <w:tc>
          <w:tcPr>
            <w:tcW w:w="851" w:type="dxa"/>
            <w:tcBorders>
              <w:top w:val="nil"/>
              <w:left w:val="nil"/>
              <w:bottom w:val="single" w:sz="4" w:space="0" w:color="auto"/>
              <w:right w:val="single" w:sz="4" w:space="0" w:color="auto"/>
            </w:tcBorders>
            <w:noWrap/>
            <w:vAlign w:val="bottom"/>
            <w:hideMark/>
          </w:tcPr>
          <w:p w14:paraId="01CC895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2011" w:type="dxa"/>
            <w:tcBorders>
              <w:top w:val="nil"/>
              <w:left w:val="nil"/>
              <w:bottom w:val="single" w:sz="4" w:space="0" w:color="auto"/>
              <w:right w:val="single" w:sz="4" w:space="0" w:color="auto"/>
            </w:tcBorders>
            <w:noWrap/>
            <w:vAlign w:val="bottom"/>
            <w:hideMark/>
          </w:tcPr>
          <w:p w14:paraId="1EBCCD3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0,59</w:t>
            </w:r>
          </w:p>
        </w:tc>
      </w:tr>
      <w:tr w:rsidR="00C82BCC" w14:paraId="3A6B879C" w14:textId="77777777" w:rsidTr="00220A7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C59C34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992" w:type="dxa"/>
            <w:tcBorders>
              <w:top w:val="nil"/>
              <w:left w:val="nil"/>
              <w:bottom w:val="single" w:sz="4" w:space="0" w:color="auto"/>
              <w:right w:val="single" w:sz="4" w:space="0" w:color="auto"/>
            </w:tcBorders>
            <w:noWrap/>
            <w:vAlign w:val="bottom"/>
            <w:hideMark/>
          </w:tcPr>
          <w:p w14:paraId="1AA65CD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w:t>
            </w:r>
          </w:p>
        </w:tc>
        <w:tc>
          <w:tcPr>
            <w:tcW w:w="851" w:type="dxa"/>
            <w:tcBorders>
              <w:top w:val="nil"/>
              <w:left w:val="nil"/>
              <w:bottom w:val="single" w:sz="4" w:space="0" w:color="auto"/>
              <w:right w:val="single" w:sz="4" w:space="0" w:color="auto"/>
            </w:tcBorders>
            <w:noWrap/>
            <w:vAlign w:val="bottom"/>
            <w:hideMark/>
          </w:tcPr>
          <w:p w14:paraId="7B44149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2011" w:type="dxa"/>
            <w:tcBorders>
              <w:top w:val="nil"/>
              <w:left w:val="nil"/>
              <w:bottom w:val="single" w:sz="4" w:space="0" w:color="auto"/>
              <w:right w:val="single" w:sz="4" w:space="0" w:color="auto"/>
            </w:tcBorders>
            <w:noWrap/>
            <w:vAlign w:val="bottom"/>
            <w:hideMark/>
          </w:tcPr>
          <w:p w14:paraId="7DD6F46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0,17</w:t>
            </w:r>
          </w:p>
        </w:tc>
      </w:tr>
      <w:tr w:rsidR="00C82BCC" w14:paraId="1AF54DBF" w14:textId="77777777" w:rsidTr="00220A7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A3E4450"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992" w:type="dxa"/>
            <w:tcBorders>
              <w:top w:val="nil"/>
              <w:left w:val="nil"/>
              <w:bottom w:val="single" w:sz="4" w:space="0" w:color="auto"/>
              <w:right w:val="single" w:sz="4" w:space="0" w:color="auto"/>
            </w:tcBorders>
            <w:noWrap/>
            <w:vAlign w:val="bottom"/>
            <w:hideMark/>
          </w:tcPr>
          <w:p w14:paraId="51CF865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5,01</w:t>
            </w:r>
          </w:p>
        </w:tc>
        <w:tc>
          <w:tcPr>
            <w:tcW w:w="851" w:type="dxa"/>
            <w:tcBorders>
              <w:top w:val="nil"/>
              <w:left w:val="nil"/>
              <w:bottom w:val="single" w:sz="4" w:space="0" w:color="auto"/>
              <w:right w:val="single" w:sz="4" w:space="0" w:color="auto"/>
            </w:tcBorders>
            <w:noWrap/>
            <w:vAlign w:val="bottom"/>
            <w:hideMark/>
          </w:tcPr>
          <w:p w14:paraId="2161397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2011" w:type="dxa"/>
            <w:tcBorders>
              <w:top w:val="nil"/>
              <w:left w:val="nil"/>
              <w:bottom w:val="single" w:sz="4" w:space="0" w:color="auto"/>
              <w:right w:val="single" w:sz="4" w:space="0" w:color="auto"/>
            </w:tcBorders>
            <w:noWrap/>
            <w:vAlign w:val="bottom"/>
            <w:hideMark/>
          </w:tcPr>
          <w:p w14:paraId="29E6EBE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0,11</w:t>
            </w:r>
          </w:p>
        </w:tc>
      </w:tr>
      <w:tr w:rsidR="00C82BCC" w14:paraId="73F04608" w14:textId="77777777" w:rsidTr="00220A7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FB454C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992" w:type="dxa"/>
            <w:tcBorders>
              <w:top w:val="nil"/>
              <w:left w:val="nil"/>
              <w:bottom w:val="single" w:sz="4" w:space="0" w:color="auto"/>
              <w:right w:val="single" w:sz="4" w:space="0" w:color="auto"/>
            </w:tcBorders>
            <w:noWrap/>
            <w:vAlign w:val="bottom"/>
            <w:hideMark/>
          </w:tcPr>
          <w:p w14:paraId="54253F9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w:t>
            </w:r>
          </w:p>
        </w:tc>
        <w:tc>
          <w:tcPr>
            <w:tcW w:w="851" w:type="dxa"/>
            <w:tcBorders>
              <w:top w:val="nil"/>
              <w:left w:val="nil"/>
              <w:bottom w:val="single" w:sz="4" w:space="0" w:color="auto"/>
              <w:right w:val="single" w:sz="4" w:space="0" w:color="auto"/>
            </w:tcBorders>
            <w:noWrap/>
            <w:vAlign w:val="bottom"/>
            <w:hideMark/>
          </w:tcPr>
          <w:p w14:paraId="34047F6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2011" w:type="dxa"/>
            <w:tcBorders>
              <w:top w:val="nil"/>
              <w:left w:val="nil"/>
              <w:bottom w:val="single" w:sz="4" w:space="0" w:color="auto"/>
              <w:right w:val="single" w:sz="4" w:space="0" w:color="auto"/>
            </w:tcBorders>
            <w:noWrap/>
            <w:vAlign w:val="bottom"/>
            <w:hideMark/>
          </w:tcPr>
          <w:p w14:paraId="2B97A70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0,41</w:t>
            </w:r>
          </w:p>
        </w:tc>
      </w:tr>
    </w:tbl>
    <w:p w14:paraId="2945EC93" w14:textId="77777777" w:rsidR="005F2242" w:rsidRDefault="00C82BCC" w:rsidP="005F2242">
      <w:pPr>
        <w:autoSpaceDE w:val="0"/>
        <w:autoSpaceDN w:val="0"/>
        <w:adjustRightInd w:val="0"/>
        <w:spacing w:before="360" w:after="360" w:line="360" w:lineRule="auto"/>
        <w:rPr>
          <w:rFonts w:cs="Times New Roman"/>
          <w:szCs w:val="24"/>
        </w:rPr>
      </w:pPr>
      <w:r>
        <w:rPr>
          <w:rFonts w:cs="Times New Roman"/>
          <w:szCs w:val="24"/>
        </w:rPr>
        <w:t>El suelo con dosis de fósforo de 30 medidas demuestra un valor promedio inferior a aquel en el que no se ha aplicado este elemento. No existió diferencias estadísticas significativas entre los rendimientos obtenidos con</w:t>
      </w:r>
      <w:r w:rsidR="002F2624">
        <w:rPr>
          <w:rFonts w:cs="Times New Roman"/>
          <w:szCs w:val="24"/>
        </w:rPr>
        <w:t xml:space="preserve"> las diversas dosis de fósforo.</w:t>
      </w:r>
      <w:bookmarkStart w:id="1754" w:name="_Toc79314096"/>
    </w:p>
    <w:p w14:paraId="205A073E" w14:textId="77777777" w:rsidR="00177ABD" w:rsidRDefault="00177ABD" w:rsidP="005F2242">
      <w:pPr>
        <w:autoSpaceDE w:val="0"/>
        <w:autoSpaceDN w:val="0"/>
        <w:adjustRightInd w:val="0"/>
        <w:spacing w:before="360" w:after="0" w:line="360" w:lineRule="auto"/>
        <w:rPr>
          <w:rFonts w:cs="Times New Roman"/>
          <w:b/>
          <w:szCs w:val="24"/>
        </w:rPr>
      </w:pPr>
      <w:r>
        <w:rPr>
          <w:rFonts w:cs="Times New Roman"/>
          <w:b/>
          <w:szCs w:val="24"/>
        </w:rPr>
        <w:br w:type="page"/>
      </w:r>
    </w:p>
    <w:p w14:paraId="1D06874E" w14:textId="4D1072C5" w:rsidR="002F2624" w:rsidRPr="005F2242" w:rsidRDefault="002F2624" w:rsidP="005F2242">
      <w:pPr>
        <w:autoSpaceDE w:val="0"/>
        <w:autoSpaceDN w:val="0"/>
        <w:adjustRightInd w:val="0"/>
        <w:spacing w:before="360" w:after="0" w:line="360" w:lineRule="auto"/>
        <w:rPr>
          <w:rFonts w:cs="Times New Roman"/>
          <w:szCs w:val="24"/>
        </w:rPr>
      </w:pPr>
      <w:r w:rsidRPr="002F2624">
        <w:rPr>
          <w:rFonts w:cs="Times New Roman"/>
          <w:b/>
          <w:szCs w:val="24"/>
        </w:rPr>
        <w:lastRenderedPageBreak/>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104</w:t>
      </w:r>
      <w:r w:rsidRPr="002F2624">
        <w:rPr>
          <w:rFonts w:cs="Times New Roman"/>
          <w:b/>
          <w:i/>
          <w:iCs/>
          <w:szCs w:val="24"/>
        </w:rPr>
        <w:fldChar w:fldCharType="end"/>
      </w:r>
      <w:r w:rsidRPr="002F2624">
        <w:rPr>
          <w:rFonts w:cs="Times New Roman"/>
          <w:b/>
          <w:szCs w:val="24"/>
        </w:rPr>
        <w:t xml:space="preserve">. </w:t>
      </w:r>
      <w:r w:rsidRPr="002F2624">
        <w:rPr>
          <w:rFonts w:cs="Times New Roman"/>
          <w:szCs w:val="24"/>
        </w:rPr>
        <w:t>Rendimiento de maíz suave en grano seco para varias dosis de potasio evaluados en la provincia de Imbabura, 2010-2015.</w:t>
      </w:r>
      <w:bookmarkEnd w:id="1754"/>
    </w:p>
    <w:tbl>
      <w:tblPr>
        <w:tblW w:w="5000" w:type="pct"/>
        <w:tblCellMar>
          <w:left w:w="70" w:type="dxa"/>
          <w:right w:w="70" w:type="dxa"/>
        </w:tblCellMar>
        <w:tblLook w:val="04A0" w:firstRow="1" w:lastRow="0" w:firstColumn="1" w:lastColumn="0" w:noHBand="0" w:noVBand="1"/>
      </w:tblPr>
      <w:tblGrid>
        <w:gridCol w:w="2123"/>
        <w:gridCol w:w="992"/>
        <w:gridCol w:w="568"/>
        <w:gridCol w:w="2408"/>
        <w:gridCol w:w="785"/>
        <w:gridCol w:w="1051"/>
      </w:tblGrid>
      <w:tr w:rsidR="00C82BCC" w14:paraId="708660EC" w14:textId="77777777" w:rsidTr="002F2624">
        <w:trPr>
          <w:trHeight w:val="300"/>
        </w:trPr>
        <w:tc>
          <w:tcPr>
            <w:tcW w:w="1339" w:type="pct"/>
            <w:tcBorders>
              <w:top w:val="single" w:sz="4" w:space="0" w:color="auto"/>
              <w:left w:val="single" w:sz="4" w:space="0" w:color="auto"/>
              <w:bottom w:val="single" w:sz="4" w:space="0" w:color="auto"/>
              <w:right w:val="single" w:sz="4" w:space="0" w:color="auto"/>
            </w:tcBorders>
            <w:noWrap/>
            <w:vAlign w:val="bottom"/>
            <w:hideMark/>
          </w:tcPr>
          <w:p w14:paraId="31E9F45D"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626" w:type="pct"/>
            <w:tcBorders>
              <w:top w:val="single" w:sz="4" w:space="0" w:color="auto"/>
              <w:left w:val="nil"/>
              <w:bottom w:val="single" w:sz="4" w:space="0" w:color="auto"/>
              <w:right w:val="single" w:sz="4" w:space="0" w:color="auto"/>
            </w:tcBorders>
            <w:noWrap/>
            <w:vAlign w:val="bottom"/>
            <w:hideMark/>
          </w:tcPr>
          <w:p w14:paraId="77506694"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358" w:type="pct"/>
            <w:tcBorders>
              <w:top w:val="single" w:sz="4" w:space="0" w:color="auto"/>
              <w:left w:val="nil"/>
              <w:bottom w:val="single" w:sz="4" w:space="0" w:color="auto"/>
              <w:right w:val="single" w:sz="4" w:space="0" w:color="auto"/>
            </w:tcBorders>
            <w:noWrap/>
            <w:vAlign w:val="bottom"/>
            <w:hideMark/>
          </w:tcPr>
          <w:p w14:paraId="627C30F4"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519" w:type="pct"/>
            <w:tcBorders>
              <w:top w:val="single" w:sz="4" w:space="0" w:color="auto"/>
              <w:left w:val="nil"/>
              <w:bottom w:val="single" w:sz="4" w:space="0" w:color="auto"/>
              <w:right w:val="single" w:sz="4" w:space="0" w:color="auto"/>
            </w:tcBorders>
            <w:noWrap/>
            <w:vAlign w:val="bottom"/>
            <w:hideMark/>
          </w:tcPr>
          <w:p w14:paraId="516EDDC7"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495" w:type="pct"/>
            <w:tcBorders>
              <w:top w:val="single" w:sz="4" w:space="0" w:color="auto"/>
              <w:left w:val="single" w:sz="4" w:space="0" w:color="auto"/>
              <w:bottom w:val="single" w:sz="4" w:space="0" w:color="auto"/>
              <w:right w:val="nil"/>
            </w:tcBorders>
            <w:noWrap/>
            <w:vAlign w:val="bottom"/>
            <w:hideMark/>
          </w:tcPr>
          <w:p w14:paraId="253EECAB" w14:textId="77777777" w:rsidR="00C82BCC" w:rsidRDefault="00C82BCC" w:rsidP="005F2242">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Lsd  </w:t>
            </w:r>
          </w:p>
        </w:tc>
        <w:tc>
          <w:tcPr>
            <w:tcW w:w="663" w:type="pct"/>
            <w:tcBorders>
              <w:top w:val="single" w:sz="4" w:space="0" w:color="auto"/>
              <w:left w:val="nil"/>
              <w:bottom w:val="single" w:sz="4" w:space="0" w:color="auto"/>
              <w:right w:val="single" w:sz="4" w:space="0" w:color="auto"/>
            </w:tcBorders>
            <w:noWrap/>
            <w:vAlign w:val="bottom"/>
            <w:hideMark/>
          </w:tcPr>
          <w:p w14:paraId="7A0A19A2" w14:textId="77777777" w:rsidR="00C82BCC" w:rsidRDefault="00C82BCC" w:rsidP="005F2242">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2E6025D6" w14:textId="77777777" w:rsidTr="002F2624">
        <w:trPr>
          <w:trHeight w:val="300"/>
        </w:trPr>
        <w:tc>
          <w:tcPr>
            <w:tcW w:w="1339" w:type="pct"/>
            <w:tcBorders>
              <w:top w:val="nil"/>
              <w:left w:val="single" w:sz="4" w:space="0" w:color="auto"/>
              <w:bottom w:val="single" w:sz="4" w:space="0" w:color="auto"/>
              <w:right w:val="single" w:sz="4" w:space="0" w:color="auto"/>
            </w:tcBorders>
            <w:noWrap/>
            <w:vAlign w:val="bottom"/>
            <w:hideMark/>
          </w:tcPr>
          <w:p w14:paraId="6E412E5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626" w:type="pct"/>
            <w:tcBorders>
              <w:top w:val="nil"/>
              <w:left w:val="nil"/>
              <w:bottom w:val="single" w:sz="4" w:space="0" w:color="auto"/>
              <w:right w:val="single" w:sz="4" w:space="0" w:color="auto"/>
            </w:tcBorders>
            <w:noWrap/>
            <w:vAlign w:val="bottom"/>
            <w:hideMark/>
          </w:tcPr>
          <w:p w14:paraId="559C0CD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4,33</w:t>
            </w:r>
          </w:p>
        </w:tc>
        <w:tc>
          <w:tcPr>
            <w:tcW w:w="358" w:type="pct"/>
            <w:tcBorders>
              <w:top w:val="nil"/>
              <w:left w:val="nil"/>
              <w:bottom w:val="single" w:sz="4" w:space="0" w:color="auto"/>
              <w:right w:val="single" w:sz="4" w:space="0" w:color="auto"/>
            </w:tcBorders>
            <w:noWrap/>
            <w:vAlign w:val="bottom"/>
            <w:hideMark/>
          </w:tcPr>
          <w:p w14:paraId="5EA534F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519" w:type="pct"/>
            <w:tcBorders>
              <w:top w:val="nil"/>
              <w:left w:val="nil"/>
              <w:bottom w:val="single" w:sz="4" w:space="0" w:color="auto"/>
              <w:right w:val="single" w:sz="4" w:space="0" w:color="auto"/>
            </w:tcBorders>
            <w:noWrap/>
            <w:vAlign w:val="bottom"/>
            <w:hideMark/>
          </w:tcPr>
          <w:p w14:paraId="02EF10E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0,14</w:t>
            </w:r>
          </w:p>
        </w:tc>
        <w:tc>
          <w:tcPr>
            <w:tcW w:w="495" w:type="pct"/>
            <w:tcBorders>
              <w:top w:val="single" w:sz="4" w:space="0" w:color="auto"/>
              <w:left w:val="nil"/>
              <w:bottom w:val="single" w:sz="4" w:space="0" w:color="auto"/>
              <w:right w:val="single" w:sz="4" w:space="0" w:color="auto"/>
            </w:tcBorders>
            <w:noWrap/>
            <w:vAlign w:val="bottom"/>
            <w:hideMark/>
          </w:tcPr>
          <w:p w14:paraId="28672CF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63" w:type="pct"/>
            <w:tcBorders>
              <w:top w:val="single" w:sz="4" w:space="0" w:color="auto"/>
              <w:left w:val="nil"/>
              <w:bottom w:val="single" w:sz="4" w:space="0" w:color="auto"/>
              <w:right w:val="single" w:sz="4" w:space="0" w:color="auto"/>
            </w:tcBorders>
            <w:noWrap/>
            <w:vAlign w:val="bottom"/>
            <w:hideMark/>
          </w:tcPr>
          <w:p w14:paraId="1935573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DF68398" w14:textId="77777777" w:rsidTr="002F2624">
        <w:trPr>
          <w:trHeight w:val="300"/>
        </w:trPr>
        <w:tc>
          <w:tcPr>
            <w:tcW w:w="1339" w:type="pct"/>
            <w:tcBorders>
              <w:top w:val="nil"/>
              <w:left w:val="single" w:sz="4" w:space="0" w:color="auto"/>
              <w:bottom w:val="single" w:sz="4" w:space="0" w:color="auto"/>
              <w:right w:val="single" w:sz="4" w:space="0" w:color="auto"/>
            </w:tcBorders>
            <w:noWrap/>
            <w:vAlign w:val="bottom"/>
            <w:hideMark/>
          </w:tcPr>
          <w:p w14:paraId="39984D7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626" w:type="pct"/>
            <w:tcBorders>
              <w:top w:val="nil"/>
              <w:left w:val="nil"/>
              <w:bottom w:val="single" w:sz="4" w:space="0" w:color="auto"/>
              <w:right w:val="single" w:sz="4" w:space="0" w:color="auto"/>
            </w:tcBorders>
            <w:noWrap/>
            <w:vAlign w:val="bottom"/>
            <w:hideMark/>
          </w:tcPr>
          <w:p w14:paraId="22DFEBE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4,65</w:t>
            </w:r>
          </w:p>
        </w:tc>
        <w:tc>
          <w:tcPr>
            <w:tcW w:w="358" w:type="pct"/>
            <w:tcBorders>
              <w:top w:val="nil"/>
              <w:left w:val="nil"/>
              <w:bottom w:val="single" w:sz="4" w:space="0" w:color="auto"/>
              <w:right w:val="single" w:sz="4" w:space="0" w:color="auto"/>
            </w:tcBorders>
            <w:noWrap/>
            <w:vAlign w:val="bottom"/>
            <w:hideMark/>
          </w:tcPr>
          <w:p w14:paraId="036AB0F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519" w:type="pct"/>
            <w:tcBorders>
              <w:top w:val="nil"/>
              <w:left w:val="nil"/>
              <w:bottom w:val="single" w:sz="4" w:space="0" w:color="auto"/>
              <w:right w:val="single" w:sz="4" w:space="0" w:color="auto"/>
            </w:tcBorders>
            <w:noWrap/>
            <w:vAlign w:val="bottom"/>
            <w:hideMark/>
          </w:tcPr>
          <w:p w14:paraId="2F13298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c>
          <w:tcPr>
            <w:tcW w:w="495" w:type="pct"/>
            <w:tcBorders>
              <w:top w:val="nil"/>
              <w:left w:val="nil"/>
              <w:bottom w:val="single" w:sz="4" w:space="0" w:color="auto"/>
              <w:right w:val="single" w:sz="4" w:space="0" w:color="auto"/>
            </w:tcBorders>
            <w:noWrap/>
            <w:vAlign w:val="bottom"/>
            <w:hideMark/>
          </w:tcPr>
          <w:p w14:paraId="0D2DE6C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63" w:type="pct"/>
            <w:tcBorders>
              <w:top w:val="nil"/>
              <w:left w:val="nil"/>
              <w:bottom w:val="single" w:sz="4" w:space="0" w:color="auto"/>
              <w:right w:val="single" w:sz="4" w:space="0" w:color="auto"/>
            </w:tcBorders>
            <w:noWrap/>
            <w:vAlign w:val="bottom"/>
            <w:hideMark/>
          </w:tcPr>
          <w:p w14:paraId="34FC4BD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2841F47" w14:textId="77777777" w:rsidTr="002F2624">
        <w:trPr>
          <w:trHeight w:val="300"/>
        </w:trPr>
        <w:tc>
          <w:tcPr>
            <w:tcW w:w="1339" w:type="pct"/>
            <w:tcBorders>
              <w:top w:val="nil"/>
              <w:left w:val="single" w:sz="4" w:space="0" w:color="auto"/>
              <w:bottom w:val="single" w:sz="4" w:space="0" w:color="auto"/>
              <w:right w:val="single" w:sz="4" w:space="0" w:color="auto"/>
            </w:tcBorders>
            <w:noWrap/>
            <w:vAlign w:val="bottom"/>
            <w:hideMark/>
          </w:tcPr>
          <w:p w14:paraId="05234E2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626" w:type="pct"/>
            <w:tcBorders>
              <w:top w:val="nil"/>
              <w:left w:val="nil"/>
              <w:bottom w:val="single" w:sz="4" w:space="0" w:color="auto"/>
              <w:right w:val="single" w:sz="4" w:space="0" w:color="auto"/>
            </w:tcBorders>
            <w:noWrap/>
            <w:vAlign w:val="bottom"/>
            <w:hideMark/>
          </w:tcPr>
          <w:p w14:paraId="367A62F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5,11</w:t>
            </w:r>
          </w:p>
        </w:tc>
        <w:tc>
          <w:tcPr>
            <w:tcW w:w="358" w:type="pct"/>
            <w:tcBorders>
              <w:top w:val="nil"/>
              <w:left w:val="nil"/>
              <w:bottom w:val="single" w:sz="4" w:space="0" w:color="auto"/>
              <w:right w:val="single" w:sz="4" w:space="0" w:color="auto"/>
            </w:tcBorders>
            <w:noWrap/>
            <w:vAlign w:val="bottom"/>
            <w:hideMark/>
          </w:tcPr>
          <w:p w14:paraId="1033A96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1519" w:type="pct"/>
            <w:tcBorders>
              <w:top w:val="nil"/>
              <w:left w:val="nil"/>
              <w:bottom w:val="single" w:sz="4" w:space="0" w:color="auto"/>
              <w:right w:val="single" w:sz="4" w:space="0" w:color="auto"/>
            </w:tcBorders>
            <w:noWrap/>
            <w:vAlign w:val="bottom"/>
            <w:hideMark/>
          </w:tcPr>
          <w:p w14:paraId="28F677B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0,12</w:t>
            </w:r>
          </w:p>
        </w:tc>
        <w:tc>
          <w:tcPr>
            <w:tcW w:w="495" w:type="pct"/>
            <w:tcBorders>
              <w:top w:val="nil"/>
              <w:left w:val="nil"/>
              <w:bottom w:val="single" w:sz="4" w:space="0" w:color="auto"/>
              <w:right w:val="single" w:sz="4" w:space="0" w:color="auto"/>
            </w:tcBorders>
            <w:noWrap/>
            <w:vAlign w:val="bottom"/>
            <w:hideMark/>
          </w:tcPr>
          <w:p w14:paraId="125B49C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532AF84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7C644D6F" w14:textId="77777777" w:rsidTr="002F2624">
        <w:trPr>
          <w:trHeight w:val="300"/>
        </w:trPr>
        <w:tc>
          <w:tcPr>
            <w:tcW w:w="1339" w:type="pct"/>
            <w:tcBorders>
              <w:top w:val="nil"/>
              <w:left w:val="single" w:sz="4" w:space="0" w:color="auto"/>
              <w:bottom w:val="single" w:sz="4" w:space="0" w:color="auto"/>
              <w:right w:val="single" w:sz="4" w:space="0" w:color="auto"/>
            </w:tcBorders>
            <w:noWrap/>
            <w:vAlign w:val="bottom"/>
            <w:hideMark/>
          </w:tcPr>
          <w:p w14:paraId="11B0ABF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626" w:type="pct"/>
            <w:tcBorders>
              <w:top w:val="nil"/>
              <w:left w:val="nil"/>
              <w:bottom w:val="single" w:sz="4" w:space="0" w:color="auto"/>
              <w:right w:val="single" w:sz="4" w:space="0" w:color="auto"/>
            </w:tcBorders>
            <w:noWrap/>
            <w:vAlign w:val="bottom"/>
            <w:hideMark/>
          </w:tcPr>
          <w:p w14:paraId="41C17C3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5,56</w:t>
            </w:r>
          </w:p>
        </w:tc>
        <w:tc>
          <w:tcPr>
            <w:tcW w:w="358" w:type="pct"/>
            <w:tcBorders>
              <w:top w:val="nil"/>
              <w:left w:val="nil"/>
              <w:bottom w:val="single" w:sz="4" w:space="0" w:color="auto"/>
              <w:right w:val="single" w:sz="4" w:space="0" w:color="auto"/>
            </w:tcBorders>
            <w:noWrap/>
            <w:vAlign w:val="bottom"/>
            <w:hideMark/>
          </w:tcPr>
          <w:p w14:paraId="36C73C3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519" w:type="pct"/>
            <w:tcBorders>
              <w:top w:val="nil"/>
              <w:left w:val="nil"/>
              <w:bottom w:val="single" w:sz="4" w:space="0" w:color="auto"/>
              <w:right w:val="single" w:sz="4" w:space="0" w:color="auto"/>
            </w:tcBorders>
            <w:noWrap/>
            <w:vAlign w:val="bottom"/>
            <w:hideMark/>
          </w:tcPr>
          <w:p w14:paraId="145F16C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0,24</w:t>
            </w:r>
          </w:p>
        </w:tc>
        <w:tc>
          <w:tcPr>
            <w:tcW w:w="495" w:type="pct"/>
            <w:tcBorders>
              <w:top w:val="nil"/>
              <w:left w:val="nil"/>
              <w:bottom w:val="single" w:sz="4" w:space="0" w:color="auto"/>
              <w:right w:val="single" w:sz="4" w:space="0" w:color="auto"/>
            </w:tcBorders>
            <w:noWrap/>
            <w:vAlign w:val="bottom"/>
            <w:hideMark/>
          </w:tcPr>
          <w:p w14:paraId="1EFA8F1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3" w:type="pct"/>
            <w:tcBorders>
              <w:top w:val="nil"/>
              <w:left w:val="nil"/>
              <w:bottom w:val="single" w:sz="4" w:space="0" w:color="auto"/>
              <w:right w:val="single" w:sz="4" w:space="0" w:color="auto"/>
            </w:tcBorders>
            <w:noWrap/>
            <w:vAlign w:val="bottom"/>
            <w:hideMark/>
          </w:tcPr>
          <w:p w14:paraId="0D5120CF"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7AD95998" w14:textId="77777777" w:rsidR="005F2242" w:rsidRDefault="00C82BCC" w:rsidP="005F2242">
      <w:pPr>
        <w:autoSpaceDE w:val="0"/>
        <w:autoSpaceDN w:val="0"/>
        <w:adjustRightInd w:val="0"/>
        <w:spacing w:after="0" w:line="360" w:lineRule="auto"/>
        <w:rPr>
          <w:rFonts w:cs="Times New Roman"/>
          <w:szCs w:val="24"/>
        </w:rPr>
      </w:pPr>
      <w:r>
        <w:rPr>
          <w:rFonts w:cs="Times New Roman"/>
          <w:szCs w:val="24"/>
        </w:rPr>
        <w:t>Medias con una letra común no son significa</w:t>
      </w:r>
      <w:r w:rsidR="002F2624">
        <w:rPr>
          <w:rFonts w:cs="Times New Roman"/>
          <w:szCs w:val="24"/>
        </w:rPr>
        <w:t>tivamente diferentes (p &gt; 0,05)</w:t>
      </w:r>
      <w:bookmarkStart w:id="1755" w:name="_Toc79314097"/>
    </w:p>
    <w:p w14:paraId="5BC19D2E" w14:textId="0E677C80" w:rsidR="002F2624" w:rsidRPr="005F2242" w:rsidRDefault="002F2624" w:rsidP="005F2242">
      <w:pPr>
        <w:autoSpaceDE w:val="0"/>
        <w:autoSpaceDN w:val="0"/>
        <w:adjustRightInd w:val="0"/>
        <w:spacing w:before="360" w:after="0" w:line="360" w:lineRule="auto"/>
        <w:rPr>
          <w:rFonts w:cs="Times New Roman"/>
          <w:szCs w:val="24"/>
        </w:rPr>
      </w:pPr>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105</w:t>
      </w:r>
      <w:r w:rsidRPr="002F2624">
        <w:rPr>
          <w:rFonts w:cs="Times New Roman"/>
          <w:b/>
          <w:i/>
          <w:iCs/>
          <w:szCs w:val="24"/>
        </w:rPr>
        <w:fldChar w:fldCharType="end"/>
      </w:r>
      <w:r w:rsidRPr="002F2624">
        <w:rPr>
          <w:rFonts w:cs="Times New Roman"/>
          <w:b/>
          <w:szCs w:val="24"/>
        </w:rPr>
        <w:t>.</w:t>
      </w:r>
      <w:r w:rsidRPr="002F2624">
        <w:rPr>
          <w:rFonts w:cs="Times New Roman"/>
          <w:szCs w:val="24"/>
        </w:rPr>
        <w:t xml:space="preserve"> Rendimiento de maíz suave en grano seco para varias dosis de azufre evaluados en la provincia de Imbabura, 2010-2015.</w:t>
      </w:r>
      <w:bookmarkEnd w:id="1755"/>
    </w:p>
    <w:tbl>
      <w:tblPr>
        <w:tblW w:w="7297" w:type="dxa"/>
        <w:jc w:val="center"/>
        <w:tblCellMar>
          <w:left w:w="70" w:type="dxa"/>
          <w:right w:w="70" w:type="dxa"/>
        </w:tblCellMar>
        <w:tblLook w:val="04A0" w:firstRow="1" w:lastRow="0" w:firstColumn="1" w:lastColumn="0" w:noHBand="0" w:noVBand="1"/>
      </w:tblPr>
      <w:tblGrid>
        <w:gridCol w:w="2972"/>
        <w:gridCol w:w="887"/>
        <w:gridCol w:w="1737"/>
        <w:gridCol w:w="1701"/>
      </w:tblGrid>
      <w:tr w:rsidR="00C82BCC" w14:paraId="2298A3E7" w14:textId="77777777" w:rsidTr="002F2624">
        <w:trPr>
          <w:trHeight w:val="300"/>
          <w:jc w:val="center"/>
        </w:trPr>
        <w:tc>
          <w:tcPr>
            <w:tcW w:w="2972" w:type="dxa"/>
            <w:tcBorders>
              <w:top w:val="single" w:sz="4" w:space="0" w:color="auto"/>
              <w:left w:val="single" w:sz="4" w:space="0" w:color="auto"/>
              <w:bottom w:val="single" w:sz="4" w:space="0" w:color="auto"/>
              <w:right w:val="single" w:sz="4" w:space="0" w:color="auto"/>
            </w:tcBorders>
            <w:noWrap/>
            <w:vAlign w:val="bottom"/>
            <w:hideMark/>
          </w:tcPr>
          <w:p w14:paraId="7E0BFC33"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2CD72245"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1737" w:type="dxa"/>
            <w:tcBorders>
              <w:top w:val="single" w:sz="4" w:space="0" w:color="auto"/>
              <w:left w:val="nil"/>
              <w:bottom w:val="single" w:sz="4" w:space="0" w:color="auto"/>
              <w:right w:val="single" w:sz="4" w:space="0" w:color="auto"/>
            </w:tcBorders>
            <w:noWrap/>
            <w:vAlign w:val="bottom"/>
            <w:hideMark/>
          </w:tcPr>
          <w:p w14:paraId="544A80B7"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01" w:type="dxa"/>
            <w:tcBorders>
              <w:top w:val="single" w:sz="4" w:space="0" w:color="auto"/>
              <w:left w:val="nil"/>
              <w:bottom w:val="single" w:sz="4" w:space="0" w:color="auto"/>
              <w:right w:val="single" w:sz="4" w:space="0" w:color="auto"/>
            </w:tcBorders>
            <w:noWrap/>
            <w:vAlign w:val="bottom"/>
            <w:hideMark/>
          </w:tcPr>
          <w:p w14:paraId="4938C98B"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009D0CB7" w14:textId="77777777" w:rsidTr="002F2624">
        <w:trPr>
          <w:trHeight w:val="300"/>
          <w:jc w:val="center"/>
        </w:trPr>
        <w:tc>
          <w:tcPr>
            <w:tcW w:w="2972" w:type="dxa"/>
            <w:tcBorders>
              <w:top w:val="nil"/>
              <w:left w:val="single" w:sz="4" w:space="0" w:color="auto"/>
              <w:bottom w:val="single" w:sz="4" w:space="0" w:color="auto"/>
              <w:right w:val="single" w:sz="4" w:space="0" w:color="auto"/>
            </w:tcBorders>
            <w:noWrap/>
            <w:vAlign w:val="bottom"/>
            <w:hideMark/>
          </w:tcPr>
          <w:p w14:paraId="54D4968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7AA0A3E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4,32</w:t>
            </w:r>
          </w:p>
        </w:tc>
        <w:tc>
          <w:tcPr>
            <w:tcW w:w="1737" w:type="dxa"/>
            <w:tcBorders>
              <w:top w:val="nil"/>
              <w:left w:val="nil"/>
              <w:bottom w:val="single" w:sz="4" w:space="0" w:color="auto"/>
              <w:right w:val="single" w:sz="4" w:space="0" w:color="auto"/>
            </w:tcBorders>
            <w:noWrap/>
            <w:vAlign w:val="bottom"/>
            <w:hideMark/>
          </w:tcPr>
          <w:p w14:paraId="7FBD628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1701" w:type="dxa"/>
            <w:tcBorders>
              <w:top w:val="nil"/>
              <w:left w:val="nil"/>
              <w:bottom w:val="single" w:sz="4" w:space="0" w:color="auto"/>
              <w:right w:val="single" w:sz="4" w:space="0" w:color="auto"/>
            </w:tcBorders>
            <w:noWrap/>
            <w:vAlign w:val="bottom"/>
            <w:hideMark/>
          </w:tcPr>
          <w:p w14:paraId="1F79040C"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0,13</w:t>
            </w:r>
          </w:p>
        </w:tc>
      </w:tr>
      <w:tr w:rsidR="00C82BCC" w14:paraId="4704AD57" w14:textId="77777777" w:rsidTr="002F2624">
        <w:trPr>
          <w:trHeight w:val="300"/>
          <w:jc w:val="center"/>
        </w:trPr>
        <w:tc>
          <w:tcPr>
            <w:tcW w:w="2972" w:type="dxa"/>
            <w:tcBorders>
              <w:top w:val="nil"/>
              <w:left w:val="single" w:sz="4" w:space="0" w:color="auto"/>
              <w:bottom w:val="single" w:sz="4" w:space="0" w:color="auto"/>
              <w:right w:val="single" w:sz="4" w:space="0" w:color="auto"/>
            </w:tcBorders>
            <w:noWrap/>
            <w:vAlign w:val="bottom"/>
            <w:hideMark/>
          </w:tcPr>
          <w:p w14:paraId="23FD7F7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4F10519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w:t>
            </w:r>
          </w:p>
        </w:tc>
        <w:tc>
          <w:tcPr>
            <w:tcW w:w="1737" w:type="dxa"/>
            <w:tcBorders>
              <w:top w:val="nil"/>
              <w:left w:val="nil"/>
              <w:bottom w:val="single" w:sz="4" w:space="0" w:color="auto"/>
              <w:right w:val="single" w:sz="4" w:space="0" w:color="auto"/>
            </w:tcBorders>
            <w:noWrap/>
            <w:vAlign w:val="bottom"/>
            <w:hideMark/>
          </w:tcPr>
          <w:p w14:paraId="40173D9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w:t>
            </w:r>
          </w:p>
        </w:tc>
        <w:tc>
          <w:tcPr>
            <w:tcW w:w="1701" w:type="dxa"/>
            <w:tcBorders>
              <w:top w:val="nil"/>
              <w:left w:val="nil"/>
              <w:bottom w:val="single" w:sz="4" w:space="0" w:color="auto"/>
              <w:right w:val="single" w:sz="4" w:space="0" w:color="auto"/>
            </w:tcBorders>
            <w:noWrap/>
            <w:vAlign w:val="bottom"/>
            <w:hideMark/>
          </w:tcPr>
          <w:p w14:paraId="56A3050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0,12</w:t>
            </w:r>
          </w:p>
        </w:tc>
      </w:tr>
      <w:tr w:rsidR="00C82BCC" w14:paraId="347AAD58" w14:textId="77777777" w:rsidTr="002F2624">
        <w:trPr>
          <w:trHeight w:val="300"/>
          <w:jc w:val="center"/>
        </w:trPr>
        <w:tc>
          <w:tcPr>
            <w:tcW w:w="2972" w:type="dxa"/>
            <w:tcBorders>
              <w:top w:val="nil"/>
              <w:left w:val="single" w:sz="4" w:space="0" w:color="auto"/>
              <w:bottom w:val="single" w:sz="4" w:space="0" w:color="auto"/>
              <w:right w:val="single" w:sz="4" w:space="0" w:color="auto"/>
            </w:tcBorders>
            <w:noWrap/>
            <w:vAlign w:val="bottom"/>
            <w:hideMark/>
          </w:tcPr>
          <w:p w14:paraId="197ACD9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172E757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5,32</w:t>
            </w:r>
          </w:p>
        </w:tc>
        <w:tc>
          <w:tcPr>
            <w:tcW w:w="1737" w:type="dxa"/>
            <w:tcBorders>
              <w:top w:val="nil"/>
              <w:left w:val="nil"/>
              <w:bottom w:val="single" w:sz="4" w:space="0" w:color="auto"/>
              <w:right w:val="single" w:sz="4" w:space="0" w:color="auto"/>
            </w:tcBorders>
            <w:noWrap/>
            <w:vAlign w:val="bottom"/>
            <w:hideMark/>
          </w:tcPr>
          <w:p w14:paraId="6C5D655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701" w:type="dxa"/>
            <w:tcBorders>
              <w:top w:val="nil"/>
              <w:left w:val="nil"/>
              <w:bottom w:val="single" w:sz="4" w:space="0" w:color="auto"/>
              <w:right w:val="single" w:sz="4" w:space="0" w:color="auto"/>
            </w:tcBorders>
            <w:noWrap/>
            <w:vAlign w:val="bottom"/>
            <w:hideMark/>
          </w:tcPr>
          <w:p w14:paraId="5605B842"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r>
      <w:tr w:rsidR="00C82BCC" w14:paraId="2B5A3431" w14:textId="77777777" w:rsidTr="002F2624">
        <w:trPr>
          <w:trHeight w:val="300"/>
          <w:jc w:val="center"/>
        </w:trPr>
        <w:tc>
          <w:tcPr>
            <w:tcW w:w="2972" w:type="dxa"/>
            <w:tcBorders>
              <w:top w:val="nil"/>
              <w:left w:val="single" w:sz="4" w:space="0" w:color="auto"/>
              <w:bottom w:val="single" w:sz="4" w:space="0" w:color="auto"/>
              <w:right w:val="single" w:sz="4" w:space="0" w:color="auto"/>
            </w:tcBorders>
            <w:noWrap/>
            <w:vAlign w:val="bottom"/>
            <w:hideMark/>
          </w:tcPr>
          <w:p w14:paraId="6158DBF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887" w:type="dxa"/>
            <w:tcBorders>
              <w:top w:val="nil"/>
              <w:left w:val="nil"/>
              <w:bottom w:val="single" w:sz="4" w:space="0" w:color="auto"/>
              <w:right w:val="single" w:sz="4" w:space="0" w:color="auto"/>
            </w:tcBorders>
            <w:noWrap/>
            <w:vAlign w:val="bottom"/>
            <w:hideMark/>
          </w:tcPr>
          <w:p w14:paraId="28FC5CA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5,76</w:t>
            </w:r>
          </w:p>
        </w:tc>
        <w:tc>
          <w:tcPr>
            <w:tcW w:w="1737" w:type="dxa"/>
            <w:tcBorders>
              <w:top w:val="nil"/>
              <w:left w:val="nil"/>
              <w:bottom w:val="single" w:sz="4" w:space="0" w:color="auto"/>
              <w:right w:val="single" w:sz="4" w:space="0" w:color="auto"/>
            </w:tcBorders>
            <w:noWrap/>
            <w:vAlign w:val="bottom"/>
            <w:hideMark/>
          </w:tcPr>
          <w:p w14:paraId="747AD05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01" w:type="dxa"/>
            <w:tcBorders>
              <w:top w:val="nil"/>
              <w:left w:val="nil"/>
              <w:bottom w:val="single" w:sz="4" w:space="0" w:color="auto"/>
              <w:right w:val="single" w:sz="4" w:space="0" w:color="auto"/>
            </w:tcBorders>
            <w:noWrap/>
            <w:vAlign w:val="bottom"/>
            <w:hideMark/>
          </w:tcPr>
          <w:p w14:paraId="2697DF3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r>
    </w:tbl>
    <w:p w14:paraId="3056E71E" w14:textId="77777777" w:rsidR="005F2242" w:rsidRDefault="00C82BCC" w:rsidP="005F2242">
      <w:pPr>
        <w:autoSpaceDE w:val="0"/>
        <w:autoSpaceDN w:val="0"/>
        <w:adjustRightInd w:val="0"/>
        <w:spacing w:before="360" w:after="360" w:line="360" w:lineRule="auto"/>
        <w:rPr>
          <w:rFonts w:cs="Times New Roman"/>
          <w:szCs w:val="24"/>
        </w:rPr>
      </w:pPr>
      <w:r>
        <w:rPr>
          <w:rFonts w:cs="Times New Roman"/>
          <w:szCs w:val="24"/>
        </w:rPr>
        <w:t xml:space="preserve">La dosis de 16 medidas de azufre demuestra un promedio superior a dosis mayores de este micronutriente de 20 y 30 medidas. No </w:t>
      </w:r>
      <w:r w:rsidR="0039325D">
        <w:rPr>
          <w:rFonts w:cs="Times New Roman"/>
          <w:szCs w:val="24"/>
        </w:rPr>
        <w:t>existieron</w:t>
      </w:r>
      <w:r>
        <w:rPr>
          <w:rFonts w:cs="Times New Roman"/>
          <w:szCs w:val="24"/>
        </w:rPr>
        <w:t xml:space="preserve"> diferencias estadísticas significativas entre los rendimientos obtenidos con las diversas dosis de azufre.</w:t>
      </w:r>
      <w:bookmarkStart w:id="1756" w:name="_Toc79314098"/>
    </w:p>
    <w:p w14:paraId="6B3909AF" w14:textId="2AF9E25F" w:rsidR="002F2624" w:rsidRPr="005F2242" w:rsidRDefault="002F2624" w:rsidP="005F2242">
      <w:pPr>
        <w:autoSpaceDE w:val="0"/>
        <w:autoSpaceDN w:val="0"/>
        <w:adjustRightInd w:val="0"/>
        <w:spacing w:before="360" w:after="120" w:line="360" w:lineRule="auto"/>
        <w:rPr>
          <w:rFonts w:cs="Times New Roman"/>
          <w:szCs w:val="24"/>
        </w:rPr>
      </w:pPr>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106</w:t>
      </w:r>
      <w:r w:rsidRPr="002F2624">
        <w:rPr>
          <w:rFonts w:cs="Times New Roman"/>
          <w:b/>
          <w:i/>
          <w:iCs/>
          <w:szCs w:val="24"/>
        </w:rPr>
        <w:fldChar w:fldCharType="end"/>
      </w:r>
      <w:r w:rsidRPr="002F2624">
        <w:rPr>
          <w:rFonts w:cs="Times New Roman"/>
          <w:b/>
          <w:szCs w:val="24"/>
        </w:rPr>
        <w:t>.</w:t>
      </w:r>
      <w:r w:rsidRPr="002F2624">
        <w:rPr>
          <w:rFonts w:cs="Times New Roman"/>
          <w:szCs w:val="24"/>
        </w:rPr>
        <w:t xml:space="preserve"> Rendimiento de maíz suave en grano seco para varias dosis de azufre evaluados en la provincia de Imbabura, 2010-2015.</w:t>
      </w:r>
      <w:bookmarkEnd w:id="1756"/>
    </w:p>
    <w:tbl>
      <w:tblPr>
        <w:tblW w:w="5000" w:type="pct"/>
        <w:tblCellMar>
          <w:left w:w="70" w:type="dxa"/>
          <w:right w:w="70" w:type="dxa"/>
        </w:tblCellMar>
        <w:tblLook w:val="04A0" w:firstRow="1" w:lastRow="0" w:firstColumn="1" w:lastColumn="0" w:noHBand="0" w:noVBand="1"/>
      </w:tblPr>
      <w:tblGrid>
        <w:gridCol w:w="2594"/>
        <w:gridCol w:w="887"/>
        <w:gridCol w:w="453"/>
        <w:gridCol w:w="2254"/>
        <w:gridCol w:w="647"/>
        <w:gridCol w:w="1092"/>
      </w:tblGrid>
      <w:tr w:rsidR="00C82BCC" w14:paraId="5A12C844" w14:textId="77777777" w:rsidTr="002F2624">
        <w:trPr>
          <w:trHeight w:val="300"/>
        </w:trPr>
        <w:tc>
          <w:tcPr>
            <w:tcW w:w="1644" w:type="pct"/>
            <w:tcBorders>
              <w:top w:val="single" w:sz="4" w:space="0" w:color="auto"/>
              <w:left w:val="single" w:sz="4" w:space="0" w:color="auto"/>
              <w:bottom w:val="single" w:sz="4" w:space="0" w:color="auto"/>
              <w:right w:val="single" w:sz="4" w:space="0" w:color="auto"/>
            </w:tcBorders>
            <w:noWrap/>
            <w:vAlign w:val="bottom"/>
            <w:hideMark/>
          </w:tcPr>
          <w:p w14:paraId="6EE2385F"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57" w:type="pct"/>
            <w:tcBorders>
              <w:top w:val="single" w:sz="4" w:space="0" w:color="auto"/>
              <w:left w:val="nil"/>
              <w:bottom w:val="single" w:sz="4" w:space="0" w:color="auto"/>
              <w:right w:val="single" w:sz="4" w:space="0" w:color="auto"/>
            </w:tcBorders>
            <w:noWrap/>
            <w:vAlign w:val="bottom"/>
            <w:hideMark/>
          </w:tcPr>
          <w:p w14:paraId="77998F64"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293" w:type="pct"/>
            <w:tcBorders>
              <w:top w:val="single" w:sz="4" w:space="0" w:color="auto"/>
              <w:left w:val="nil"/>
              <w:bottom w:val="single" w:sz="4" w:space="0" w:color="auto"/>
              <w:right w:val="single" w:sz="4" w:space="0" w:color="auto"/>
            </w:tcBorders>
            <w:noWrap/>
            <w:vAlign w:val="bottom"/>
            <w:hideMark/>
          </w:tcPr>
          <w:p w14:paraId="591EEB55"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429" w:type="pct"/>
            <w:tcBorders>
              <w:top w:val="single" w:sz="4" w:space="0" w:color="auto"/>
              <w:left w:val="nil"/>
              <w:bottom w:val="single" w:sz="4" w:space="0" w:color="auto"/>
              <w:right w:val="single" w:sz="4" w:space="0" w:color="auto"/>
            </w:tcBorders>
            <w:noWrap/>
            <w:vAlign w:val="bottom"/>
            <w:hideMark/>
          </w:tcPr>
          <w:p w14:paraId="12370D66" w14:textId="77777777" w:rsidR="00C82BCC" w:rsidRDefault="00C82BCC" w:rsidP="005F224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81" w:type="pct"/>
            <w:tcBorders>
              <w:top w:val="single" w:sz="4" w:space="0" w:color="auto"/>
              <w:left w:val="single" w:sz="4" w:space="0" w:color="auto"/>
              <w:bottom w:val="single" w:sz="4" w:space="0" w:color="auto"/>
              <w:right w:val="nil"/>
            </w:tcBorders>
            <w:noWrap/>
            <w:vAlign w:val="bottom"/>
            <w:hideMark/>
          </w:tcPr>
          <w:p w14:paraId="6509BCA6" w14:textId="77777777" w:rsidR="00C82BCC" w:rsidRDefault="00C82BCC" w:rsidP="005F2242">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697" w:type="pct"/>
            <w:tcBorders>
              <w:top w:val="single" w:sz="4" w:space="0" w:color="auto"/>
              <w:left w:val="nil"/>
              <w:bottom w:val="single" w:sz="4" w:space="0" w:color="auto"/>
              <w:right w:val="single" w:sz="4" w:space="0" w:color="auto"/>
            </w:tcBorders>
            <w:noWrap/>
            <w:vAlign w:val="bottom"/>
            <w:hideMark/>
          </w:tcPr>
          <w:p w14:paraId="419707CB" w14:textId="77777777" w:rsidR="00C82BCC" w:rsidRDefault="00C82BCC" w:rsidP="005F2242">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 0,05  </w:t>
            </w:r>
          </w:p>
        </w:tc>
      </w:tr>
      <w:tr w:rsidR="00C82BCC" w14:paraId="510D993F" w14:textId="77777777" w:rsidTr="002F2624">
        <w:trPr>
          <w:trHeight w:val="300"/>
        </w:trPr>
        <w:tc>
          <w:tcPr>
            <w:tcW w:w="1644" w:type="pct"/>
            <w:tcBorders>
              <w:top w:val="nil"/>
              <w:left w:val="single" w:sz="4" w:space="0" w:color="auto"/>
              <w:bottom w:val="single" w:sz="4" w:space="0" w:color="auto"/>
              <w:right w:val="single" w:sz="4" w:space="0" w:color="auto"/>
            </w:tcBorders>
            <w:noWrap/>
            <w:vAlign w:val="bottom"/>
            <w:hideMark/>
          </w:tcPr>
          <w:p w14:paraId="1D99CA8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557" w:type="pct"/>
            <w:tcBorders>
              <w:top w:val="nil"/>
              <w:left w:val="nil"/>
              <w:bottom w:val="single" w:sz="4" w:space="0" w:color="auto"/>
              <w:right w:val="single" w:sz="4" w:space="0" w:color="auto"/>
            </w:tcBorders>
            <w:noWrap/>
            <w:vAlign w:val="bottom"/>
            <w:hideMark/>
          </w:tcPr>
          <w:p w14:paraId="2FFB26C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4,45</w:t>
            </w:r>
          </w:p>
        </w:tc>
        <w:tc>
          <w:tcPr>
            <w:tcW w:w="293" w:type="pct"/>
            <w:tcBorders>
              <w:top w:val="nil"/>
              <w:left w:val="nil"/>
              <w:bottom w:val="single" w:sz="4" w:space="0" w:color="auto"/>
              <w:right w:val="single" w:sz="4" w:space="0" w:color="auto"/>
            </w:tcBorders>
            <w:noWrap/>
            <w:vAlign w:val="bottom"/>
            <w:hideMark/>
          </w:tcPr>
          <w:p w14:paraId="510BB80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429" w:type="pct"/>
            <w:tcBorders>
              <w:top w:val="nil"/>
              <w:left w:val="nil"/>
              <w:bottom w:val="single" w:sz="4" w:space="0" w:color="auto"/>
              <w:right w:val="single" w:sz="4" w:space="0" w:color="auto"/>
            </w:tcBorders>
            <w:noWrap/>
            <w:vAlign w:val="bottom"/>
            <w:hideMark/>
          </w:tcPr>
          <w:p w14:paraId="499F913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c>
          <w:tcPr>
            <w:tcW w:w="381" w:type="pct"/>
            <w:tcBorders>
              <w:top w:val="single" w:sz="4" w:space="0" w:color="auto"/>
              <w:left w:val="nil"/>
              <w:bottom w:val="single" w:sz="4" w:space="0" w:color="auto"/>
              <w:right w:val="single" w:sz="4" w:space="0" w:color="auto"/>
            </w:tcBorders>
            <w:noWrap/>
            <w:vAlign w:val="bottom"/>
            <w:hideMark/>
          </w:tcPr>
          <w:p w14:paraId="09923543"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97" w:type="pct"/>
            <w:tcBorders>
              <w:top w:val="single" w:sz="4" w:space="0" w:color="auto"/>
              <w:left w:val="nil"/>
              <w:bottom w:val="single" w:sz="4" w:space="0" w:color="auto"/>
              <w:right w:val="single" w:sz="4" w:space="0" w:color="auto"/>
            </w:tcBorders>
            <w:noWrap/>
            <w:vAlign w:val="bottom"/>
            <w:hideMark/>
          </w:tcPr>
          <w:p w14:paraId="4911F5C0"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31CC053" w14:textId="77777777" w:rsidTr="002F2624">
        <w:trPr>
          <w:trHeight w:val="300"/>
        </w:trPr>
        <w:tc>
          <w:tcPr>
            <w:tcW w:w="1644" w:type="pct"/>
            <w:tcBorders>
              <w:top w:val="nil"/>
              <w:left w:val="single" w:sz="4" w:space="0" w:color="auto"/>
              <w:bottom w:val="single" w:sz="4" w:space="0" w:color="auto"/>
              <w:right w:val="single" w:sz="4" w:space="0" w:color="auto"/>
            </w:tcBorders>
            <w:noWrap/>
            <w:vAlign w:val="bottom"/>
            <w:hideMark/>
          </w:tcPr>
          <w:p w14:paraId="11BCDF3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57" w:type="pct"/>
            <w:tcBorders>
              <w:top w:val="nil"/>
              <w:left w:val="nil"/>
              <w:bottom w:val="single" w:sz="4" w:space="0" w:color="auto"/>
              <w:right w:val="single" w:sz="4" w:space="0" w:color="auto"/>
            </w:tcBorders>
            <w:noWrap/>
            <w:vAlign w:val="bottom"/>
            <w:hideMark/>
          </w:tcPr>
          <w:p w14:paraId="15CB9526"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4,79</w:t>
            </w:r>
          </w:p>
        </w:tc>
        <w:tc>
          <w:tcPr>
            <w:tcW w:w="293" w:type="pct"/>
            <w:tcBorders>
              <w:top w:val="nil"/>
              <w:left w:val="nil"/>
              <w:bottom w:val="single" w:sz="4" w:space="0" w:color="auto"/>
              <w:right w:val="single" w:sz="4" w:space="0" w:color="auto"/>
            </w:tcBorders>
            <w:noWrap/>
            <w:vAlign w:val="bottom"/>
            <w:hideMark/>
          </w:tcPr>
          <w:p w14:paraId="3E25A2AE"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1429" w:type="pct"/>
            <w:tcBorders>
              <w:top w:val="nil"/>
              <w:left w:val="nil"/>
              <w:bottom w:val="single" w:sz="4" w:space="0" w:color="auto"/>
              <w:right w:val="single" w:sz="4" w:space="0" w:color="auto"/>
            </w:tcBorders>
            <w:noWrap/>
            <w:vAlign w:val="bottom"/>
            <w:hideMark/>
          </w:tcPr>
          <w:p w14:paraId="44DEB8D0"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0,09</w:t>
            </w:r>
          </w:p>
        </w:tc>
        <w:tc>
          <w:tcPr>
            <w:tcW w:w="381" w:type="pct"/>
            <w:tcBorders>
              <w:top w:val="nil"/>
              <w:left w:val="nil"/>
              <w:bottom w:val="single" w:sz="4" w:space="0" w:color="auto"/>
              <w:right w:val="single" w:sz="4" w:space="0" w:color="auto"/>
            </w:tcBorders>
            <w:noWrap/>
            <w:vAlign w:val="bottom"/>
            <w:hideMark/>
          </w:tcPr>
          <w:p w14:paraId="2F64E7F8"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97" w:type="pct"/>
            <w:tcBorders>
              <w:top w:val="nil"/>
              <w:left w:val="nil"/>
              <w:bottom w:val="single" w:sz="4" w:space="0" w:color="auto"/>
              <w:right w:val="single" w:sz="4" w:space="0" w:color="auto"/>
            </w:tcBorders>
            <w:noWrap/>
            <w:vAlign w:val="bottom"/>
            <w:hideMark/>
          </w:tcPr>
          <w:p w14:paraId="4D23D7DB"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DF679FC" w14:textId="77777777" w:rsidTr="002F2624">
        <w:trPr>
          <w:trHeight w:val="300"/>
        </w:trPr>
        <w:tc>
          <w:tcPr>
            <w:tcW w:w="1644" w:type="pct"/>
            <w:tcBorders>
              <w:top w:val="nil"/>
              <w:left w:val="single" w:sz="4" w:space="0" w:color="auto"/>
              <w:bottom w:val="single" w:sz="4" w:space="0" w:color="auto"/>
              <w:right w:val="single" w:sz="4" w:space="0" w:color="auto"/>
            </w:tcBorders>
            <w:noWrap/>
            <w:vAlign w:val="bottom"/>
            <w:hideMark/>
          </w:tcPr>
          <w:p w14:paraId="310B3334"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557" w:type="pct"/>
            <w:tcBorders>
              <w:top w:val="nil"/>
              <w:left w:val="nil"/>
              <w:bottom w:val="single" w:sz="4" w:space="0" w:color="auto"/>
              <w:right w:val="single" w:sz="4" w:space="0" w:color="auto"/>
            </w:tcBorders>
            <w:noWrap/>
            <w:vAlign w:val="bottom"/>
            <w:hideMark/>
          </w:tcPr>
          <w:p w14:paraId="15B81FE5"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4,82</w:t>
            </w:r>
          </w:p>
        </w:tc>
        <w:tc>
          <w:tcPr>
            <w:tcW w:w="293" w:type="pct"/>
            <w:tcBorders>
              <w:top w:val="nil"/>
              <w:left w:val="nil"/>
              <w:bottom w:val="single" w:sz="4" w:space="0" w:color="auto"/>
              <w:right w:val="single" w:sz="4" w:space="0" w:color="auto"/>
            </w:tcBorders>
            <w:noWrap/>
            <w:vAlign w:val="bottom"/>
            <w:hideMark/>
          </w:tcPr>
          <w:p w14:paraId="53AC4B0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429" w:type="pct"/>
            <w:tcBorders>
              <w:top w:val="nil"/>
              <w:left w:val="nil"/>
              <w:bottom w:val="single" w:sz="4" w:space="0" w:color="auto"/>
              <w:right w:val="single" w:sz="4" w:space="0" w:color="auto"/>
            </w:tcBorders>
            <w:noWrap/>
            <w:vAlign w:val="bottom"/>
            <w:hideMark/>
          </w:tcPr>
          <w:p w14:paraId="13C796F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0,17</w:t>
            </w:r>
          </w:p>
        </w:tc>
        <w:tc>
          <w:tcPr>
            <w:tcW w:w="381" w:type="pct"/>
            <w:tcBorders>
              <w:top w:val="nil"/>
              <w:left w:val="nil"/>
              <w:bottom w:val="single" w:sz="4" w:space="0" w:color="auto"/>
              <w:right w:val="single" w:sz="4" w:space="0" w:color="auto"/>
            </w:tcBorders>
            <w:noWrap/>
            <w:vAlign w:val="bottom"/>
            <w:hideMark/>
          </w:tcPr>
          <w:p w14:paraId="6AF7AE3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97" w:type="pct"/>
            <w:tcBorders>
              <w:top w:val="nil"/>
              <w:left w:val="nil"/>
              <w:bottom w:val="single" w:sz="4" w:space="0" w:color="auto"/>
              <w:right w:val="single" w:sz="4" w:space="0" w:color="auto"/>
            </w:tcBorders>
            <w:noWrap/>
            <w:vAlign w:val="bottom"/>
            <w:hideMark/>
          </w:tcPr>
          <w:p w14:paraId="3AE35311"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1206844" w14:textId="77777777" w:rsidTr="002F2624">
        <w:trPr>
          <w:trHeight w:val="300"/>
        </w:trPr>
        <w:tc>
          <w:tcPr>
            <w:tcW w:w="1644" w:type="pct"/>
            <w:tcBorders>
              <w:top w:val="nil"/>
              <w:left w:val="single" w:sz="4" w:space="0" w:color="auto"/>
              <w:bottom w:val="single" w:sz="4" w:space="0" w:color="auto"/>
              <w:right w:val="single" w:sz="4" w:space="0" w:color="auto"/>
            </w:tcBorders>
            <w:noWrap/>
            <w:vAlign w:val="bottom"/>
            <w:hideMark/>
          </w:tcPr>
          <w:p w14:paraId="33B284FA"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557" w:type="pct"/>
            <w:tcBorders>
              <w:top w:val="nil"/>
              <w:left w:val="nil"/>
              <w:bottom w:val="single" w:sz="4" w:space="0" w:color="auto"/>
              <w:right w:val="single" w:sz="4" w:space="0" w:color="auto"/>
            </w:tcBorders>
            <w:noWrap/>
            <w:vAlign w:val="bottom"/>
            <w:hideMark/>
          </w:tcPr>
          <w:p w14:paraId="62A428C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5,76</w:t>
            </w:r>
          </w:p>
        </w:tc>
        <w:tc>
          <w:tcPr>
            <w:tcW w:w="293" w:type="pct"/>
            <w:tcBorders>
              <w:top w:val="nil"/>
              <w:left w:val="nil"/>
              <w:bottom w:val="single" w:sz="4" w:space="0" w:color="auto"/>
              <w:right w:val="single" w:sz="4" w:space="0" w:color="auto"/>
            </w:tcBorders>
            <w:noWrap/>
            <w:vAlign w:val="bottom"/>
            <w:hideMark/>
          </w:tcPr>
          <w:p w14:paraId="4EBD892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429" w:type="pct"/>
            <w:tcBorders>
              <w:top w:val="nil"/>
              <w:left w:val="nil"/>
              <w:bottom w:val="single" w:sz="4" w:space="0" w:color="auto"/>
              <w:right w:val="single" w:sz="4" w:space="0" w:color="auto"/>
            </w:tcBorders>
            <w:noWrap/>
            <w:vAlign w:val="bottom"/>
            <w:hideMark/>
          </w:tcPr>
          <w:p w14:paraId="58445B3D"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c>
          <w:tcPr>
            <w:tcW w:w="381" w:type="pct"/>
            <w:tcBorders>
              <w:top w:val="nil"/>
              <w:left w:val="nil"/>
              <w:bottom w:val="single" w:sz="4" w:space="0" w:color="auto"/>
              <w:right w:val="single" w:sz="4" w:space="0" w:color="auto"/>
            </w:tcBorders>
            <w:noWrap/>
            <w:vAlign w:val="bottom"/>
            <w:hideMark/>
          </w:tcPr>
          <w:p w14:paraId="516D0F79"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7" w:type="pct"/>
            <w:tcBorders>
              <w:top w:val="nil"/>
              <w:left w:val="nil"/>
              <w:bottom w:val="single" w:sz="4" w:space="0" w:color="auto"/>
              <w:right w:val="single" w:sz="4" w:space="0" w:color="auto"/>
            </w:tcBorders>
            <w:noWrap/>
            <w:vAlign w:val="bottom"/>
            <w:hideMark/>
          </w:tcPr>
          <w:p w14:paraId="5FF76667" w14:textId="77777777" w:rsidR="00C82BCC" w:rsidRDefault="00C82BCC" w:rsidP="005F224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434CD34B" w14:textId="77777777" w:rsidR="00C82BCC" w:rsidRDefault="00C82BCC" w:rsidP="00C82BCC">
      <w:pPr>
        <w:spacing w:line="360" w:lineRule="auto"/>
        <w:rPr>
          <w:rFonts w:cs="Times New Roman"/>
          <w:szCs w:val="24"/>
        </w:rPr>
      </w:pPr>
      <w:r>
        <w:rPr>
          <w:rFonts w:cs="Times New Roman"/>
          <w:szCs w:val="24"/>
        </w:rPr>
        <w:t>Medias con una letra común no son significativamente diferentes (p &gt; 0,05)</w:t>
      </w:r>
    </w:p>
    <w:p w14:paraId="079FE109" w14:textId="63B463CC" w:rsidR="00220A73" w:rsidRDefault="00C82BCC" w:rsidP="00D66484">
      <w:pPr>
        <w:autoSpaceDE w:val="0"/>
        <w:autoSpaceDN w:val="0"/>
        <w:adjustRightInd w:val="0"/>
        <w:spacing w:before="360" w:after="360" w:line="360" w:lineRule="auto"/>
        <w:rPr>
          <w:rFonts w:cs="Times New Roman"/>
          <w:bCs/>
          <w:szCs w:val="24"/>
        </w:rPr>
      </w:pPr>
      <w:r>
        <w:rPr>
          <w:rFonts w:cs="Times New Roman"/>
          <w:bCs/>
          <w:szCs w:val="24"/>
        </w:rPr>
        <w:t xml:space="preserve">El efecto </w:t>
      </w:r>
      <w:r w:rsidR="001E1A85">
        <w:rPr>
          <w:rFonts w:cs="Times New Roman"/>
          <w:bCs/>
          <w:szCs w:val="24"/>
        </w:rPr>
        <w:t xml:space="preserve">lineal u cuadrático </w:t>
      </w:r>
      <w:r>
        <w:rPr>
          <w:rFonts w:cs="Times New Roman"/>
          <w:bCs/>
          <w:szCs w:val="24"/>
        </w:rPr>
        <w:t xml:space="preserve">de los nutrientes que fueron significativos </w:t>
      </w:r>
      <w:r w:rsidR="001E1A85">
        <w:rPr>
          <w:rFonts w:cs="Times New Roman"/>
          <w:bCs/>
          <w:szCs w:val="24"/>
        </w:rPr>
        <w:t xml:space="preserve">(p&lt;0,01) </w:t>
      </w:r>
      <w:r>
        <w:rPr>
          <w:rFonts w:cs="Times New Roman"/>
          <w:bCs/>
          <w:szCs w:val="24"/>
        </w:rPr>
        <w:t xml:space="preserve">sobre el rendimiento de maíz suave en la provincia de Imbabura se observa en </w:t>
      </w:r>
      <w:r w:rsidR="000D1A0C">
        <w:rPr>
          <w:rFonts w:cs="Times New Roman"/>
          <w:bCs/>
          <w:szCs w:val="24"/>
        </w:rPr>
        <w:t>la</w:t>
      </w:r>
      <w:r>
        <w:rPr>
          <w:rFonts w:cs="Times New Roman"/>
          <w:bCs/>
          <w:szCs w:val="24"/>
        </w:rPr>
        <w:t xml:space="preserve"> siguiente </w:t>
      </w:r>
      <w:r w:rsidR="000D1A0C">
        <w:rPr>
          <w:rFonts w:cs="Times New Roman"/>
          <w:bCs/>
          <w:szCs w:val="24"/>
        </w:rPr>
        <w:t>figura</w:t>
      </w:r>
      <w:r w:rsidR="00220A73">
        <w:rPr>
          <w:rFonts w:cs="Times New Roman"/>
          <w:bCs/>
          <w:szCs w:val="24"/>
        </w:rPr>
        <w:t>:</w:t>
      </w:r>
    </w:p>
    <w:p w14:paraId="000B9DEC" w14:textId="2B2CDB91" w:rsidR="00C82BCC" w:rsidRPr="00220A73" w:rsidRDefault="00220A73" w:rsidP="00D66484">
      <w:pPr>
        <w:pStyle w:val="Ttulo1"/>
        <w:numPr>
          <w:ilvl w:val="0"/>
          <w:numId w:val="17"/>
        </w:numPr>
        <w:spacing w:before="360" w:after="360"/>
        <w:rPr>
          <w:b w:val="0"/>
          <w:bCs w:val="0"/>
        </w:rPr>
      </w:pPr>
      <w:bookmarkStart w:id="1757" w:name="_Toc72704635"/>
      <w:bookmarkStart w:id="1758" w:name="_Toc72706341"/>
      <w:bookmarkStart w:id="1759" w:name="_Toc72741291"/>
      <w:bookmarkStart w:id="1760" w:name="_Toc72742887"/>
      <w:bookmarkStart w:id="1761" w:name="_Toc72881246"/>
      <w:bookmarkStart w:id="1762" w:name="_Toc72881617"/>
      <w:bookmarkStart w:id="1763" w:name="_Toc75606486"/>
      <w:bookmarkStart w:id="1764" w:name="_Toc75611965"/>
      <w:bookmarkStart w:id="1765" w:name="_Toc75612811"/>
      <w:bookmarkStart w:id="1766" w:name="_Toc75679967"/>
      <w:bookmarkStart w:id="1767" w:name="_Toc75702575"/>
      <w:bookmarkStart w:id="1768" w:name="_Toc79313233"/>
      <w:bookmarkStart w:id="1769" w:name="_Toc80008443"/>
      <w:bookmarkStart w:id="1770" w:name="_Toc80312336"/>
      <w:r w:rsidRPr="00220A73">
        <w:rPr>
          <w:b w:val="0"/>
          <w:bCs w:val="0"/>
        </w:rPr>
        <w:lastRenderedPageBreak/>
        <w:t>Nitrógeno</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r w:rsidRPr="00220A73">
        <w:rPr>
          <w:b w:val="0"/>
          <w:bCs w:val="0"/>
        </w:rPr>
        <w:t xml:space="preserve"> </w:t>
      </w:r>
    </w:p>
    <w:p w14:paraId="58B6126B" w14:textId="73406CB4" w:rsidR="00C82BCC" w:rsidRDefault="00C82BCC" w:rsidP="00220A73">
      <w:pPr>
        <w:spacing w:line="360" w:lineRule="auto"/>
        <w:jc w:val="center"/>
        <w:rPr>
          <w:rFonts w:cs="Times New Roman"/>
          <w:szCs w:val="24"/>
        </w:rPr>
      </w:pPr>
      <w:r w:rsidRPr="00220A73">
        <w:rPr>
          <w:rFonts w:cs="Times New Roman"/>
          <w:b/>
          <w:bCs/>
          <w:noProof/>
          <w:szCs w:val="24"/>
          <w:lang w:eastAsia="es-EC"/>
        </w:rPr>
        <w:drawing>
          <wp:inline distT="0" distB="0" distL="0" distR="0" wp14:anchorId="5B1FB66D" wp14:editId="24686E16">
            <wp:extent cx="3962400" cy="2286000"/>
            <wp:effectExtent l="0" t="0" r="19050" b="19050"/>
            <wp:docPr id="69" name="Gráfico 69">
              <a:extLst xmlns:a="http://schemas.openxmlformats.org/drawingml/2006/main">
                <a:ext uri="{FF2B5EF4-FFF2-40B4-BE49-F238E27FC236}">
                  <a16:creationId xmlns:a16="http://schemas.microsoft.com/office/drawing/2014/main" id="{B3B31BB8-6109-448D-A9F7-828AC2C08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06D8EF" w14:textId="29E375FE" w:rsidR="00220A73" w:rsidRPr="00220A73" w:rsidRDefault="00220A73" w:rsidP="00D66484">
      <w:pPr>
        <w:pStyle w:val="Ttulo1"/>
        <w:numPr>
          <w:ilvl w:val="0"/>
          <w:numId w:val="17"/>
        </w:numPr>
        <w:spacing w:before="360" w:after="360"/>
        <w:ind w:left="714" w:hanging="357"/>
        <w:rPr>
          <w:b w:val="0"/>
          <w:bCs w:val="0"/>
        </w:rPr>
      </w:pPr>
      <w:bookmarkStart w:id="1771" w:name="_Toc72704636"/>
      <w:bookmarkStart w:id="1772" w:name="_Toc72706342"/>
      <w:bookmarkStart w:id="1773" w:name="_Toc72741292"/>
      <w:bookmarkStart w:id="1774" w:name="_Toc72742888"/>
      <w:bookmarkStart w:id="1775" w:name="_Toc72881247"/>
      <w:bookmarkStart w:id="1776" w:name="_Toc72881618"/>
      <w:bookmarkStart w:id="1777" w:name="_Toc75606487"/>
      <w:bookmarkStart w:id="1778" w:name="_Toc75611966"/>
      <w:bookmarkStart w:id="1779" w:name="_Toc75612812"/>
      <w:bookmarkStart w:id="1780" w:name="_Toc75679968"/>
      <w:bookmarkStart w:id="1781" w:name="_Toc75702576"/>
      <w:bookmarkStart w:id="1782" w:name="_Toc79313234"/>
      <w:bookmarkStart w:id="1783" w:name="_Toc80008444"/>
      <w:bookmarkStart w:id="1784" w:name="_Toc80312337"/>
      <w:r>
        <w:rPr>
          <w:b w:val="0"/>
          <w:bCs w:val="0"/>
        </w:rPr>
        <w:t>Potasio</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5BED68BD" w14:textId="16B73B60" w:rsidR="00C82BCC" w:rsidRDefault="00C82BCC" w:rsidP="00C82BCC">
      <w:pPr>
        <w:spacing w:line="360" w:lineRule="auto"/>
        <w:jc w:val="center"/>
        <w:rPr>
          <w:rFonts w:cs="Times New Roman"/>
          <w:szCs w:val="24"/>
        </w:rPr>
      </w:pPr>
      <w:r>
        <w:rPr>
          <w:rFonts w:cs="Times New Roman"/>
          <w:noProof/>
          <w:szCs w:val="24"/>
          <w:lang w:eastAsia="es-EC"/>
        </w:rPr>
        <w:drawing>
          <wp:inline distT="0" distB="0" distL="0" distR="0" wp14:anchorId="6AA6493D" wp14:editId="1380B14D">
            <wp:extent cx="3886200" cy="2305050"/>
            <wp:effectExtent l="0" t="0" r="19050" b="19050"/>
            <wp:docPr id="72" name="Gráfico 72">
              <a:extLst xmlns:a="http://schemas.openxmlformats.org/drawingml/2006/main">
                <a:ext uri="{FF2B5EF4-FFF2-40B4-BE49-F238E27FC236}">
                  <a16:creationId xmlns:a16="http://schemas.microsoft.com/office/drawing/2014/main" id="{0DCA997E-D1D3-4CA3-9408-8FB68924A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C28208" w14:textId="4A45A1CE" w:rsidR="00C82BCC" w:rsidRDefault="00C82BCC" w:rsidP="00C82BCC">
      <w:pPr>
        <w:spacing w:line="360" w:lineRule="auto"/>
        <w:rPr>
          <w:rFonts w:cs="Times New Roman"/>
          <w:szCs w:val="24"/>
        </w:rPr>
      </w:pPr>
      <w:r>
        <w:rPr>
          <w:rFonts w:cs="Times New Roman"/>
          <w:szCs w:val="24"/>
        </w:rPr>
        <w:t xml:space="preserve">Efecto de los macronutrientes </w:t>
      </w:r>
      <w:r w:rsidR="001E1A85">
        <w:rPr>
          <w:rFonts w:cs="Times New Roman"/>
          <w:szCs w:val="24"/>
        </w:rPr>
        <w:t xml:space="preserve">a) nitrógeno y b) potasio </w:t>
      </w:r>
      <w:r>
        <w:rPr>
          <w:rFonts w:cs="Times New Roman"/>
          <w:szCs w:val="24"/>
        </w:rPr>
        <w:t>sobre el rendimiento en maíz suave en la provincia de Chimborazo (2010-2015).</w:t>
      </w:r>
    </w:p>
    <w:p w14:paraId="2E9BB7A2" w14:textId="39FBFE31" w:rsidR="00C82BCC" w:rsidRDefault="00C82BCC" w:rsidP="00D66484">
      <w:pPr>
        <w:pStyle w:val="Ttulo3"/>
        <w:spacing w:before="360" w:after="360"/>
      </w:pPr>
      <w:bookmarkStart w:id="1785" w:name="_Toc80312338"/>
      <w:r>
        <w:t>A</w:t>
      </w:r>
      <w:r w:rsidR="003516C9">
        <w:t>b</w:t>
      </w:r>
      <w:r>
        <w:t>sorción de nitrógeno (Kg</w:t>
      </w:r>
      <w:r>
        <w:rPr>
          <w:rFonts w:eastAsia="Times New Roman"/>
          <w:color w:val="000000"/>
          <w:lang w:eastAsia="es-EC"/>
        </w:rPr>
        <w:t>/</w:t>
      </w:r>
      <w:r>
        <w:t>ha</w:t>
      </w:r>
      <w:r>
        <w:rPr>
          <w:vertAlign w:val="superscript"/>
        </w:rPr>
        <w:t>-1</w:t>
      </w:r>
      <w:r>
        <w:t>)</w:t>
      </w:r>
      <w:bookmarkEnd w:id="1785"/>
    </w:p>
    <w:p w14:paraId="02560B0D" w14:textId="77777777" w:rsidR="00D66484" w:rsidRDefault="00C82BCC" w:rsidP="00D66484">
      <w:pPr>
        <w:autoSpaceDE w:val="0"/>
        <w:autoSpaceDN w:val="0"/>
        <w:adjustRightInd w:val="0"/>
        <w:spacing w:after="0" w:line="360" w:lineRule="auto"/>
        <w:rPr>
          <w:rFonts w:cs="Times New Roman"/>
          <w:b/>
          <w:bCs/>
          <w:color w:val="0000FF"/>
        </w:rPr>
      </w:pPr>
      <w:r>
        <w:rPr>
          <w:rFonts w:cs="Times New Roman"/>
          <w:szCs w:val="24"/>
        </w:rPr>
        <w:t>Al utilizar el modelo estadístico para la absorción total de nitrógeno, se detectaron diferencias estadísticas significativas (p &lt;0,05) para las fuentes de variación de parroquia (efecto de ambiente), nitrógeno y potasio; mientras que no fueron significativos para dosis de fósforo, azufre y magnesio (</w:t>
      </w:r>
      <w:r w:rsidR="006B2851">
        <w:rPr>
          <w:rFonts w:cs="Times New Roman"/>
          <w:szCs w:val="24"/>
        </w:rPr>
        <w:t xml:space="preserve">Cuadro </w:t>
      </w:r>
      <w:r>
        <w:rPr>
          <w:rFonts w:cs="Times New Roman"/>
          <w:szCs w:val="24"/>
        </w:rPr>
        <w:t xml:space="preserve">107). Por lo tanto, </w:t>
      </w:r>
      <w:r>
        <w:rPr>
          <w:rFonts w:cs="Times New Roman"/>
          <w:szCs w:val="24"/>
        </w:rPr>
        <w:lastRenderedPageBreak/>
        <w:t>las dosis de los fertilizantes con nitrógeno y potasio afectaron a esta variable. El promedio de la absorción total de nitrógeno fue 167,60 Kg</w:t>
      </w:r>
      <w:r w:rsidR="003516C9">
        <w:rPr>
          <w:rFonts w:cs="Times New Roman"/>
          <w:szCs w:val="24"/>
        </w:rPr>
        <w:t xml:space="preserve"> </w:t>
      </w:r>
      <w:r>
        <w:rPr>
          <w:rFonts w:cs="Times New Roman"/>
          <w:szCs w:val="24"/>
        </w:rPr>
        <w:t>ha</w:t>
      </w:r>
      <w:r w:rsidR="003516C9" w:rsidRPr="00BE2114">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0,93 y un coeficiente de variación fue de 14,62 %</w:t>
      </w:r>
      <w:r w:rsidR="002F2624">
        <w:rPr>
          <w:rFonts w:cs="Times New Roman"/>
          <w:b/>
          <w:bCs/>
          <w:color w:val="0000FF"/>
        </w:rPr>
        <w:t>.</w:t>
      </w:r>
      <w:bookmarkStart w:id="1786" w:name="_Toc79314099"/>
    </w:p>
    <w:p w14:paraId="5BA0745F" w14:textId="1196D0DE" w:rsidR="002F2624" w:rsidRPr="00D66484" w:rsidRDefault="002F2624" w:rsidP="00D66484">
      <w:pPr>
        <w:autoSpaceDE w:val="0"/>
        <w:autoSpaceDN w:val="0"/>
        <w:adjustRightInd w:val="0"/>
        <w:spacing w:before="360" w:after="0" w:line="360" w:lineRule="auto"/>
        <w:rPr>
          <w:rFonts w:cs="Times New Roman"/>
          <w:b/>
          <w:bCs/>
          <w:color w:val="0000FF"/>
        </w:rPr>
      </w:pPr>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107</w:t>
      </w:r>
      <w:r w:rsidRPr="002F2624">
        <w:rPr>
          <w:rFonts w:cs="Times New Roman"/>
          <w:b/>
          <w:i/>
          <w:iCs/>
          <w:szCs w:val="24"/>
        </w:rPr>
        <w:fldChar w:fldCharType="end"/>
      </w:r>
      <w:r w:rsidRPr="002F2624">
        <w:rPr>
          <w:rFonts w:cs="Times New Roman"/>
          <w:b/>
          <w:szCs w:val="24"/>
        </w:rPr>
        <w:t xml:space="preserve">. </w:t>
      </w:r>
      <w:r w:rsidRPr="002F2624">
        <w:rPr>
          <w:rFonts w:cs="Times New Roman"/>
          <w:szCs w:val="24"/>
        </w:rPr>
        <w:t>Análisis de la Varianza (SC tipo I) y porcentaje de varianza para absorción de nitrógeno de maíz suave, evaluado en la provincia de Imbabura (2010-2015).</w:t>
      </w:r>
      <w:bookmarkEnd w:id="1786"/>
    </w:p>
    <w:tbl>
      <w:tblPr>
        <w:tblW w:w="4867" w:type="pct"/>
        <w:tblCellMar>
          <w:left w:w="70" w:type="dxa"/>
          <w:right w:w="70" w:type="dxa"/>
        </w:tblCellMar>
        <w:tblLook w:val="04A0" w:firstRow="1" w:lastRow="0" w:firstColumn="1" w:lastColumn="0" w:noHBand="0" w:noVBand="1"/>
      </w:tblPr>
      <w:tblGrid>
        <w:gridCol w:w="1081"/>
        <w:gridCol w:w="1160"/>
        <w:gridCol w:w="1036"/>
        <w:gridCol w:w="1040"/>
        <w:gridCol w:w="1034"/>
        <w:gridCol w:w="1038"/>
        <w:gridCol w:w="1327"/>
      </w:tblGrid>
      <w:tr w:rsidR="00C82BCC" w14:paraId="52E46895" w14:textId="77777777" w:rsidTr="00177ABD">
        <w:trPr>
          <w:trHeight w:val="329"/>
        </w:trPr>
        <w:tc>
          <w:tcPr>
            <w:tcW w:w="686" w:type="pct"/>
            <w:tcBorders>
              <w:top w:val="single" w:sz="4" w:space="0" w:color="auto"/>
              <w:left w:val="single" w:sz="4" w:space="0" w:color="auto"/>
              <w:bottom w:val="single" w:sz="4" w:space="0" w:color="auto"/>
              <w:right w:val="single" w:sz="4" w:space="0" w:color="auto"/>
            </w:tcBorders>
            <w:noWrap/>
            <w:vAlign w:val="bottom"/>
            <w:hideMark/>
          </w:tcPr>
          <w:p w14:paraId="2974838E"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732" w:type="pct"/>
            <w:tcBorders>
              <w:top w:val="single" w:sz="4" w:space="0" w:color="auto"/>
              <w:left w:val="nil"/>
              <w:bottom w:val="single" w:sz="4" w:space="0" w:color="auto"/>
              <w:right w:val="single" w:sz="4" w:space="0" w:color="auto"/>
            </w:tcBorders>
            <w:noWrap/>
            <w:vAlign w:val="bottom"/>
            <w:hideMark/>
          </w:tcPr>
          <w:p w14:paraId="75E794AE"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686" w:type="pct"/>
            <w:tcBorders>
              <w:top w:val="single" w:sz="4" w:space="0" w:color="auto"/>
              <w:left w:val="nil"/>
              <w:bottom w:val="single" w:sz="4" w:space="0" w:color="auto"/>
              <w:right w:val="single" w:sz="4" w:space="0" w:color="auto"/>
            </w:tcBorders>
            <w:noWrap/>
            <w:vAlign w:val="bottom"/>
            <w:hideMark/>
          </w:tcPr>
          <w:p w14:paraId="503FDCF5" w14:textId="2D569D43" w:rsidR="00C82BCC" w:rsidRDefault="003516C9"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w:t>
            </w:r>
            <w:r w:rsidR="00C82BCC">
              <w:rPr>
                <w:rFonts w:eastAsia="Times New Roman" w:cs="Times New Roman"/>
                <w:b/>
                <w:bCs/>
                <w:color w:val="000000"/>
                <w:szCs w:val="24"/>
                <w:lang w:eastAsia="es-EC"/>
              </w:rPr>
              <w:t>l</w:t>
            </w:r>
          </w:p>
        </w:tc>
        <w:tc>
          <w:tcPr>
            <w:tcW w:w="686" w:type="pct"/>
            <w:tcBorders>
              <w:top w:val="single" w:sz="4" w:space="0" w:color="auto"/>
              <w:left w:val="nil"/>
              <w:bottom w:val="single" w:sz="4" w:space="0" w:color="auto"/>
              <w:right w:val="single" w:sz="4" w:space="0" w:color="auto"/>
            </w:tcBorders>
            <w:noWrap/>
            <w:vAlign w:val="bottom"/>
            <w:hideMark/>
          </w:tcPr>
          <w:p w14:paraId="3D0C85AF"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687" w:type="pct"/>
            <w:tcBorders>
              <w:top w:val="single" w:sz="4" w:space="0" w:color="auto"/>
              <w:left w:val="nil"/>
              <w:bottom w:val="single" w:sz="4" w:space="0" w:color="auto"/>
              <w:right w:val="single" w:sz="4" w:space="0" w:color="auto"/>
            </w:tcBorders>
            <w:noWrap/>
            <w:vAlign w:val="bottom"/>
            <w:hideMark/>
          </w:tcPr>
          <w:p w14:paraId="24716CE2"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687" w:type="pct"/>
            <w:tcBorders>
              <w:top w:val="single" w:sz="4" w:space="0" w:color="auto"/>
              <w:left w:val="nil"/>
              <w:bottom w:val="single" w:sz="4" w:space="0" w:color="auto"/>
              <w:right w:val="single" w:sz="4" w:space="0" w:color="auto"/>
            </w:tcBorders>
            <w:noWrap/>
            <w:vAlign w:val="bottom"/>
            <w:hideMark/>
          </w:tcPr>
          <w:p w14:paraId="2E6AD991"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837" w:type="pct"/>
            <w:tcBorders>
              <w:top w:val="single" w:sz="4" w:space="0" w:color="auto"/>
              <w:left w:val="nil"/>
              <w:bottom w:val="single" w:sz="4" w:space="0" w:color="auto"/>
              <w:right w:val="single" w:sz="4" w:space="0" w:color="auto"/>
            </w:tcBorders>
            <w:noWrap/>
            <w:vAlign w:val="bottom"/>
            <w:hideMark/>
          </w:tcPr>
          <w:p w14:paraId="542963BF"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w:t>
            </w:r>
          </w:p>
        </w:tc>
      </w:tr>
      <w:tr w:rsidR="00C82BCC" w14:paraId="30CE6843"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1F8CFFF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732" w:type="pct"/>
            <w:tcBorders>
              <w:top w:val="nil"/>
              <w:left w:val="nil"/>
              <w:bottom w:val="single" w:sz="4" w:space="0" w:color="auto"/>
              <w:right w:val="single" w:sz="4" w:space="0" w:color="auto"/>
            </w:tcBorders>
            <w:noWrap/>
            <w:vAlign w:val="bottom"/>
            <w:hideMark/>
          </w:tcPr>
          <w:p w14:paraId="7F434B9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391735,13</w:t>
            </w:r>
          </w:p>
        </w:tc>
        <w:tc>
          <w:tcPr>
            <w:tcW w:w="686" w:type="pct"/>
            <w:tcBorders>
              <w:top w:val="nil"/>
              <w:left w:val="nil"/>
              <w:bottom w:val="single" w:sz="4" w:space="0" w:color="auto"/>
              <w:right w:val="single" w:sz="4" w:space="0" w:color="auto"/>
            </w:tcBorders>
            <w:noWrap/>
            <w:vAlign w:val="bottom"/>
            <w:hideMark/>
          </w:tcPr>
          <w:p w14:paraId="53B6C80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686" w:type="pct"/>
            <w:tcBorders>
              <w:top w:val="nil"/>
              <w:left w:val="nil"/>
              <w:bottom w:val="single" w:sz="4" w:space="0" w:color="auto"/>
              <w:right w:val="single" w:sz="4" w:space="0" w:color="auto"/>
            </w:tcBorders>
            <w:noWrap/>
            <w:vAlign w:val="bottom"/>
            <w:hideMark/>
          </w:tcPr>
          <w:p w14:paraId="2625749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18654,05</w:t>
            </w:r>
          </w:p>
        </w:tc>
        <w:tc>
          <w:tcPr>
            <w:tcW w:w="687" w:type="pct"/>
            <w:tcBorders>
              <w:top w:val="nil"/>
              <w:left w:val="nil"/>
              <w:bottom w:val="single" w:sz="4" w:space="0" w:color="auto"/>
              <w:right w:val="single" w:sz="4" w:space="0" w:color="auto"/>
            </w:tcBorders>
            <w:noWrap/>
            <w:vAlign w:val="bottom"/>
            <w:hideMark/>
          </w:tcPr>
          <w:p w14:paraId="05F589F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31,07</w:t>
            </w:r>
          </w:p>
        </w:tc>
        <w:tc>
          <w:tcPr>
            <w:tcW w:w="687" w:type="pct"/>
            <w:tcBorders>
              <w:top w:val="nil"/>
              <w:left w:val="nil"/>
              <w:bottom w:val="single" w:sz="4" w:space="0" w:color="auto"/>
              <w:right w:val="single" w:sz="4" w:space="0" w:color="auto"/>
            </w:tcBorders>
            <w:noWrap/>
            <w:vAlign w:val="bottom"/>
            <w:hideMark/>
          </w:tcPr>
          <w:p w14:paraId="37BB61F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37" w:type="pct"/>
            <w:tcBorders>
              <w:top w:val="nil"/>
              <w:left w:val="nil"/>
              <w:bottom w:val="single" w:sz="4" w:space="0" w:color="auto"/>
              <w:right w:val="single" w:sz="4" w:space="0" w:color="auto"/>
            </w:tcBorders>
            <w:noWrap/>
            <w:vAlign w:val="bottom"/>
            <w:hideMark/>
          </w:tcPr>
          <w:p w14:paraId="2AA9026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93,28</w:t>
            </w:r>
          </w:p>
        </w:tc>
      </w:tr>
      <w:tr w:rsidR="00C82BCC" w14:paraId="12261513"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79829E5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732" w:type="pct"/>
            <w:tcBorders>
              <w:top w:val="nil"/>
              <w:left w:val="nil"/>
              <w:bottom w:val="single" w:sz="4" w:space="0" w:color="auto"/>
              <w:right w:val="single" w:sz="4" w:space="0" w:color="auto"/>
            </w:tcBorders>
            <w:noWrap/>
            <w:vAlign w:val="bottom"/>
            <w:hideMark/>
          </w:tcPr>
          <w:p w14:paraId="23006A4F"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325788,28</w:t>
            </w:r>
          </w:p>
        </w:tc>
        <w:tc>
          <w:tcPr>
            <w:tcW w:w="686" w:type="pct"/>
            <w:tcBorders>
              <w:top w:val="nil"/>
              <w:left w:val="nil"/>
              <w:bottom w:val="single" w:sz="4" w:space="0" w:color="auto"/>
              <w:right w:val="single" w:sz="4" w:space="0" w:color="auto"/>
            </w:tcBorders>
            <w:noWrap/>
            <w:vAlign w:val="bottom"/>
            <w:hideMark/>
          </w:tcPr>
          <w:p w14:paraId="61FB2D4B"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86" w:type="pct"/>
            <w:tcBorders>
              <w:top w:val="nil"/>
              <w:left w:val="nil"/>
              <w:bottom w:val="single" w:sz="4" w:space="0" w:color="auto"/>
              <w:right w:val="single" w:sz="4" w:space="0" w:color="auto"/>
            </w:tcBorders>
            <w:noWrap/>
            <w:vAlign w:val="bottom"/>
            <w:hideMark/>
          </w:tcPr>
          <w:p w14:paraId="7C0572DB"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81447,07</w:t>
            </w:r>
          </w:p>
        </w:tc>
        <w:tc>
          <w:tcPr>
            <w:tcW w:w="687" w:type="pct"/>
            <w:tcBorders>
              <w:top w:val="nil"/>
              <w:left w:val="nil"/>
              <w:bottom w:val="single" w:sz="4" w:space="0" w:color="auto"/>
              <w:right w:val="single" w:sz="4" w:space="0" w:color="auto"/>
            </w:tcBorders>
            <w:noWrap/>
            <w:vAlign w:val="bottom"/>
            <w:hideMark/>
          </w:tcPr>
          <w:p w14:paraId="781428E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135,67</w:t>
            </w:r>
          </w:p>
        </w:tc>
        <w:tc>
          <w:tcPr>
            <w:tcW w:w="687" w:type="pct"/>
            <w:tcBorders>
              <w:top w:val="nil"/>
              <w:left w:val="nil"/>
              <w:bottom w:val="single" w:sz="4" w:space="0" w:color="auto"/>
              <w:right w:val="single" w:sz="4" w:space="0" w:color="auto"/>
            </w:tcBorders>
            <w:noWrap/>
            <w:vAlign w:val="bottom"/>
            <w:hideMark/>
          </w:tcPr>
          <w:p w14:paraId="38711A2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37" w:type="pct"/>
            <w:tcBorders>
              <w:top w:val="nil"/>
              <w:left w:val="nil"/>
              <w:bottom w:val="single" w:sz="4" w:space="0" w:color="auto"/>
              <w:right w:val="single" w:sz="4" w:space="0" w:color="auto"/>
            </w:tcBorders>
            <w:noWrap/>
            <w:vAlign w:val="bottom"/>
            <w:hideMark/>
          </w:tcPr>
          <w:p w14:paraId="6606137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77,58</w:t>
            </w:r>
          </w:p>
        </w:tc>
      </w:tr>
      <w:tr w:rsidR="00C82BCC" w14:paraId="2C83E35D"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5A034701"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732" w:type="pct"/>
            <w:tcBorders>
              <w:top w:val="nil"/>
              <w:left w:val="nil"/>
              <w:bottom w:val="single" w:sz="4" w:space="0" w:color="auto"/>
              <w:right w:val="single" w:sz="4" w:space="0" w:color="auto"/>
            </w:tcBorders>
            <w:noWrap/>
            <w:vAlign w:val="bottom"/>
            <w:hideMark/>
          </w:tcPr>
          <w:p w14:paraId="4AC7C7AE"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50801,48</w:t>
            </w:r>
          </w:p>
        </w:tc>
        <w:tc>
          <w:tcPr>
            <w:tcW w:w="686" w:type="pct"/>
            <w:tcBorders>
              <w:top w:val="nil"/>
              <w:left w:val="nil"/>
              <w:bottom w:val="single" w:sz="4" w:space="0" w:color="auto"/>
              <w:right w:val="single" w:sz="4" w:space="0" w:color="auto"/>
            </w:tcBorders>
            <w:noWrap/>
            <w:vAlign w:val="bottom"/>
            <w:hideMark/>
          </w:tcPr>
          <w:p w14:paraId="6D4441A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86" w:type="pct"/>
            <w:tcBorders>
              <w:top w:val="nil"/>
              <w:left w:val="nil"/>
              <w:bottom w:val="single" w:sz="4" w:space="0" w:color="auto"/>
              <w:right w:val="single" w:sz="4" w:space="0" w:color="auto"/>
            </w:tcBorders>
            <w:noWrap/>
            <w:vAlign w:val="bottom"/>
            <w:hideMark/>
          </w:tcPr>
          <w:p w14:paraId="6E970BD7"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8466,91</w:t>
            </w:r>
          </w:p>
        </w:tc>
        <w:tc>
          <w:tcPr>
            <w:tcW w:w="687" w:type="pct"/>
            <w:tcBorders>
              <w:top w:val="nil"/>
              <w:left w:val="nil"/>
              <w:bottom w:val="single" w:sz="4" w:space="0" w:color="auto"/>
              <w:right w:val="single" w:sz="4" w:space="0" w:color="auto"/>
            </w:tcBorders>
            <w:noWrap/>
            <w:vAlign w:val="bottom"/>
            <w:hideMark/>
          </w:tcPr>
          <w:p w14:paraId="33AE1A3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14,1</w:t>
            </w:r>
          </w:p>
        </w:tc>
        <w:tc>
          <w:tcPr>
            <w:tcW w:w="687" w:type="pct"/>
            <w:tcBorders>
              <w:top w:val="nil"/>
              <w:left w:val="nil"/>
              <w:bottom w:val="single" w:sz="4" w:space="0" w:color="auto"/>
              <w:right w:val="single" w:sz="4" w:space="0" w:color="auto"/>
            </w:tcBorders>
            <w:noWrap/>
            <w:vAlign w:val="bottom"/>
            <w:hideMark/>
          </w:tcPr>
          <w:p w14:paraId="393155A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37" w:type="pct"/>
            <w:tcBorders>
              <w:top w:val="nil"/>
              <w:left w:val="nil"/>
              <w:bottom w:val="single" w:sz="4" w:space="0" w:color="auto"/>
              <w:right w:val="single" w:sz="4" w:space="0" w:color="auto"/>
            </w:tcBorders>
            <w:noWrap/>
            <w:vAlign w:val="bottom"/>
            <w:hideMark/>
          </w:tcPr>
          <w:p w14:paraId="34AEAF32"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12,10</w:t>
            </w:r>
          </w:p>
        </w:tc>
      </w:tr>
      <w:tr w:rsidR="00C82BCC" w14:paraId="589FD8AC"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5AB6243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732" w:type="pct"/>
            <w:tcBorders>
              <w:top w:val="nil"/>
              <w:left w:val="nil"/>
              <w:bottom w:val="single" w:sz="4" w:space="0" w:color="auto"/>
              <w:right w:val="single" w:sz="4" w:space="0" w:color="auto"/>
            </w:tcBorders>
            <w:noWrap/>
            <w:vAlign w:val="bottom"/>
            <w:hideMark/>
          </w:tcPr>
          <w:p w14:paraId="18989CD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920,3</w:t>
            </w:r>
          </w:p>
        </w:tc>
        <w:tc>
          <w:tcPr>
            <w:tcW w:w="686" w:type="pct"/>
            <w:tcBorders>
              <w:top w:val="nil"/>
              <w:left w:val="nil"/>
              <w:bottom w:val="single" w:sz="4" w:space="0" w:color="auto"/>
              <w:right w:val="single" w:sz="4" w:space="0" w:color="auto"/>
            </w:tcBorders>
            <w:noWrap/>
            <w:vAlign w:val="bottom"/>
            <w:hideMark/>
          </w:tcPr>
          <w:p w14:paraId="31C4A5F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86" w:type="pct"/>
            <w:tcBorders>
              <w:top w:val="nil"/>
              <w:left w:val="nil"/>
              <w:bottom w:val="single" w:sz="4" w:space="0" w:color="auto"/>
              <w:right w:val="single" w:sz="4" w:space="0" w:color="auto"/>
            </w:tcBorders>
            <w:noWrap/>
            <w:vAlign w:val="bottom"/>
            <w:hideMark/>
          </w:tcPr>
          <w:p w14:paraId="601EC1E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230,07</w:t>
            </w:r>
          </w:p>
        </w:tc>
        <w:tc>
          <w:tcPr>
            <w:tcW w:w="687" w:type="pct"/>
            <w:tcBorders>
              <w:top w:val="nil"/>
              <w:left w:val="nil"/>
              <w:bottom w:val="single" w:sz="4" w:space="0" w:color="auto"/>
              <w:right w:val="single" w:sz="4" w:space="0" w:color="auto"/>
            </w:tcBorders>
            <w:noWrap/>
            <w:vAlign w:val="bottom"/>
            <w:hideMark/>
          </w:tcPr>
          <w:p w14:paraId="1700987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0,38</w:t>
            </w:r>
          </w:p>
        </w:tc>
        <w:tc>
          <w:tcPr>
            <w:tcW w:w="687" w:type="pct"/>
            <w:tcBorders>
              <w:top w:val="nil"/>
              <w:left w:val="nil"/>
              <w:bottom w:val="single" w:sz="4" w:space="0" w:color="auto"/>
              <w:right w:val="single" w:sz="4" w:space="0" w:color="auto"/>
            </w:tcBorders>
            <w:noWrap/>
            <w:vAlign w:val="bottom"/>
            <w:hideMark/>
          </w:tcPr>
          <w:p w14:paraId="0CE63B98"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0,8195</w:t>
            </w:r>
          </w:p>
        </w:tc>
        <w:tc>
          <w:tcPr>
            <w:tcW w:w="837" w:type="pct"/>
            <w:tcBorders>
              <w:top w:val="nil"/>
              <w:left w:val="nil"/>
              <w:bottom w:val="single" w:sz="4" w:space="0" w:color="auto"/>
              <w:right w:val="single" w:sz="4" w:space="0" w:color="auto"/>
            </w:tcBorders>
            <w:noWrap/>
            <w:vAlign w:val="bottom"/>
            <w:hideMark/>
          </w:tcPr>
          <w:p w14:paraId="7788DD54"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0,22</w:t>
            </w:r>
          </w:p>
        </w:tc>
      </w:tr>
      <w:tr w:rsidR="00C82BCC" w14:paraId="5A72AE38"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074833C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732" w:type="pct"/>
            <w:tcBorders>
              <w:top w:val="nil"/>
              <w:left w:val="nil"/>
              <w:bottom w:val="single" w:sz="4" w:space="0" w:color="auto"/>
              <w:right w:val="single" w:sz="4" w:space="0" w:color="auto"/>
            </w:tcBorders>
            <w:noWrap/>
            <w:vAlign w:val="bottom"/>
            <w:hideMark/>
          </w:tcPr>
          <w:p w14:paraId="77F60A7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13209,6</w:t>
            </w:r>
          </w:p>
        </w:tc>
        <w:tc>
          <w:tcPr>
            <w:tcW w:w="686" w:type="pct"/>
            <w:tcBorders>
              <w:top w:val="nil"/>
              <w:left w:val="nil"/>
              <w:bottom w:val="single" w:sz="4" w:space="0" w:color="auto"/>
              <w:right w:val="single" w:sz="4" w:space="0" w:color="auto"/>
            </w:tcBorders>
            <w:noWrap/>
            <w:vAlign w:val="bottom"/>
            <w:hideMark/>
          </w:tcPr>
          <w:p w14:paraId="34FD5107"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686" w:type="pct"/>
            <w:tcBorders>
              <w:top w:val="nil"/>
              <w:left w:val="nil"/>
              <w:bottom w:val="single" w:sz="4" w:space="0" w:color="auto"/>
              <w:right w:val="single" w:sz="4" w:space="0" w:color="auto"/>
            </w:tcBorders>
            <w:noWrap/>
            <w:vAlign w:val="bottom"/>
            <w:hideMark/>
          </w:tcPr>
          <w:p w14:paraId="751A3781"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4403,2</w:t>
            </w:r>
          </w:p>
        </w:tc>
        <w:tc>
          <w:tcPr>
            <w:tcW w:w="687" w:type="pct"/>
            <w:tcBorders>
              <w:top w:val="nil"/>
              <w:left w:val="nil"/>
              <w:bottom w:val="single" w:sz="4" w:space="0" w:color="auto"/>
              <w:right w:val="single" w:sz="4" w:space="0" w:color="auto"/>
            </w:tcBorders>
            <w:noWrap/>
            <w:vAlign w:val="bottom"/>
            <w:hideMark/>
          </w:tcPr>
          <w:p w14:paraId="09D0586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7,33</w:t>
            </w:r>
          </w:p>
        </w:tc>
        <w:tc>
          <w:tcPr>
            <w:tcW w:w="687" w:type="pct"/>
            <w:tcBorders>
              <w:top w:val="nil"/>
              <w:left w:val="nil"/>
              <w:bottom w:val="single" w:sz="4" w:space="0" w:color="auto"/>
              <w:right w:val="single" w:sz="4" w:space="0" w:color="auto"/>
            </w:tcBorders>
            <w:noWrap/>
            <w:vAlign w:val="bottom"/>
            <w:hideMark/>
          </w:tcPr>
          <w:p w14:paraId="18DB7FA5"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0,0004</w:t>
            </w:r>
          </w:p>
        </w:tc>
        <w:tc>
          <w:tcPr>
            <w:tcW w:w="837" w:type="pct"/>
            <w:tcBorders>
              <w:top w:val="nil"/>
              <w:left w:val="nil"/>
              <w:bottom w:val="single" w:sz="4" w:space="0" w:color="auto"/>
              <w:right w:val="single" w:sz="4" w:space="0" w:color="auto"/>
            </w:tcBorders>
            <w:noWrap/>
            <w:vAlign w:val="bottom"/>
            <w:hideMark/>
          </w:tcPr>
          <w:p w14:paraId="37BCA0D4"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3,15</w:t>
            </w:r>
          </w:p>
        </w:tc>
      </w:tr>
      <w:tr w:rsidR="00C82BCC" w14:paraId="2ED0305A"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7C9285F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732" w:type="pct"/>
            <w:tcBorders>
              <w:top w:val="nil"/>
              <w:left w:val="nil"/>
              <w:bottom w:val="single" w:sz="4" w:space="0" w:color="auto"/>
              <w:right w:val="single" w:sz="4" w:space="0" w:color="auto"/>
            </w:tcBorders>
            <w:noWrap/>
            <w:vAlign w:val="bottom"/>
            <w:hideMark/>
          </w:tcPr>
          <w:p w14:paraId="1C29421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124,63</w:t>
            </w:r>
          </w:p>
        </w:tc>
        <w:tc>
          <w:tcPr>
            <w:tcW w:w="686" w:type="pct"/>
            <w:tcBorders>
              <w:top w:val="nil"/>
              <w:left w:val="nil"/>
              <w:bottom w:val="single" w:sz="4" w:space="0" w:color="auto"/>
              <w:right w:val="single" w:sz="4" w:space="0" w:color="auto"/>
            </w:tcBorders>
            <w:noWrap/>
            <w:vAlign w:val="bottom"/>
            <w:hideMark/>
          </w:tcPr>
          <w:p w14:paraId="75D980EF"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86" w:type="pct"/>
            <w:tcBorders>
              <w:top w:val="nil"/>
              <w:left w:val="nil"/>
              <w:bottom w:val="single" w:sz="4" w:space="0" w:color="auto"/>
              <w:right w:val="single" w:sz="4" w:space="0" w:color="auto"/>
            </w:tcBorders>
            <w:noWrap/>
            <w:vAlign w:val="bottom"/>
            <w:hideMark/>
          </w:tcPr>
          <w:p w14:paraId="34345872"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62,32</w:t>
            </w:r>
          </w:p>
        </w:tc>
        <w:tc>
          <w:tcPr>
            <w:tcW w:w="687" w:type="pct"/>
            <w:tcBorders>
              <w:top w:val="nil"/>
              <w:left w:val="nil"/>
              <w:bottom w:val="single" w:sz="4" w:space="0" w:color="auto"/>
              <w:right w:val="single" w:sz="4" w:space="0" w:color="auto"/>
            </w:tcBorders>
            <w:noWrap/>
            <w:vAlign w:val="bottom"/>
            <w:hideMark/>
          </w:tcPr>
          <w:p w14:paraId="5731DE8F"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w:t>
            </w:r>
          </w:p>
        </w:tc>
        <w:tc>
          <w:tcPr>
            <w:tcW w:w="687" w:type="pct"/>
            <w:tcBorders>
              <w:top w:val="nil"/>
              <w:left w:val="nil"/>
              <w:bottom w:val="single" w:sz="4" w:space="0" w:color="auto"/>
              <w:right w:val="single" w:sz="4" w:space="0" w:color="auto"/>
            </w:tcBorders>
            <w:noWrap/>
            <w:vAlign w:val="bottom"/>
            <w:hideMark/>
          </w:tcPr>
          <w:p w14:paraId="2F34094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0,9016</w:t>
            </w:r>
          </w:p>
        </w:tc>
        <w:tc>
          <w:tcPr>
            <w:tcW w:w="837" w:type="pct"/>
            <w:tcBorders>
              <w:top w:val="nil"/>
              <w:left w:val="nil"/>
              <w:bottom w:val="single" w:sz="4" w:space="0" w:color="auto"/>
              <w:right w:val="single" w:sz="4" w:space="0" w:color="auto"/>
            </w:tcBorders>
            <w:noWrap/>
            <w:vAlign w:val="bottom"/>
            <w:hideMark/>
          </w:tcPr>
          <w:p w14:paraId="7A552097"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0,03</w:t>
            </w:r>
          </w:p>
        </w:tc>
      </w:tr>
      <w:tr w:rsidR="00C82BCC" w14:paraId="3A7993FC"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03DBAAF7"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732" w:type="pct"/>
            <w:tcBorders>
              <w:top w:val="nil"/>
              <w:left w:val="nil"/>
              <w:bottom w:val="single" w:sz="4" w:space="0" w:color="auto"/>
              <w:right w:val="single" w:sz="4" w:space="0" w:color="auto"/>
            </w:tcBorders>
            <w:noWrap/>
            <w:vAlign w:val="bottom"/>
            <w:hideMark/>
          </w:tcPr>
          <w:p w14:paraId="1D3A770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890,83</w:t>
            </w:r>
          </w:p>
        </w:tc>
        <w:tc>
          <w:tcPr>
            <w:tcW w:w="686" w:type="pct"/>
            <w:tcBorders>
              <w:top w:val="nil"/>
              <w:left w:val="nil"/>
              <w:bottom w:val="single" w:sz="4" w:space="0" w:color="auto"/>
              <w:right w:val="single" w:sz="4" w:space="0" w:color="auto"/>
            </w:tcBorders>
            <w:noWrap/>
            <w:vAlign w:val="bottom"/>
            <w:hideMark/>
          </w:tcPr>
          <w:p w14:paraId="66F55BA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86" w:type="pct"/>
            <w:tcBorders>
              <w:top w:val="nil"/>
              <w:left w:val="nil"/>
              <w:bottom w:val="single" w:sz="4" w:space="0" w:color="auto"/>
              <w:right w:val="single" w:sz="4" w:space="0" w:color="auto"/>
            </w:tcBorders>
            <w:noWrap/>
            <w:vAlign w:val="bottom"/>
            <w:hideMark/>
          </w:tcPr>
          <w:p w14:paraId="6DCAD9A8"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445,42</w:t>
            </w:r>
          </w:p>
        </w:tc>
        <w:tc>
          <w:tcPr>
            <w:tcW w:w="687" w:type="pct"/>
            <w:tcBorders>
              <w:top w:val="nil"/>
              <w:left w:val="nil"/>
              <w:bottom w:val="single" w:sz="4" w:space="0" w:color="auto"/>
              <w:right w:val="single" w:sz="4" w:space="0" w:color="auto"/>
            </w:tcBorders>
            <w:noWrap/>
            <w:vAlign w:val="bottom"/>
            <w:hideMark/>
          </w:tcPr>
          <w:p w14:paraId="1A0CEBC2"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0,74</w:t>
            </w:r>
          </w:p>
        </w:tc>
        <w:tc>
          <w:tcPr>
            <w:tcW w:w="687" w:type="pct"/>
            <w:tcBorders>
              <w:top w:val="nil"/>
              <w:left w:val="nil"/>
              <w:bottom w:val="single" w:sz="4" w:space="0" w:color="auto"/>
              <w:right w:val="single" w:sz="4" w:space="0" w:color="auto"/>
            </w:tcBorders>
            <w:noWrap/>
            <w:vAlign w:val="bottom"/>
            <w:hideMark/>
          </w:tcPr>
          <w:p w14:paraId="7CBD3057"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0,4817</w:t>
            </w:r>
          </w:p>
        </w:tc>
        <w:tc>
          <w:tcPr>
            <w:tcW w:w="837" w:type="pct"/>
            <w:tcBorders>
              <w:top w:val="nil"/>
              <w:left w:val="nil"/>
              <w:bottom w:val="single" w:sz="4" w:space="0" w:color="auto"/>
              <w:right w:val="single" w:sz="4" w:space="0" w:color="auto"/>
            </w:tcBorders>
            <w:noWrap/>
            <w:vAlign w:val="bottom"/>
            <w:hideMark/>
          </w:tcPr>
          <w:p w14:paraId="00F462A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0,21</w:t>
            </w:r>
          </w:p>
        </w:tc>
      </w:tr>
      <w:tr w:rsidR="00C82BCC" w14:paraId="73C88B13"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652EF2E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732" w:type="pct"/>
            <w:tcBorders>
              <w:top w:val="nil"/>
              <w:left w:val="nil"/>
              <w:bottom w:val="single" w:sz="4" w:space="0" w:color="auto"/>
              <w:right w:val="single" w:sz="4" w:space="0" w:color="auto"/>
            </w:tcBorders>
            <w:noWrap/>
            <w:vAlign w:val="bottom"/>
            <w:hideMark/>
          </w:tcPr>
          <w:p w14:paraId="552A653C"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28216,03</w:t>
            </w:r>
          </w:p>
        </w:tc>
        <w:tc>
          <w:tcPr>
            <w:tcW w:w="686" w:type="pct"/>
            <w:tcBorders>
              <w:top w:val="nil"/>
              <w:left w:val="nil"/>
              <w:bottom w:val="single" w:sz="4" w:space="0" w:color="auto"/>
              <w:right w:val="single" w:sz="4" w:space="0" w:color="auto"/>
            </w:tcBorders>
            <w:noWrap/>
            <w:vAlign w:val="bottom"/>
            <w:hideMark/>
          </w:tcPr>
          <w:p w14:paraId="567A814B"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686" w:type="pct"/>
            <w:tcBorders>
              <w:top w:val="nil"/>
              <w:left w:val="nil"/>
              <w:bottom w:val="single" w:sz="4" w:space="0" w:color="auto"/>
              <w:right w:val="single" w:sz="4" w:space="0" w:color="auto"/>
            </w:tcBorders>
            <w:noWrap/>
            <w:vAlign w:val="bottom"/>
            <w:hideMark/>
          </w:tcPr>
          <w:p w14:paraId="34BEF39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600,34</w:t>
            </w:r>
          </w:p>
        </w:tc>
        <w:tc>
          <w:tcPr>
            <w:tcW w:w="687" w:type="pct"/>
            <w:tcBorders>
              <w:top w:val="nil"/>
              <w:left w:val="nil"/>
              <w:bottom w:val="single" w:sz="4" w:space="0" w:color="auto"/>
              <w:right w:val="single" w:sz="4" w:space="0" w:color="auto"/>
            </w:tcBorders>
            <w:noWrap/>
            <w:vAlign w:val="bottom"/>
            <w:hideMark/>
          </w:tcPr>
          <w:p w14:paraId="1C92A292"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7" w:type="pct"/>
            <w:tcBorders>
              <w:top w:val="nil"/>
              <w:left w:val="nil"/>
              <w:bottom w:val="single" w:sz="4" w:space="0" w:color="auto"/>
              <w:right w:val="single" w:sz="4" w:space="0" w:color="auto"/>
            </w:tcBorders>
            <w:noWrap/>
            <w:vAlign w:val="bottom"/>
            <w:hideMark/>
          </w:tcPr>
          <w:p w14:paraId="40738AE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37" w:type="pct"/>
            <w:tcBorders>
              <w:top w:val="nil"/>
              <w:left w:val="nil"/>
              <w:bottom w:val="single" w:sz="4" w:space="0" w:color="auto"/>
              <w:right w:val="single" w:sz="4" w:space="0" w:color="auto"/>
            </w:tcBorders>
            <w:noWrap/>
            <w:vAlign w:val="bottom"/>
            <w:hideMark/>
          </w:tcPr>
          <w:p w14:paraId="2BA4FE9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6,72</w:t>
            </w:r>
          </w:p>
        </w:tc>
      </w:tr>
      <w:tr w:rsidR="00C82BCC" w14:paraId="2D1B56F3" w14:textId="77777777" w:rsidTr="00177ABD">
        <w:trPr>
          <w:trHeight w:val="329"/>
        </w:trPr>
        <w:tc>
          <w:tcPr>
            <w:tcW w:w="686" w:type="pct"/>
            <w:tcBorders>
              <w:top w:val="nil"/>
              <w:left w:val="single" w:sz="4" w:space="0" w:color="auto"/>
              <w:bottom w:val="single" w:sz="4" w:space="0" w:color="auto"/>
              <w:right w:val="single" w:sz="4" w:space="0" w:color="auto"/>
            </w:tcBorders>
            <w:noWrap/>
            <w:vAlign w:val="bottom"/>
            <w:hideMark/>
          </w:tcPr>
          <w:p w14:paraId="6F8C4106"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732" w:type="pct"/>
            <w:tcBorders>
              <w:top w:val="nil"/>
              <w:left w:val="nil"/>
              <w:bottom w:val="single" w:sz="4" w:space="0" w:color="auto"/>
              <w:right w:val="single" w:sz="4" w:space="0" w:color="auto"/>
            </w:tcBorders>
            <w:noWrap/>
            <w:vAlign w:val="bottom"/>
            <w:hideMark/>
          </w:tcPr>
          <w:p w14:paraId="72A77D6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419951,16</w:t>
            </w:r>
          </w:p>
        </w:tc>
        <w:tc>
          <w:tcPr>
            <w:tcW w:w="686" w:type="pct"/>
            <w:tcBorders>
              <w:top w:val="nil"/>
              <w:left w:val="nil"/>
              <w:bottom w:val="single" w:sz="4" w:space="0" w:color="auto"/>
              <w:right w:val="single" w:sz="4" w:space="0" w:color="auto"/>
            </w:tcBorders>
            <w:noWrap/>
            <w:vAlign w:val="bottom"/>
            <w:hideMark/>
          </w:tcPr>
          <w:p w14:paraId="1E8222B2"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w:t>
            </w:r>
          </w:p>
        </w:tc>
        <w:tc>
          <w:tcPr>
            <w:tcW w:w="686" w:type="pct"/>
            <w:tcBorders>
              <w:top w:val="nil"/>
              <w:left w:val="nil"/>
              <w:bottom w:val="single" w:sz="4" w:space="0" w:color="auto"/>
              <w:right w:val="single" w:sz="4" w:space="0" w:color="auto"/>
            </w:tcBorders>
            <w:noWrap/>
            <w:vAlign w:val="bottom"/>
            <w:hideMark/>
          </w:tcPr>
          <w:p w14:paraId="0179D784"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7" w:type="pct"/>
            <w:tcBorders>
              <w:top w:val="nil"/>
              <w:left w:val="nil"/>
              <w:bottom w:val="single" w:sz="4" w:space="0" w:color="auto"/>
              <w:right w:val="single" w:sz="4" w:space="0" w:color="auto"/>
            </w:tcBorders>
            <w:noWrap/>
            <w:vAlign w:val="bottom"/>
            <w:hideMark/>
          </w:tcPr>
          <w:p w14:paraId="3A4D960E"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7" w:type="pct"/>
            <w:tcBorders>
              <w:top w:val="nil"/>
              <w:left w:val="nil"/>
              <w:bottom w:val="single" w:sz="4" w:space="0" w:color="auto"/>
              <w:right w:val="single" w:sz="4" w:space="0" w:color="auto"/>
            </w:tcBorders>
            <w:noWrap/>
            <w:vAlign w:val="bottom"/>
            <w:hideMark/>
          </w:tcPr>
          <w:p w14:paraId="4D826C48"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37" w:type="pct"/>
            <w:tcBorders>
              <w:top w:val="nil"/>
              <w:left w:val="nil"/>
              <w:bottom w:val="single" w:sz="4" w:space="0" w:color="auto"/>
              <w:right w:val="single" w:sz="4" w:space="0" w:color="auto"/>
            </w:tcBorders>
            <w:noWrap/>
            <w:vAlign w:val="bottom"/>
            <w:hideMark/>
          </w:tcPr>
          <w:p w14:paraId="1F80D941"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0D09A156" w14:textId="614A159B" w:rsidR="00C82BCC" w:rsidRDefault="00C82BCC" w:rsidP="00D66484">
      <w:pPr>
        <w:autoSpaceDE w:val="0"/>
        <w:autoSpaceDN w:val="0"/>
        <w:adjustRightInd w:val="0"/>
        <w:spacing w:before="360" w:after="360" w:line="360" w:lineRule="auto"/>
        <w:rPr>
          <w:rFonts w:cs="Times New Roman"/>
          <w:bCs/>
          <w:szCs w:val="24"/>
        </w:rPr>
      </w:pPr>
      <w:r>
        <w:rPr>
          <w:rFonts w:cs="Times New Roman"/>
          <w:bCs/>
          <w:szCs w:val="24"/>
        </w:rPr>
        <w:t xml:space="preserve">El modelo estadístico establecido explica el 93,28 % de la variación observada en los datos; siendo nitrógeno el nutriente con más importancia que explicó el 12,10 % de la variación observada. Un 6,72 % de la variación se les atribuyó a efectos aleatorios que el modelo no pudo explicar (error). La parroquia y el potasio explicaron el 77,58% y 3,15% de la </w:t>
      </w:r>
      <w:r>
        <w:rPr>
          <w:rFonts w:cs="Times New Roman"/>
          <w:szCs w:val="24"/>
        </w:rPr>
        <w:t xml:space="preserve">absorción total de nitrógeno, </w:t>
      </w:r>
      <w:r>
        <w:rPr>
          <w:rFonts w:cs="Times New Roman"/>
          <w:bCs/>
          <w:szCs w:val="24"/>
        </w:rPr>
        <w:t xml:space="preserve">respectivamente. El resto de nutrientes explicaron menos del </w:t>
      </w:r>
      <w:r w:rsidR="003516C9">
        <w:rPr>
          <w:rFonts w:cs="Times New Roman"/>
          <w:bCs/>
          <w:szCs w:val="24"/>
        </w:rPr>
        <w:t>4</w:t>
      </w:r>
      <w:r>
        <w:rPr>
          <w:rFonts w:cs="Times New Roman"/>
          <w:bCs/>
          <w:szCs w:val="24"/>
        </w:rPr>
        <w:t>% de la absorción total</w:t>
      </w:r>
      <w:r>
        <w:rPr>
          <w:rFonts w:cs="Times New Roman"/>
          <w:szCs w:val="24"/>
        </w:rPr>
        <w:t xml:space="preserve"> de nitrógeno.</w:t>
      </w:r>
      <w:r>
        <w:rPr>
          <w:rFonts w:cs="Times New Roman"/>
          <w:bCs/>
          <w:szCs w:val="24"/>
        </w:rPr>
        <w:t xml:space="preserve"> (</w:t>
      </w:r>
      <w:r w:rsidR="006B2851">
        <w:rPr>
          <w:rFonts w:cs="Times New Roman"/>
          <w:bCs/>
          <w:szCs w:val="24"/>
        </w:rPr>
        <w:t>Cuadro</w:t>
      </w:r>
      <w:r>
        <w:rPr>
          <w:rFonts w:cs="Times New Roman"/>
          <w:bCs/>
          <w:szCs w:val="24"/>
        </w:rPr>
        <w:t xml:space="preserve"> 10</w:t>
      </w:r>
      <w:r w:rsidR="0039325D">
        <w:rPr>
          <w:rFonts w:cs="Times New Roman"/>
          <w:bCs/>
          <w:szCs w:val="24"/>
        </w:rPr>
        <w:t>6</w:t>
      </w:r>
      <w:r>
        <w:rPr>
          <w:rFonts w:cs="Times New Roman"/>
          <w:bCs/>
          <w:szCs w:val="24"/>
        </w:rPr>
        <w:t xml:space="preserve">).  </w:t>
      </w:r>
    </w:p>
    <w:p w14:paraId="45CFDE65" w14:textId="77777777" w:rsidR="00D66484" w:rsidRDefault="00C82BCC" w:rsidP="00D66484">
      <w:pPr>
        <w:autoSpaceDE w:val="0"/>
        <w:autoSpaceDN w:val="0"/>
        <w:adjustRightInd w:val="0"/>
        <w:spacing w:after="0" w:line="360" w:lineRule="auto"/>
        <w:rPr>
          <w:rFonts w:cs="Times New Roman"/>
          <w:bCs/>
          <w:szCs w:val="24"/>
        </w:rPr>
      </w:pPr>
      <w:r>
        <w:rPr>
          <w:rFonts w:cs="Times New Roman"/>
          <w:bCs/>
          <w:szCs w:val="24"/>
        </w:rPr>
        <w:t>En l</w:t>
      </w:r>
      <w:r w:rsidR="006B2851">
        <w:rPr>
          <w:rFonts w:cs="Times New Roman"/>
          <w:bCs/>
          <w:szCs w:val="24"/>
        </w:rPr>
        <w:t>os cuadros</w:t>
      </w:r>
      <w:r>
        <w:rPr>
          <w:rFonts w:cs="Times New Roman"/>
          <w:bCs/>
          <w:szCs w:val="24"/>
        </w:rPr>
        <w:t xml:space="preserve"> </w:t>
      </w:r>
      <w:r w:rsidR="0039325D">
        <w:rPr>
          <w:rFonts w:cs="Times New Roman"/>
          <w:bCs/>
          <w:szCs w:val="24"/>
        </w:rPr>
        <w:t xml:space="preserve">107, </w:t>
      </w:r>
      <w:r>
        <w:rPr>
          <w:rFonts w:cs="Times New Roman"/>
          <w:bCs/>
          <w:szCs w:val="24"/>
        </w:rPr>
        <w:t>108, 109, 110, 111</w:t>
      </w:r>
      <w:r w:rsidR="0039325D">
        <w:rPr>
          <w:rFonts w:cs="Times New Roman"/>
          <w:bCs/>
          <w:szCs w:val="24"/>
        </w:rPr>
        <w:t xml:space="preserve"> y</w:t>
      </w:r>
      <w:r>
        <w:rPr>
          <w:rFonts w:cs="Times New Roman"/>
          <w:bCs/>
          <w:szCs w:val="24"/>
        </w:rPr>
        <w:t xml:space="preserve"> 112 se presentan los promedios y el error estándar de a</w:t>
      </w:r>
      <w:r w:rsidR="00241B4C">
        <w:rPr>
          <w:rFonts w:cs="Times New Roman"/>
          <w:bCs/>
          <w:szCs w:val="24"/>
        </w:rPr>
        <w:t>b</w:t>
      </w:r>
      <w:r>
        <w:rPr>
          <w:rFonts w:cs="Times New Roman"/>
          <w:bCs/>
          <w:szCs w:val="24"/>
        </w:rPr>
        <w:t>sorción de nitrógeno por efecto de las localidades (parroquia) y los niveles de nitrógeno, fósforo, potasio, azufre, magnesio con su respectiva pru</w:t>
      </w:r>
      <w:r w:rsidR="002F2624">
        <w:rPr>
          <w:rFonts w:cs="Times New Roman"/>
          <w:bCs/>
          <w:szCs w:val="24"/>
        </w:rPr>
        <w:t>eba de Lsd Fisher (alfa=0,05).</w:t>
      </w:r>
      <w:bookmarkStart w:id="1787" w:name="_Toc79314100"/>
    </w:p>
    <w:p w14:paraId="4BB8012A" w14:textId="77777777" w:rsidR="00177ABD" w:rsidRDefault="00177ABD" w:rsidP="00D66484">
      <w:pPr>
        <w:autoSpaceDE w:val="0"/>
        <w:autoSpaceDN w:val="0"/>
        <w:adjustRightInd w:val="0"/>
        <w:spacing w:before="360" w:after="120" w:line="360" w:lineRule="auto"/>
        <w:rPr>
          <w:rFonts w:cs="Times New Roman"/>
          <w:b/>
          <w:bCs/>
          <w:szCs w:val="24"/>
        </w:rPr>
      </w:pPr>
      <w:r>
        <w:rPr>
          <w:rFonts w:cs="Times New Roman"/>
          <w:b/>
          <w:bCs/>
          <w:szCs w:val="24"/>
        </w:rPr>
        <w:br w:type="page"/>
      </w:r>
    </w:p>
    <w:p w14:paraId="7830D901" w14:textId="3C686E79" w:rsidR="002F2624" w:rsidRPr="00D66484" w:rsidRDefault="002F2624" w:rsidP="00D66484">
      <w:pPr>
        <w:autoSpaceDE w:val="0"/>
        <w:autoSpaceDN w:val="0"/>
        <w:adjustRightInd w:val="0"/>
        <w:spacing w:before="360" w:after="120" w:line="360" w:lineRule="auto"/>
        <w:rPr>
          <w:rFonts w:cs="Times New Roman"/>
          <w:bCs/>
          <w:szCs w:val="24"/>
        </w:rPr>
      </w:pPr>
      <w:r w:rsidRPr="002F2624">
        <w:rPr>
          <w:rFonts w:cs="Times New Roman"/>
          <w:b/>
          <w:bCs/>
          <w:szCs w:val="24"/>
        </w:rPr>
        <w:lastRenderedPageBreak/>
        <w:t xml:space="preserve">Cuadro </w:t>
      </w:r>
      <w:r w:rsidRPr="002F2624">
        <w:rPr>
          <w:rFonts w:cs="Times New Roman"/>
          <w:b/>
          <w:bCs/>
          <w:i/>
          <w:iCs/>
          <w:szCs w:val="24"/>
        </w:rPr>
        <w:fldChar w:fldCharType="begin"/>
      </w:r>
      <w:r w:rsidRPr="002F2624">
        <w:rPr>
          <w:rFonts w:cs="Times New Roman"/>
          <w:b/>
          <w:bCs/>
          <w:szCs w:val="24"/>
        </w:rPr>
        <w:instrText xml:space="preserve"> SEQ Cuadro \* ARABIC </w:instrText>
      </w:r>
      <w:r w:rsidRPr="002F2624">
        <w:rPr>
          <w:rFonts w:cs="Times New Roman"/>
          <w:b/>
          <w:bCs/>
          <w:i/>
          <w:iCs/>
          <w:szCs w:val="24"/>
        </w:rPr>
        <w:fldChar w:fldCharType="separate"/>
      </w:r>
      <w:r w:rsidR="000D1F55">
        <w:rPr>
          <w:rFonts w:cs="Times New Roman"/>
          <w:b/>
          <w:bCs/>
          <w:noProof/>
          <w:szCs w:val="24"/>
        </w:rPr>
        <w:t>108</w:t>
      </w:r>
      <w:r w:rsidRPr="002F2624">
        <w:rPr>
          <w:rFonts w:cs="Times New Roman"/>
          <w:b/>
          <w:bCs/>
          <w:i/>
          <w:iCs/>
          <w:szCs w:val="24"/>
        </w:rPr>
        <w:fldChar w:fldCharType="end"/>
      </w:r>
      <w:r w:rsidRPr="002F2624">
        <w:rPr>
          <w:rFonts w:cs="Times New Roman"/>
          <w:b/>
          <w:bCs/>
          <w:szCs w:val="24"/>
        </w:rPr>
        <w:t>.</w:t>
      </w:r>
      <w:r w:rsidRPr="002F2624">
        <w:rPr>
          <w:rFonts w:cs="Times New Roman"/>
          <w:bCs/>
          <w:szCs w:val="24"/>
        </w:rPr>
        <w:t xml:space="preserve"> Absorción total de nitrógeno de maíz suave, evaluado por localidades (parroquia) en la provincia de Imbabura, 2010-2015.</w:t>
      </w:r>
      <w:bookmarkEnd w:id="1787"/>
    </w:p>
    <w:tbl>
      <w:tblPr>
        <w:tblW w:w="5000" w:type="pct"/>
        <w:jc w:val="center"/>
        <w:tblCellMar>
          <w:left w:w="0" w:type="dxa"/>
          <w:right w:w="0" w:type="dxa"/>
        </w:tblCellMar>
        <w:tblLook w:val="04A0" w:firstRow="1" w:lastRow="0" w:firstColumn="1" w:lastColumn="0" w:noHBand="0" w:noVBand="1"/>
      </w:tblPr>
      <w:tblGrid>
        <w:gridCol w:w="1299"/>
        <w:gridCol w:w="905"/>
        <w:gridCol w:w="487"/>
        <w:gridCol w:w="2267"/>
        <w:gridCol w:w="568"/>
        <w:gridCol w:w="583"/>
        <w:gridCol w:w="780"/>
        <w:gridCol w:w="1038"/>
      </w:tblGrid>
      <w:tr w:rsidR="00C82BCC" w14:paraId="4824707A" w14:textId="77777777" w:rsidTr="002F2624">
        <w:trPr>
          <w:trHeight w:val="300"/>
          <w:jc w:val="center"/>
        </w:trPr>
        <w:tc>
          <w:tcPr>
            <w:tcW w:w="81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FFA3966"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Parroquia </w:t>
            </w:r>
          </w:p>
        </w:tc>
        <w:tc>
          <w:tcPr>
            <w:tcW w:w="57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D78ECE0"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Medias</w:t>
            </w:r>
          </w:p>
        </w:tc>
        <w:tc>
          <w:tcPr>
            <w:tcW w:w="30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32419A7"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n </w:t>
            </w:r>
          </w:p>
        </w:tc>
        <w:tc>
          <w:tcPr>
            <w:tcW w:w="143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AF8F20F"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58"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1B6B13DA"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  </w:t>
            </w:r>
          </w:p>
        </w:tc>
        <w:tc>
          <w:tcPr>
            <w:tcW w:w="368"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5E542F8" w14:textId="77777777" w:rsidR="00C82BCC" w:rsidRDefault="00C82BCC" w:rsidP="00D66484">
            <w:pPr>
              <w:spacing w:after="0" w:line="240" w:lineRule="auto"/>
              <w:jc w:val="right"/>
              <w:rPr>
                <w:rFonts w:cs="Times New Roman"/>
                <w:b/>
                <w:bCs/>
                <w:color w:val="000000"/>
                <w:szCs w:val="24"/>
              </w:rPr>
            </w:pPr>
            <w:r>
              <w:rPr>
                <w:rFonts w:cs="Times New Roman"/>
                <w:b/>
                <w:bCs/>
                <w:color w:val="000000"/>
                <w:szCs w:val="24"/>
              </w:rPr>
              <w:t xml:space="preserve">  Lsd</w:t>
            </w:r>
          </w:p>
        </w:tc>
        <w:tc>
          <w:tcPr>
            <w:tcW w:w="492"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7472DCF" w14:textId="77777777" w:rsidR="00C82BCC" w:rsidRDefault="00C82BCC" w:rsidP="00D66484">
            <w:pPr>
              <w:spacing w:after="0" w:line="240" w:lineRule="auto"/>
              <w:rPr>
                <w:rFonts w:cs="Times New Roman"/>
                <w:b/>
                <w:bCs/>
                <w:color w:val="000000"/>
                <w:szCs w:val="24"/>
              </w:rPr>
            </w:pPr>
            <w:r>
              <w:rPr>
                <w:rFonts w:cs="Times New Roman"/>
                <w:b/>
                <w:bCs/>
                <w:color w:val="000000"/>
                <w:szCs w:val="24"/>
              </w:rPr>
              <w:t xml:space="preserve"> 0,05  </w:t>
            </w:r>
          </w:p>
        </w:tc>
        <w:tc>
          <w:tcPr>
            <w:tcW w:w="65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0B55903"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  </w:t>
            </w:r>
          </w:p>
        </w:tc>
      </w:tr>
      <w:tr w:rsidR="00C82BCC" w14:paraId="7793E559" w14:textId="77777777" w:rsidTr="002F2624">
        <w:trPr>
          <w:trHeight w:val="300"/>
          <w:jc w:val="center"/>
        </w:trPr>
        <w:tc>
          <w:tcPr>
            <w:tcW w:w="81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8FBCE7D" w14:textId="77777777" w:rsidR="00C82BCC" w:rsidRDefault="00C82BCC" w:rsidP="00D66484">
            <w:pPr>
              <w:spacing w:after="0" w:line="240" w:lineRule="auto"/>
              <w:jc w:val="center"/>
              <w:rPr>
                <w:rFonts w:cs="Times New Roman"/>
                <w:color w:val="000000"/>
                <w:szCs w:val="24"/>
              </w:rPr>
            </w:pPr>
            <w:r>
              <w:rPr>
                <w:rFonts w:cs="Times New Roman"/>
                <w:color w:val="000000"/>
                <w:szCs w:val="24"/>
              </w:rPr>
              <w:t>Miguel Egas</w:t>
            </w:r>
          </w:p>
        </w:tc>
        <w:tc>
          <w:tcPr>
            <w:tcW w:w="5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2D725E" w14:textId="77777777" w:rsidR="00C82BCC" w:rsidRDefault="00C82BCC" w:rsidP="00D66484">
            <w:pPr>
              <w:spacing w:after="0" w:line="240" w:lineRule="auto"/>
              <w:jc w:val="center"/>
              <w:rPr>
                <w:rFonts w:cs="Times New Roman"/>
                <w:color w:val="000000"/>
                <w:szCs w:val="24"/>
              </w:rPr>
            </w:pPr>
            <w:r>
              <w:rPr>
                <w:rFonts w:cs="Times New Roman"/>
                <w:color w:val="000000"/>
                <w:szCs w:val="24"/>
              </w:rPr>
              <w:t>83,72</w:t>
            </w:r>
          </w:p>
        </w:tc>
        <w:tc>
          <w:tcPr>
            <w:tcW w:w="30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895BA2" w14:textId="77777777" w:rsidR="00C82BCC" w:rsidRDefault="00C82BCC" w:rsidP="00D66484">
            <w:pPr>
              <w:spacing w:after="0" w:line="240" w:lineRule="auto"/>
              <w:jc w:val="center"/>
              <w:rPr>
                <w:rFonts w:cs="Times New Roman"/>
                <w:color w:val="000000"/>
                <w:szCs w:val="24"/>
              </w:rPr>
            </w:pPr>
            <w:r>
              <w:rPr>
                <w:rFonts w:cs="Times New Roman"/>
                <w:color w:val="000000"/>
                <w:szCs w:val="24"/>
              </w:rPr>
              <w:t>21</w:t>
            </w:r>
          </w:p>
        </w:tc>
        <w:tc>
          <w:tcPr>
            <w:tcW w:w="14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8D4DBD" w14:textId="77777777" w:rsidR="00C82BCC" w:rsidRDefault="00C82BCC" w:rsidP="00D66484">
            <w:pPr>
              <w:spacing w:after="0" w:line="240" w:lineRule="auto"/>
              <w:jc w:val="center"/>
              <w:rPr>
                <w:rFonts w:cs="Times New Roman"/>
                <w:color w:val="000000"/>
                <w:szCs w:val="24"/>
              </w:rPr>
            </w:pPr>
            <w:r>
              <w:rPr>
                <w:rFonts w:cs="Times New Roman"/>
                <w:color w:val="000000"/>
                <w:szCs w:val="24"/>
              </w:rPr>
              <w:t>5,84</w:t>
            </w:r>
          </w:p>
        </w:tc>
        <w:tc>
          <w:tcPr>
            <w:tcW w:w="35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CEC171D"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A </w:t>
            </w:r>
          </w:p>
        </w:tc>
        <w:tc>
          <w:tcPr>
            <w:tcW w:w="36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83F8A00"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49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89E135D"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65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359D02C"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36BA160C" w14:textId="77777777" w:rsidTr="002F2624">
        <w:trPr>
          <w:trHeight w:val="300"/>
          <w:jc w:val="center"/>
        </w:trPr>
        <w:tc>
          <w:tcPr>
            <w:tcW w:w="81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D27E77"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Paztavi    </w:t>
            </w:r>
          </w:p>
        </w:tc>
        <w:tc>
          <w:tcPr>
            <w:tcW w:w="5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4A943D" w14:textId="77777777" w:rsidR="00C82BCC" w:rsidRDefault="00C82BCC" w:rsidP="00D66484">
            <w:pPr>
              <w:spacing w:after="0" w:line="240" w:lineRule="auto"/>
              <w:jc w:val="center"/>
              <w:rPr>
                <w:rFonts w:cs="Times New Roman"/>
                <w:color w:val="000000"/>
                <w:szCs w:val="24"/>
              </w:rPr>
            </w:pPr>
            <w:r>
              <w:rPr>
                <w:rFonts w:cs="Times New Roman"/>
                <w:color w:val="000000"/>
                <w:szCs w:val="24"/>
              </w:rPr>
              <w:t>153,12</w:t>
            </w:r>
          </w:p>
        </w:tc>
        <w:tc>
          <w:tcPr>
            <w:tcW w:w="30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25CF7C" w14:textId="77777777" w:rsidR="00C82BCC" w:rsidRDefault="00C82BCC" w:rsidP="00D66484">
            <w:pPr>
              <w:spacing w:after="0" w:line="240" w:lineRule="auto"/>
              <w:jc w:val="center"/>
              <w:rPr>
                <w:rFonts w:cs="Times New Roman"/>
                <w:color w:val="000000"/>
                <w:szCs w:val="24"/>
              </w:rPr>
            </w:pPr>
            <w:r>
              <w:rPr>
                <w:rFonts w:cs="Times New Roman"/>
                <w:color w:val="000000"/>
                <w:szCs w:val="24"/>
              </w:rPr>
              <w:t>6</w:t>
            </w:r>
          </w:p>
        </w:tc>
        <w:tc>
          <w:tcPr>
            <w:tcW w:w="14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95B465" w14:textId="77777777" w:rsidR="00C82BCC" w:rsidRDefault="00C82BCC" w:rsidP="00D66484">
            <w:pPr>
              <w:spacing w:after="0" w:line="240" w:lineRule="auto"/>
              <w:jc w:val="center"/>
              <w:rPr>
                <w:rFonts w:cs="Times New Roman"/>
                <w:color w:val="000000"/>
                <w:szCs w:val="24"/>
              </w:rPr>
            </w:pPr>
            <w:r>
              <w:rPr>
                <w:rFonts w:cs="Times New Roman"/>
                <w:color w:val="000000"/>
                <w:szCs w:val="24"/>
              </w:rPr>
              <w:t>10,34</w:t>
            </w:r>
          </w:p>
        </w:tc>
        <w:tc>
          <w:tcPr>
            <w:tcW w:w="35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365332"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226A1A"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B </w:t>
            </w:r>
          </w:p>
        </w:tc>
        <w:tc>
          <w:tcPr>
            <w:tcW w:w="49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4D1F1E"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65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AF9A2A"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5080453A" w14:textId="77777777" w:rsidTr="002F2624">
        <w:trPr>
          <w:trHeight w:val="300"/>
          <w:jc w:val="center"/>
        </w:trPr>
        <w:tc>
          <w:tcPr>
            <w:tcW w:w="81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BECAD91"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Imantag    </w:t>
            </w:r>
          </w:p>
        </w:tc>
        <w:tc>
          <w:tcPr>
            <w:tcW w:w="5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CB5A08" w14:textId="77777777" w:rsidR="00C82BCC" w:rsidRDefault="00C82BCC" w:rsidP="00D66484">
            <w:pPr>
              <w:spacing w:after="0" w:line="240" w:lineRule="auto"/>
              <w:jc w:val="center"/>
              <w:rPr>
                <w:rFonts w:cs="Times New Roman"/>
                <w:color w:val="000000"/>
                <w:szCs w:val="24"/>
              </w:rPr>
            </w:pPr>
            <w:r>
              <w:rPr>
                <w:rFonts w:cs="Times New Roman"/>
                <w:color w:val="000000"/>
                <w:szCs w:val="24"/>
              </w:rPr>
              <w:t>156,62</w:t>
            </w:r>
          </w:p>
        </w:tc>
        <w:tc>
          <w:tcPr>
            <w:tcW w:w="30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49D440" w14:textId="77777777" w:rsidR="00C82BCC" w:rsidRDefault="00C82BCC" w:rsidP="00D66484">
            <w:pPr>
              <w:spacing w:after="0" w:line="240" w:lineRule="auto"/>
              <w:jc w:val="center"/>
              <w:rPr>
                <w:rFonts w:cs="Times New Roman"/>
                <w:color w:val="000000"/>
                <w:szCs w:val="24"/>
              </w:rPr>
            </w:pPr>
            <w:r>
              <w:rPr>
                <w:rFonts w:cs="Times New Roman"/>
                <w:color w:val="000000"/>
                <w:szCs w:val="24"/>
              </w:rPr>
              <w:t>17</w:t>
            </w:r>
          </w:p>
        </w:tc>
        <w:tc>
          <w:tcPr>
            <w:tcW w:w="14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6071F2" w14:textId="77777777" w:rsidR="00C82BCC" w:rsidRDefault="00C82BCC" w:rsidP="00D66484">
            <w:pPr>
              <w:spacing w:after="0" w:line="240" w:lineRule="auto"/>
              <w:jc w:val="center"/>
              <w:rPr>
                <w:rFonts w:cs="Times New Roman"/>
                <w:color w:val="000000"/>
                <w:szCs w:val="24"/>
              </w:rPr>
            </w:pPr>
            <w:r>
              <w:rPr>
                <w:rFonts w:cs="Times New Roman"/>
                <w:color w:val="000000"/>
                <w:szCs w:val="24"/>
              </w:rPr>
              <w:t>6,16</w:t>
            </w:r>
          </w:p>
        </w:tc>
        <w:tc>
          <w:tcPr>
            <w:tcW w:w="35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000A75"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9E1786"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B </w:t>
            </w:r>
          </w:p>
        </w:tc>
        <w:tc>
          <w:tcPr>
            <w:tcW w:w="49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F95489"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65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2CD1FB"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3EA90E2D" w14:textId="77777777" w:rsidTr="002F2624">
        <w:trPr>
          <w:trHeight w:val="300"/>
          <w:jc w:val="center"/>
        </w:trPr>
        <w:tc>
          <w:tcPr>
            <w:tcW w:w="81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ECA101" w14:textId="77777777" w:rsidR="00C82BCC" w:rsidRDefault="00C82BCC" w:rsidP="00D66484">
            <w:pPr>
              <w:spacing w:after="0" w:line="240" w:lineRule="auto"/>
              <w:jc w:val="center"/>
              <w:rPr>
                <w:rFonts w:cs="Times New Roman"/>
                <w:color w:val="000000"/>
                <w:szCs w:val="24"/>
              </w:rPr>
            </w:pPr>
            <w:r>
              <w:rPr>
                <w:rFonts w:cs="Times New Roman"/>
                <w:color w:val="000000"/>
                <w:szCs w:val="24"/>
              </w:rPr>
              <w:t>El Sagrario</w:t>
            </w:r>
          </w:p>
        </w:tc>
        <w:tc>
          <w:tcPr>
            <w:tcW w:w="5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E98287" w14:textId="77777777" w:rsidR="00C82BCC" w:rsidRDefault="00C82BCC" w:rsidP="00D66484">
            <w:pPr>
              <w:spacing w:after="0" w:line="240" w:lineRule="auto"/>
              <w:jc w:val="center"/>
              <w:rPr>
                <w:rFonts w:cs="Times New Roman"/>
                <w:color w:val="000000"/>
                <w:szCs w:val="24"/>
              </w:rPr>
            </w:pPr>
            <w:r>
              <w:rPr>
                <w:rFonts w:cs="Times New Roman"/>
                <w:color w:val="000000"/>
                <w:szCs w:val="24"/>
              </w:rPr>
              <w:t>203,3</w:t>
            </w:r>
          </w:p>
        </w:tc>
        <w:tc>
          <w:tcPr>
            <w:tcW w:w="30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411C62" w14:textId="77777777" w:rsidR="00C82BCC" w:rsidRDefault="00C82BCC" w:rsidP="00D66484">
            <w:pPr>
              <w:spacing w:after="0" w:line="240" w:lineRule="auto"/>
              <w:jc w:val="center"/>
              <w:rPr>
                <w:rFonts w:cs="Times New Roman"/>
                <w:color w:val="000000"/>
                <w:szCs w:val="24"/>
              </w:rPr>
            </w:pPr>
            <w:r>
              <w:rPr>
                <w:rFonts w:cs="Times New Roman"/>
                <w:color w:val="000000"/>
                <w:szCs w:val="24"/>
              </w:rPr>
              <w:t>10</w:t>
            </w:r>
          </w:p>
        </w:tc>
        <w:tc>
          <w:tcPr>
            <w:tcW w:w="14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EA9CF0" w14:textId="77777777" w:rsidR="00C82BCC" w:rsidRDefault="00C82BCC" w:rsidP="00D66484">
            <w:pPr>
              <w:spacing w:after="0" w:line="240" w:lineRule="auto"/>
              <w:jc w:val="center"/>
              <w:rPr>
                <w:rFonts w:cs="Times New Roman"/>
                <w:color w:val="000000"/>
                <w:szCs w:val="24"/>
              </w:rPr>
            </w:pPr>
            <w:r>
              <w:rPr>
                <w:rFonts w:cs="Times New Roman"/>
                <w:color w:val="000000"/>
                <w:szCs w:val="24"/>
              </w:rPr>
              <w:t>8,01</w:t>
            </w:r>
          </w:p>
        </w:tc>
        <w:tc>
          <w:tcPr>
            <w:tcW w:w="35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938C02"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6F2D6C"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49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2E7C74"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C </w:t>
            </w:r>
          </w:p>
        </w:tc>
        <w:tc>
          <w:tcPr>
            <w:tcW w:w="65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691721"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21B2B1FD" w14:textId="77777777" w:rsidTr="002F2624">
        <w:trPr>
          <w:trHeight w:val="300"/>
          <w:jc w:val="center"/>
        </w:trPr>
        <w:tc>
          <w:tcPr>
            <w:tcW w:w="81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691AF3C"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Ilumán     </w:t>
            </w:r>
          </w:p>
        </w:tc>
        <w:tc>
          <w:tcPr>
            <w:tcW w:w="5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FC774C" w14:textId="77777777" w:rsidR="00C82BCC" w:rsidRDefault="00C82BCC" w:rsidP="00D66484">
            <w:pPr>
              <w:spacing w:after="0" w:line="240" w:lineRule="auto"/>
              <w:jc w:val="center"/>
              <w:rPr>
                <w:rFonts w:cs="Times New Roman"/>
                <w:color w:val="000000"/>
                <w:szCs w:val="24"/>
              </w:rPr>
            </w:pPr>
            <w:r>
              <w:rPr>
                <w:rFonts w:cs="Times New Roman"/>
                <w:color w:val="000000"/>
                <w:szCs w:val="24"/>
              </w:rPr>
              <w:t>266,09</w:t>
            </w:r>
          </w:p>
        </w:tc>
        <w:tc>
          <w:tcPr>
            <w:tcW w:w="30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798B07" w14:textId="77777777" w:rsidR="00C82BCC" w:rsidRDefault="00C82BCC" w:rsidP="00D66484">
            <w:pPr>
              <w:spacing w:after="0" w:line="240" w:lineRule="auto"/>
              <w:jc w:val="center"/>
              <w:rPr>
                <w:rFonts w:cs="Times New Roman"/>
                <w:color w:val="000000"/>
                <w:szCs w:val="24"/>
              </w:rPr>
            </w:pPr>
            <w:r>
              <w:rPr>
                <w:rFonts w:cs="Times New Roman"/>
                <w:color w:val="000000"/>
                <w:szCs w:val="24"/>
              </w:rPr>
              <w:t>15</w:t>
            </w:r>
          </w:p>
        </w:tc>
        <w:tc>
          <w:tcPr>
            <w:tcW w:w="14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D78560" w14:textId="77777777" w:rsidR="00C82BCC" w:rsidRDefault="00C82BCC" w:rsidP="00D66484">
            <w:pPr>
              <w:spacing w:after="0" w:line="240" w:lineRule="auto"/>
              <w:jc w:val="center"/>
              <w:rPr>
                <w:rFonts w:cs="Times New Roman"/>
                <w:color w:val="000000"/>
                <w:szCs w:val="24"/>
              </w:rPr>
            </w:pPr>
            <w:r>
              <w:rPr>
                <w:rFonts w:cs="Times New Roman"/>
                <w:color w:val="000000"/>
                <w:szCs w:val="24"/>
              </w:rPr>
              <w:t>6,82</w:t>
            </w:r>
          </w:p>
        </w:tc>
        <w:tc>
          <w:tcPr>
            <w:tcW w:w="35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249B0D"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5D2036"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49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A96CF8"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65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C62628"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D </w:t>
            </w:r>
          </w:p>
        </w:tc>
      </w:tr>
    </w:tbl>
    <w:p w14:paraId="5BC5A5FB" w14:textId="77777777" w:rsidR="00D66484" w:rsidRDefault="00C82BCC" w:rsidP="00D66484">
      <w:pPr>
        <w:autoSpaceDE w:val="0"/>
        <w:autoSpaceDN w:val="0"/>
        <w:adjustRightInd w:val="0"/>
        <w:spacing w:after="0" w:line="360" w:lineRule="auto"/>
        <w:rPr>
          <w:rFonts w:cs="Times New Roman"/>
          <w:szCs w:val="24"/>
        </w:rPr>
      </w:pPr>
      <w:r>
        <w:rPr>
          <w:rFonts w:cs="Times New Roman"/>
          <w:szCs w:val="24"/>
        </w:rPr>
        <w:t xml:space="preserve"> Medias con una letra común no son significativamente diferentes (p &gt; 0,0</w:t>
      </w:r>
      <w:bookmarkStart w:id="1788" w:name="_Toc72704640"/>
      <w:bookmarkStart w:id="1789" w:name="_Toc72706346"/>
      <w:bookmarkStart w:id="1790" w:name="_Toc72741296"/>
      <w:bookmarkStart w:id="1791" w:name="_Toc72742094"/>
      <w:bookmarkStart w:id="1792" w:name="_Toc72881250"/>
      <w:bookmarkStart w:id="1793" w:name="_Toc72882703"/>
      <w:bookmarkStart w:id="1794" w:name="_Toc75606490"/>
      <w:bookmarkStart w:id="1795" w:name="_Toc75612815"/>
      <w:bookmarkStart w:id="1796" w:name="_Toc75679971"/>
      <w:bookmarkStart w:id="1797" w:name="_Toc75702579"/>
      <w:r w:rsidR="002F2624">
        <w:rPr>
          <w:rFonts w:cs="Times New Roman"/>
          <w:szCs w:val="24"/>
        </w:rPr>
        <w:t>5)</w:t>
      </w:r>
      <w:bookmarkStart w:id="1798" w:name="_Toc79314101"/>
      <w:bookmarkEnd w:id="1788"/>
      <w:bookmarkEnd w:id="1789"/>
      <w:bookmarkEnd w:id="1790"/>
      <w:bookmarkEnd w:id="1791"/>
      <w:bookmarkEnd w:id="1792"/>
      <w:bookmarkEnd w:id="1793"/>
      <w:bookmarkEnd w:id="1794"/>
      <w:bookmarkEnd w:id="1795"/>
      <w:bookmarkEnd w:id="1796"/>
      <w:bookmarkEnd w:id="1797"/>
    </w:p>
    <w:p w14:paraId="417EA923" w14:textId="7113117E" w:rsidR="002F2624" w:rsidRPr="002F2624" w:rsidRDefault="002F2624" w:rsidP="00D66484">
      <w:pPr>
        <w:autoSpaceDE w:val="0"/>
        <w:autoSpaceDN w:val="0"/>
        <w:adjustRightInd w:val="0"/>
        <w:spacing w:before="360" w:after="0" w:line="360" w:lineRule="auto"/>
        <w:rPr>
          <w:rFonts w:cs="Times New Roman"/>
          <w:szCs w:val="24"/>
        </w:rPr>
      </w:pPr>
      <w:r w:rsidRPr="002F2624">
        <w:rPr>
          <w:rFonts w:cs="Times New Roman"/>
          <w:b/>
          <w:szCs w:val="24"/>
        </w:rPr>
        <w:t xml:space="preserve">Cuadro </w:t>
      </w:r>
      <w:r w:rsidRPr="002F2624">
        <w:rPr>
          <w:rFonts w:cs="Times New Roman"/>
          <w:b/>
          <w:szCs w:val="24"/>
        </w:rPr>
        <w:fldChar w:fldCharType="begin"/>
      </w:r>
      <w:r w:rsidRPr="002F2624">
        <w:rPr>
          <w:rFonts w:cs="Times New Roman"/>
          <w:b/>
          <w:szCs w:val="24"/>
        </w:rPr>
        <w:instrText xml:space="preserve"> SEQ Cuadro \* ARABIC </w:instrText>
      </w:r>
      <w:r w:rsidRPr="002F2624">
        <w:rPr>
          <w:rFonts w:cs="Times New Roman"/>
          <w:b/>
          <w:szCs w:val="24"/>
        </w:rPr>
        <w:fldChar w:fldCharType="separate"/>
      </w:r>
      <w:r w:rsidR="000D1F55">
        <w:rPr>
          <w:rFonts w:cs="Times New Roman"/>
          <w:b/>
          <w:noProof/>
          <w:szCs w:val="24"/>
        </w:rPr>
        <w:t>109</w:t>
      </w:r>
      <w:r w:rsidRPr="002F2624">
        <w:rPr>
          <w:rFonts w:cs="Times New Roman"/>
          <w:b/>
          <w:szCs w:val="24"/>
        </w:rPr>
        <w:fldChar w:fldCharType="end"/>
      </w:r>
      <w:r w:rsidRPr="002F2624">
        <w:rPr>
          <w:rFonts w:cs="Times New Roman"/>
          <w:b/>
          <w:szCs w:val="24"/>
        </w:rPr>
        <w:t>.</w:t>
      </w:r>
      <w:r w:rsidRPr="002F2624">
        <w:rPr>
          <w:rFonts w:cs="Times New Roman"/>
          <w:szCs w:val="24"/>
        </w:rPr>
        <w:t xml:space="preserve"> Absorción total de nitrógeno de maíz suave para diversas dosis de nitrógeno evaluadas en la provincia de Imbabura 2010-2015.</w:t>
      </w:r>
      <w:bookmarkEnd w:id="1798"/>
    </w:p>
    <w:tbl>
      <w:tblPr>
        <w:tblW w:w="5000" w:type="pct"/>
        <w:tblCellMar>
          <w:left w:w="0" w:type="dxa"/>
          <w:right w:w="0" w:type="dxa"/>
        </w:tblCellMar>
        <w:tblLook w:val="04A0" w:firstRow="1" w:lastRow="0" w:firstColumn="1" w:lastColumn="0" w:noHBand="0" w:noVBand="1"/>
      </w:tblPr>
      <w:tblGrid>
        <w:gridCol w:w="2083"/>
        <w:gridCol w:w="946"/>
        <w:gridCol w:w="396"/>
        <w:gridCol w:w="1663"/>
        <w:gridCol w:w="301"/>
        <w:gridCol w:w="485"/>
        <w:gridCol w:w="615"/>
        <w:gridCol w:w="615"/>
        <w:gridCol w:w="823"/>
      </w:tblGrid>
      <w:tr w:rsidR="00C82BCC" w14:paraId="434CCC15" w14:textId="77777777" w:rsidTr="002F2624">
        <w:trPr>
          <w:trHeight w:val="300"/>
        </w:trPr>
        <w:tc>
          <w:tcPr>
            <w:tcW w:w="131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E0C186"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Dosis N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9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B6D2153"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Medias</w:t>
            </w:r>
          </w:p>
        </w:tc>
        <w:tc>
          <w:tcPr>
            <w:tcW w:w="25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4A43981"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n </w:t>
            </w:r>
          </w:p>
        </w:tc>
        <w:tc>
          <w:tcPr>
            <w:tcW w:w="104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B3EE73A"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90"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57395BFC"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  </w:t>
            </w:r>
          </w:p>
        </w:tc>
        <w:tc>
          <w:tcPr>
            <w:tcW w:w="306"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4E8AAA10"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  </w:t>
            </w:r>
          </w:p>
        </w:tc>
        <w:tc>
          <w:tcPr>
            <w:tcW w:w="388"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8AB07A6"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  Lsd</w:t>
            </w:r>
          </w:p>
        </w:tc>
        <w:tc>
          <w:tcPr>
            <w:tcW w:w="388"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4512AFF" w14:textId="77777777" w:rsidR="00C82BCC" w:rsidRDefault="00C82BCC" w:rsidP="00D66484">
            <w:pPr>
              <w:spacing w:after="0" w:line="240" w:lineRule="auto"/>
              <w:rPr>
                <w:rFonts w:cs="Times New Roman"/>
                <w:b/>
                <w:bCs/>
                <w:color w:val="000000"/>
                <w:szCs w:val="24"/>
              </w:rPr>
            </w:pPr>
            <w:r>
              <w:rPr>
                <w:rFonts w:cs="Times New Roman"/>
                <w:b/>
                <w:bCs/>
                <w:color w:val="000000"/>
                <w:szCs w:val="24"/>
              </w:rPr>
              <w:t xml:space="preserve">0,05  </w:t>
            </w:r>
          </w:p>
        </w:tc>
        <w:tc>
          <w:tcPr>
            <w:tcW w:w="51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8EB3B40"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  </w:t>
            </w:r>
          </w:p>
        </w:tc>
      </w:tr>
      <w:tr w:rsidR="00C82BCC" w14:paraId="221A8E8E" w14:textId="77777777" w:rsidTr="002F2624">
        <w:trPr>
          <w:trHeight w:val="300"/>
        </w:trPr>
        <w:tc>
          <w:tcPr>
            <w:tcW w:w="131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3E268E" w14:textId="77777777" w:rsidR="00C82BCC" w:rsidRDefault="00C82BCC" w:rsidP="00D66484">
            <w:pPr>
              <w:spacing w:after="0" w:line="240" w:lineRule="auto"/>
              <w:jc w:val="center"/>
              <w:rPr>
                <w:rFonts w:cs="Times New Roman"/>
                <w:color w:val="000000"/>
                <w:szCs w:val="24"/>
              </w:rPr>
            </w:pPr>
            <w:r>
              <w:rPr>
                <w:rFonts w:cs="Times New Roman"/>
                <w:color w:val="000000"/>
                <w:szCs w:val="24"/>
              </w:rPr>
              <w:t>0</w:t>
            </w:r>
          </w:p>
        </w:tc>
        <w:tc>
          <w:tcPr>
            <w:tcW w:w="59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5A0921" w14:textId="77777777" w:rsidR="00C82BCC" w:rsidRDefault="00C82BCC" w:rsidP="00D66484">
            <w:pPr>
              <w:spacing w:after="0" w:line="240" w:lineRule="auto"/>
              <w:jc w:val="center"/>
              <w:rPr>
                <w:rFonts w:cs="Times New Roman"/>
                <w:color w:val="000000"/>
                <w:szCs w:val="24"/>
              </w:rPr>
            </w:pPr>
            <w:r>
              <w:rPr>
                <w:rFonts w:cs="Times New Roman"/>
                <w:color w:val="000000"/>
                <w:szCs w:val="24"/>
              </w:rPr>
              <w:t>137,12</w:t>
            </w:r>
          </w:p>
        </w:tc>
        <w:tc>
          <w:tcPr>
            <w:tcW w:w="2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1CEE10" w14:textId="77777777" w:rsidR="00C82BCC" w:rsidRDefault="00C82BCC" w:rsidP="00D66484">
            <w:pPr>
              <w:spacing w:after="0" w:line="240" w:lineRule="auto"/>
              <w:jc w:val="center"/>
              <w:rPr>
                <w:rFonts w:cs="Times New Roman"/>
                <w:color w:val="000000"/>
                <w:szCs w:val="24"/>
              </w:rPr>
            </w:pPr>
            <w:r>
              <w:rPr>
                <w:rFonts w:cs="Times New Roman"/>
                <w:color w:val="000000"/>
                <w:szCs w:val="24"/>
              </w:rPr>
              <w:t>23</w:t>
            </w:r>
          </w:p>
        </w:tc>
        <w:tc>
          <w:tcPr>
            <w:tcW w:w="10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E5A2B2" w14:textId="77777777" w:rsidR="00C82BCC" w:rsidRDefault="00C82BCC" w:rsidP="00D66484">
            <w:pPr>
              <w:spacing w:after="0" w:line="240" w:lineRule="auto"/>
              <w:jc w:val="center"/>
              <w:rPr>
                <w:rFonts w:cs="Times New Roman"/>
                <w:color w:val="000000"/>
                <w:szCs w:val="24"/>
              </w:rPr>
            </w:pPr>
            <w:r>
              <w:rPr>
                <w:rFonts w:cs="Times New Roman"/>
                <w:color w:val="000000"/>
                <w:szCs w:val="24"/>
              </w:rPr>
              <w:t>5,41</w:t>
            </w:r>
          </w:p>
        </w:tc>
        <w:tc>
          <w:tcPr>
            <w:tcW w:w="19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09F5A10"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A </w:t>
            </w:r>
          </w:p>
        </w:tc>
        <w:tc>
          <w:tcPr>
            <w:tcW w:w="30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C4ED1A9"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8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6CDFC91"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8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75EF4AE"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1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0DDA549"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0C9D9802" w14:textId="77777777" w:rsidTr="002F2624">
        <w:trPr>
          <w:trHeight w:val="300"/>
        </w:trPr>
        <w:tc>
          <w:tcPr>
            <w:tcW w:w="131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FDB976E" w14:textId="77777777" w:rsidR="00C82BCC" w:rsidRDefault="00C82BCC" w:rsidP="00D66484">
            <w:pPr>
              <w:spacing w:after="0" w:line="240" w:lineRule="auto"/>
              <w:jc w:val="center"/>
              <w:rPr>
                <w:rFonts w:cs="Times New Roman"/>
                <w:color w:val="000000"/>
                <w:szCs w:val="24"/>
              </w:rPr>
            </w:pPr>
            <w:r>
              <w:rPr>
                <w:rFonts w:cs="Times New Roman"/>
                <w:color w:val="000000"/>
                <w:szCs w:val="24"/>
              </w:rPr>
              <w:t>50</w:t>
            </w:r>
          </w:p>
        </w:tc>
        <w:tc>
          <w:tcPr>
            <w:tcW w:w="59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4D397E" w14:textId="77777777" w:rsidR="00C82BCC" w:rsidRDefault="00C82BCC" w:rsidP="00D66484">
            <w:pPr>
              <w:spacing w:after="0" w:line="240" w:lineRule="auto"/>
              <w:jc w:val="center"/>
              <w:rPr>
                <w:rFonts w:cs="Times New Roman"/>
                <w:color w:val="000000"/>
                <w:szCs w:val="24"/>
              </w:rPr>
            </w:pPr>
            <w:r>
              <w:rPr>
                <w:rFonts w:cs="Times New Roman"/>
                <w:color w:val="000000"/>
                <w:szCs w:val="24"/>
              </w:rPr>
              <w:t>142,75</w:t>
            </w:r>
          </w:p>
        </w:tc>
        <w:tc>
          <w:tcPr>
            <w:tcW w:w="2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A36B37" w14:textId="77777777" w:rsidR="00C82BCC" w:rsidRDefault="00C82BCC" w:rsidP="00D66484">
            <w:pPr>
              <w:spacing w:after="0" w:line="240" w:lineRule="auto"/>
              <w:jc w:val="center"/>
              <w:rPr>
                <w:rFonts w:cs="Times New Roman"/>
                <w:color w:val="000000"/>
                <w:szCs w:val="24"/>
              </w:rPr>
            </w:pPr>
            <w:r>
              <w:rPr>
                <w:rFonts w:cs="Times New Roman"/>
                <w:color w:val="000000"/>
                <w:szCs w:val="24"/>
              </w:rPr>
              <w:t>4</w:t>
            </w:r>
          </w:p>
        </w:tc>
        <w:tc>
          <w:tcPr>
            <w:tcW w:w="10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551204" w14:textId="77777777" w:rsidR="00C82BCC" w:rsidRDefault="00C82BCC" w:rsidP="00D66484">
            <w:pPr>
              <w:spacing w:after="0" w:line="240" w:lineRule="auto"/>
              <w:jc w:val="center"/>
              <w:rPr>
                <w:rFonts w:cs="Times New Roman"/>
                <w:color w:val="000000"/>
                <w:szCs w:val="24"/>
              </w:rPr>
            </w:pPr>
            <w:r>
              <w:rPr>
                <w:rFonts w:cs="Times New Roman"/>
                <w:color w:val="000000"/>
                <w:szCs w:val="24"/>
              </w:rPr>
              <w:t>12,66</w:t>
            </w:r>
          </w:p>
        </w:tc>
        <w:tc>
          <w:tcPr>
            <w:tcW w:w="1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A1192B"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A </w:t>
            </w:r>
          </w:p>
        </w:tc>
        <w:tc>
          <w:tcPr>
            <w:tcW w:w="3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4F47E2"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B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858AF5"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30BB63"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1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918B67"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46780BD2" w14:textId="77777777" w:rsidTr="002F2624">
        <w:trPr>
          <w:trHeight w:val="300"/>
        </w:trPr>
        <w:tc>
          <w:tcPr>
            <w:tcW w:w="131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DD30F0" w14:textId="77777777" w:rsidR="00C82BCC" w:rsidRDefault="00C82BCC" w:rsidP="00D66484">
            <w:pPr>
              <w:spacing w:after="0" w:line="240" w:lineRule="auto"/>
              <w:jc w:val="center"/>
              <w:rPr>
                <w:rFonts w:cs="Times New Roman"/>
                <w:color w:val="000000"/>
                <w:szCs w:val="24"/>
              </w:rPr>
            </w:pPr>
            <w:r>
              <w:rPr>
                <w:rFonts w:cs="Times New Roman"/>
                <w:color w:val="000000"/>
                <w:szCs w:val="24"/>
              </w:rPr>
              <w:t>100</w:t>
            </w:r>
          </w:p>
        </w:tc>
        <w:tc>
          <w:tcPr>
            <w:tcW w:w="59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AB211C" w14:textId="77777777" w:rsidR="00C82BCC" w:rsidRDefault="00C82BCC" w:rsidP="00D66484">
            <w:pPr>
              <w:spacing w:after="0" w:line="240" w:lineRule="auto"/>
              <w:jc w:val="center"/>
              <w:rPr>
                <w:rFonts w:cs="Times New Roman"/>
                <w:color w:val="000000"/>
                <w:szCs w:val="24"/>
              </w:rPr>
            </w:pPr>
            <w:r>
              <w:rPr>
                <w:rFonts w:cs="Times New Roman"/>
                <w:color w:val="000000"/>
                <w:szCs w:val="24"/>
              </w:rPr>
              <w:t>160,7</w:t>
            </w:r>
          </w:p>
        </w:tc>
        <w:tc>
          <w:tcPr>
            <w:tcW w:w="2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21F24F" w14:textId="77777777" w:rsidR="00C82BCC" w:rsidRDefault="00C82BCC" w:rsidP="00D66484">
            <w:pPr>
              <w:spacing w:after="0" w:line="240" w:lineRule="auto"/>
              <w:jc w:val="center"/>
              <w:rPr>
                <w:rFonts w:cs="Times New Roman"/>
                <w:color w:val="000000"/>
                <w:szCs w:val="24"/>
              </w:rPr>
            </w:pPr>
            <w:r>
              <w:rPr>
                <w:rFonts w:cs="Times New Roman"/>
                <w:color w:val="000000"/>
                <w:szCs w:val="24"/>
              </w:rPr>
              <w:t>19</w:t>
            </w:r>
          </w:p>
        </w:tc>
        <w:tc>
          <w:tcPr>
            <w:tcW w:w="10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5990F3" w14:textId="77777777" w:rsidR="00C82BCC" w:rsidRDefault="00C82BCC" w:rsidP="00D66484">
            <w:pPr>
              <w:spacing w:after="0" w:line="240" w:lineRule="auto"/>
              <w:jc w:val="center"/>
              <w:rPr>
                <w:rFonts w:cs="Times New Roman"/>
                <w:color w:val="000000"/>
                <w:szCs w:val="24"/>
              </w:rPr>
            </w:pPr>
            <w:r>
              <w:rPr>
                <w:rFonts w:cs="Times New Roman"/>
                <w:color w:val="000000"/>
                <w:szCs w:val="24"/>
              </w:rPr>
              <w:t>5,96</w:t>
            </w:r>
          </w:p>
        </w:tc>
        <w:tc>
          <w:tcPr>
            <w:tcW w:w="1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1A825C"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07D339"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B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3EF657"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C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7D5021"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1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77EAD0"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41E29C72" w14:textId="77777777" w:rsidTr="002F2624">
        <w:trPr>
          <w:trHeight w:val="300"/>
        </w:trPr>
        <w:tc>
          <w:tcPr>
            <w:tcW w:w="131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6A6477" w14:textId="77777777" w:rsidR="00C82BCC" w:rsidRDefault="00C82BCC" w:rsidP="00D66484">
            <w:pPr>
              <w:spacing w:after="0" w:line="240" w:lineRule="auto"/>
              <w:jc w:val="center"/>
              <w:rPr>
                <w:rFonts w:cs="Times New Roman"/>
                <w:color w:val="000000"/>
                <w:szCs w:val="24"/>
              </w:rPr>
            </w:pPr>
            <w:r>
              <w:rPr>
                <w:rFonts w:cs="Times New Roman"/>
                <w:color w:val="000000"/>
                <w:szCs w:val="24"/>
              </w:rPr>
              <w:t>200</w:t>
            </w:r>
          </w:p>
        </w:tc>
        <w:tc>
          <w:tcPr>
            <w:tcW w:w="59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9CCF4B" w14:textId="77777777" w:rsidR="00C82BCC" w:rsidRDefault="00C82BCC" w:rsidP="00D66484">
            <w:pPr>
              <w:spacing w:after="0" w:line="240" w:lineRule="auto"/>
              <w:jc w:val="center"/>
              <w:rPr>
                <w:rFonts w:cs="Times New Roman"/>
                <w:color w:val="000000"/>
                <w:szCs w:val="24"/>
              </w:rPr>
            </w:pPr>
            <w:r>
              <w:rPr>
                <w:rFonts w:cs="Times New Roman"/>
                <w:color w:val="000000"/>
                <w:szCs w:val="24"/>
              </w:rPr>
              <w:t>169,22</w:t>
            </w:r>
          </w:p>
        </w:tc>
        <w:tc>
          <w:tcPr>
            <w:tcW w:w="2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C95494" w14:textId="77777777" w:rsidR="00C82BCC" w:rsidRDefault="00C82BCC" w:rsidP="00D66484">
            <w:pPr>
              <w:spacing w:after="0" w:line="240" w:lineRule="auto"/>
              <w:jc w:val="center"/>
              <w:rPr>
                <w:rFonts w:cs="Times New Roman"/>
                <w:color w:val="000000"/>
                <w:szCs w:val="24"/>
              </w:rPr>
            </w:pPr>
            <w:r>
              <w:rPr>
                <w:rFonts w:cs="Times New Roman"/>
                <w:color w:val="000000"/>
                <w:szCs w:val="24"/>
              </w:rPr>
              <w:t>3</w:t>
            </w:r>
          </w:p>
        </w:tc>
        <w:tc>
          <w:tcPr>
            <w:tcW w:w="10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BE6D8F" w14:textId="77777777" w:rsidR="00C82BCC" w:rsidRDefault="00C82BCC" w:rsidP="00D66484">
            <w:pPr>
              <w:spacing w:after="0" w:line="240" w:lineRule="auto"/>
              <w:jc w:val="center"/>
              <w:rPr>
                <w:rFonts w:cs="Times New Roman"/>
                <w:color w:val="000000"/>
                <w:szCs w:val="24"/>
              </w:rPr>
            </w:pPr>
            <w:r>
              <w:rPr>
                <w:rFonts w:cs="Times New Roman"/>
                <w:color w:val="000000"/>
                <w:szCs w:val="24"/>
              </w:rPr>
              <w:t>14,62</w:t>
            </w:r>
          </w:p>
        </w:tc>
        <w:tc>
          <w:tcPr>
            <w:tcW w:w="1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7DDED8"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DABA6A"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B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2E6C52"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C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FE4A46"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1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743A04"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7994967E" w14:textId="77777777" w:rsidTr="002F2624">
        <w:trPr>
          <w:trHeight w:val="300"/>
        </w:trPr>
        <w:tc>
          <w:tcPr>
            <w:tcW w:w="131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9897F5" w14:textId="77777777" w:rsidR="00C82BCC" w:rsidRDefault="00C82BCC" w:rsidP="00D66484">
            <w:pPr>
              <w:spacing w:after="0" w:line="240" w:lineRule="auto"/>
              <w:jc w:val="center"/>
              <w:rPr>
                <w:rFonts w:cs="Times New Roman"/>
                <w:color w:val="000000"/>
                <w:szCs w:val="24"/>
              </w:rPr>
            </w:pPr>
            <w:r>
              <w:rPr>
                <w:rFonts w:cs="Times New Roman"/>
                <w:color w:val="000000"/>
                <w:szCs w:val="24"/>
              </w:rPr>
              <w:t>150</w:t>
            </w:r>
          </w:p>
        </w:tc>
        <w:tc>
          <w:tcPr>
            <w:tcW w:w="59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0A63FA" w14:textId="77777777" w:rsidR="00C82BCC" w:rsidRDefault="00C82BCC" w:rsidP="00D66484">
            <w:pPr>
              <w:spacing w:after="0" w:line="240" w:lineRule="auto"/>
              <w:jc w:val="center"/>
              <w:rPr>
                <w:rFonts w:cs="Times New Roman"/>
                <w:color w:val="000000"/>
                <w:szCs w:val="24"/>
              </w:rPr>
            </w:pPr>
            <w:r>
              <w:rPr>
                <w:rFonts w:cs="Times New Roman"/>
                <w:color w:val="000000"/>
                <w:szCs w:val="24"/>
              </w:rPr>
              <w:t>184,4</w:t>
            </w:r>
          </w:p>
        </w:tc>
        <w:tc>
          <w:tcPr>
            <w:tcW w:w="2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AA3CB8" w14:textId="77777777" w:rsidR="00C82BCC" w:rsidRDefault="00C82BCC" w:rsidP="00D66484">
            <w:pPr>
              <w:spacing w:after="0" w:line="240" w:lineRule="auto"/>
              <w:jc w:val="center"/>
              <w:rPr>
                <w:rFonts w:cs="Times New Roman"/>
                <w:color w:val="000000"/>
                <w:szCs w:val="24"/>
              </w:rPr>
            </w:pPr>
            <w:r>
              <w:rPr>
                <w:rFonts w:cs="Times New Roman"/>
                <w:color w:val="000000"/>
                <w:szCs w:val="24"/>
              </w:rPr>
              <w:t>3</w:t>
            </w:r>
          </w:p>
        </w:tc>
        <w:tc>
          <w:tcPr>
            <w:tcW w:w="10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E842F2" w14:textId="77777777" w:rsidR="00C82BCC" w:rsidRDefault="00C82BCC" w:rsidP="00D66484">
            <w:pPr>
              <w:spacing w:after="0" w:line="240" w:lineRule="auto"/>
              <w:jc w:val="center"/>
              <w:rPr>
                <w:rFonts w:cs="Times New Roman"/>
                <w:color w:val="000000"/>
                <w:szCs w:val="24"/>
              </w:rPr>
            </w:pPr>
            <w:r>
              <w:rPr>
                <w:rFonts w:cs="Times New Roman"/>
                <w:color w:val="000000"/>
                <w:szCs w:val="24"/>
              </w:rPr>
              <w:t>14,62</w:t>
            </w:r>
          </w:p>
        </w:tc>
        <w:tc>
          <w:tcPr>
            <w:tcW w:w="1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5D3187"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41EC4C"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12FACB"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C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2C401F"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1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A4C134"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289ACDC6" w14:textId="77777777" w:rsidTr="002F2624">
        <w:trPr>
          <w:trHeight w:val="300"/>
        </w:trPr>
        <w:tc>
          <w:tcPr>
            <w:tcW w:w="131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5E5F3A" w14:textId="77777777" w:rsidR="00C82BCC" w:rsidRDefault="00C82BCC" w:rsidP="00D66484">
            <w:pPr>
              <w:spacing w:after="0" w:line="240" w:lineRule="auto"/>
              <w:jc w:val="center"/>
              <w:rPr>
                <w:rFonts w:cs="Times New Roman"/>
                <w:color w:val="000000"/>
                <w:szCs w:val="24"/>
              </w:rPr>
            </w:pPr>
            <w:r>
              <w:rPr>
                <w:rFonts w:cs="Times New Roman"/>
                <w:color w:val="000000"/>
                <w:szCs w:val="24"/>
              </w:rPr>
              <w:t>120</w:t>
            </w:r>
          </w:p>
        </w:tc>
        <w:tc>
          <w:tcPr>
            <w:tcW w:w="59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780CDC" w14:textId="77777777" w:rsidR="00C82BCC" w:rsidRDefault="00C82BCC" w:rsidP="00D66484">
            <w:pPr>
              <w:spacing w:after="0" w:line="240" w:lineRule="auto"/>
              <w:jc w:val="center"/>
              <w:rPr>
                <w:rFonts w:cs="Times New Roman"/>
                <w:color w:val="000000"/>
                <w:szCs w:val="24"/>
              </w:rPr>
            </w:pPr>
            <w:r>
              <w:rPr>
                <w:rFonts w:cs="Times New Roman"/>
                <w:color w:val="000000"/>
                <w:szCs w:val="24"/>
              </w:rPr>
              <w:t>222,99</w:t>
            </w:r>
          </w:p>
        </w:tc>
        <w:tc>
          <w:tcPr>
            <w:tcW w:w="2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923720" w14:textId="77777777" w:rsidR="00C82BCC" w:rsidRDefault="00C82BCC" w:rsidP="00D66484">
            <w:pPr>
              <w:spacing w:after="0" w:line="240" w:lineRule="auto"/>
              <w:jc w:val="center"/>
              <w:rPr>
                <w:rFonts w:cs="Times New Roman"/>
                <w:color w:val="000000"/>
                <w:szCs w:val="24"/>
              </w:rPr>
            </w:pPr>
            <w:r>
              <w:rPr>
                <w:rFonts w:cs="Times New Roman"/>
                <w:color w:val="000000"/>
                <w:szCs w:val="24"/>
              </w:rPr>
              <w:t>16</w:t>
            </w:r>
          </w:p>
        </w:tc>
        <w:tc>
          <w:tcPr>
            <w:tcW w:w="10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59B358" w14:textId="77777777" w:rsidR="00C82BCC" w:rsidRDefault="00C82BCC" w:rsidP="00D66484">
            <w:pPr>
              <w:spacing w:after="0" w:line="240" w:lineRule="auto"/>
              <w:jc w:val="center"/>
              <w:rPr>
                <w:rFonts w:cs="Times New Roman"/>
                <w:color w:val="000000"/>
                <w:szCs w:val="24"/>
              </w:rPr>
            </w:pPr>
            <w:r>
              <w:rPr>
                <w:rFonts w:cs="Times New Roman"/>
                <w:color w:val="000000"/>
                <w:szCs w:val="24"/>
              </w:rPr>
              <w:t>6,59</w:t>
            </w:r>
          </w:p>
        </w:tc>
        <w:tc>
          <w:tcPr>
            <w:tcW w:w="1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422664"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C781A0"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C4B2EA"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38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108209"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D </w:t>
            </w:r>
          </w:p>
        </w:tc>
        <w:tc>
          <w:tcPr>
            <w:tcW w:w="51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599AF8"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bl>
    <w:p w14:paraId="190463DC" w14:textId="77777777" w:rsidR="00D66484" w:rsidRDefault="00C82BCC" w:rsidP="00D66484">
      <w:pPr>
        <w:autoSpaceDE w:val="0"/>
        <w:autoSpaceDN w:val="0"/>
        <w:adjustRightInd w:val="0"/>
        <w:spacing w:after="0" w:line="360" w:lineRule="auto"/>
        <w:rPr>
          <w:rFonts w:cs="Times New Roman"/>
          <w:szCs w:val="24"/>
        </w:rPr>
      </w:pPr>
      <w:r>
        <w:rPr>
          <w:rFonts w:cs="Times New Roman"/>
          <w:szCs w:val="24"/>
        </w:rPr>
        <w:t xml:space="preserve"> Medias con una letra común no son significa</w:t>
      </w:r>
      <w:r w:rsidR="002F2624">
        <w:rPr>
          <w:rFonts w:cs="Times New Roman"/>
          <w:szCs w:val="24"/>
        </w:rPr>
        <w:t>tivamente diferentes (p &gt; 0,05)</w:t>
      </w:r>
      <w:bookmarkStart w:id="1799" w:name="_Toc79314102"/>
    </w:p>
    <w:p w14:paraId="7BBD629F" w14:textId="1E1EC288" w:rsidR="002F2624" w:rsidRPr="00D66484" w:rsidRDefault="002F2624" w:rsidP="00D66484">
      <w:pPr>
        <w:autoSpaceDE w:val="0"/>
        <w:autoSpaceDN w:val="0"/>
        <w:adjustRightInd w:val="0"/>
        <w:spacing w:before="360" w:after="0" w:line="360" w:lineRule="auto"/>
        <w:rPr>
          <w:rFonts w:cs="Times New Roman"/>
          <w:szCs w:val="24"/>
        </w:rPr>
      </w:pPr>
      <w:r w:rsidRPr="002F2624">
        <w:rPr>
          <w:rFonts w:cs="Times New Roman"/>
          <w:b/>
          <w:szCs w:val="24"/>
        </w:rPr>
        <w:t xml:space="preserve">Cuadro </w:t>
      </w:r>
      <w:r w:rsidRPr="002F2624">
        <w:rPr>
          <w:rFonts w:cs="Times New Roman"/>
          <w:b/>
          <w:i/>
          <w:iCs/>
          <w:szCs w:val="24"/>
        </w:rPr>
        <w:fldChar w:fldCharType="begin"/>
      </w:r>
      <w:r w:rsidRPr="002F2624">
        <w:rPr>
          <w:rFonts w:cs="Times New Roman"/>
          <w:b/>
          <w:szCs w:val="24"/>
        </w:rPr>
        <w:instrText xml:space="preserve"> SEQ Cuadro \* ARABIC </w:instrText>
      </w:r>
      <w:r w:rsidRPr="002F2624">
        <w:rPr>
          <w:rFonts w:cs="Times New Roman"/>
          <w:b/>
          <w:i/>
          <w:iCs/>
          <w:szCs w:val="24"/>
        </w:rPr>
        <w:fldChar w:fldCharType="separate"/>
      </w:r>
      <w:r w:rsidR="000D1F55">
        <w:rPr>
          <w:rFonts w:cs="Times New Roman"/>
          <w:b/>
          <w:noProof/>
          <w:szCs w:val="24"/>
        </w:rPr>
        <w:t>110</w:t>
      </w:r>
      <w:r w:rsidRPr="002F2624">
        <w:rPr>
          <w:rFonts w:cs="Times New Roman"/>
          <w:b/>
          <w:i/>
          <w:iCs/>
          <w:szCs w:val="24"/>
        </w:rPr>
        <w:fldChar w:fldCharType="end"/>
      </w:r>
      <w:r w:rsidRPr="002F2624">
        <w:rPr>
          <w:rFonts w:cs="Times New Roman"/>
          <w:b/>
          <w:szCs w:val="24"/>
        </w:rPr>
        <w:t xml:space="preserve">. </w:t>
      </w:r>
      <w:r w:rsidRPr="002F2624">
        <w:rPr>
          <w:rFonts w:cs="Times New Roman"/>
          <w:szCs w:val="24"/>
        </w:rPr>
        <w:t>Absorción total de nitrógeno de maíz para diversas dosis de fósforo evaluados en la provincia de Imbabura, 2010-2015.</w:t>
      </w:r>
      <w:bookmarkEnd w:id="1799"/>
    </w:p>
    <w:tbl>
      <w:tblPr>
        <w:tblW w:w="5267" w:type="dxa"/>
        <w:jc w:val="center"/>
        <w:tblCellMar>
          <w:left w:w="70" w:type="dxa"/>
          <w:right w:w="70" w:type="dxa"/>
        </w:tblCellMar>
        <w:tblLook w:val="04A0" w:firstRow="1" w:lastRow="0" w:firstColumn="1" w:lastColumn="0" w:noHBand="0" w:noVBand="1"/>
      </w:tblPr>
      <w:tblGrid>
        <w:gridCol w:w="1980"/>
        <w:gridCol w:w="887"/>
        <w:gridCol w:w="672"/>
        <w:gridCol w:w="1728"/>
      </w:tblGrid>
      <w:tr w:rsidR="00C82BCC" w14:paraId="34BC9F2F" w14:textId="77777777" w:rsidTr="005247BF">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E662F58"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41331B29"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60A5C5B7"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529EE4CE"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0C79CB0F" w14:textId="77777777" w:rsidTr="005247B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3339A9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2DBDE4B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114,21</w:t>
            </w:r>
          </w:p>
        </w:tc>
        <w:tc>
          <w:tcPr>
            <w:tcW w:w="672" w:type="dxa"/>
            <w:tcBorders>
              <w:top w:val="nil"/>
              <w:left w:val="nil"/>
              <w:bottom w:val="single" w:sz="4" w:space="0" w:color="auto"/>
              <w:right w:val="single" w:sz="4" w:space="0" w:color="auto"/>
            </w:tcBorders>
            <w:noWrap/>
            <w:vAlign w:val="bottom"/>
            <w:hideMark/>
          </w:tcPr>
          <w:p w14:paraId="68FB850F"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28" w:type="dxa"/>
            <w:tcBorders>
              <w:top w:val="nil"/>
              <w:left w:val="nil"/>
              <w:bottom w:val="single" w:sz="4" w:space="0" w:color="auto"/>
              <w:right w:val="single" w:sz="4" w:space="0" w:color="auto"/>
            </w:tcBorders>
            <w:noWrap/>
            <w:vAlign w:val="bottom"/>
            <w:hideMark/>
          </w:tcPr>
          <w:p w14:paraId="142C8F15"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7,5</w:t>
            </w:r>
          </w:p>
        </w:tc>
      </w:tr>
      <w:tr w:rsidR="00C82BCC" w14:paraId="7BC4154F" w14:textId="77777777" w:rsidTr="005247B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76FBB4B"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887" w:type="dxa"/>
            <w:tcBorders>
              <w:top w:val="nil"/>
              <w:left w:val="nil"/>
              <w:bottom w:val="single" w:sz="4" w:space="0" w:color="auto"/>
              <w:right w:val="single" w:sz="4" w:space="0" w:color="auto"/>
            </w:tcBorders>
            <w:noWrap/>
            <w:vAlign w:val="bottom"/>
            <w:hideMark/>
          </w:tcPr>
          <w:p w14:paraId="5470F29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164,51</w:t>
            </w:r>
          </w:p>
        </w:tc>
        <w:tc>
          <w:tcPr>
            <w:tcW w:w="672" w:type="dxa"/>
            <w:tcBorders>
              <w:top w:val="nil"/>
              <w:left w:val="nil"/>
              <w:bottom w:val="single" w:sz="4" w:space="0" w:color="auto"/>
              <w:right w:val="single" w:sz="4" w:space="0" w:color="auto"/>
            </w:tcBorders>
            <w:noWrap/>
            <w:vAlign w:val="bottom"/>
            <w:hideMark/>
          </w:tcPr>
          <w:p w14:paraId="0C17ED4B"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0CF70694"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25,32</w:t>
            </w:r>
          </w:p>
        </w:tc>
      </w:tr>
      <w:tr w:rsidR="00C82BCC" w14:paraId="72DB151A" w14:textId="77777777" w:rsidTr="005247B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2C7264B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3B8ECBC6"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167,4</w:t>
            </w:r>
          </w:p>
        </w:tc>
        <w:tc>
          <w:tcPr>
            <w:tcW w:w="672" w:type="dxa"/>
            <w:tcBorders>
              <w:top w:val="nil"/>
              <w:left w:val="nil"/>
              <w:bottom w:val="single" w:sz="4" w:space="0" w:color="auto"/>
              <w:right w:val="single" w:sz="4" w:space="0" w:color="auto"/>
            </w:tcBorders>
            <w:noWrap/>
            <w:vAlign w:val="bottom"/>
            <w:hideMark/>
          </w:tcPr>
          <w:p w14:paraId="702C381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1728" w:type="dxa"/>
            <w:tcBorders>
              <w:top w:val="nil"/>
              <w:left w:val="nil"/>
              <w:bottom w:val="single" w:sz="4" w:space="0" w:color="auto"/>
              <w:right w:val="single" w:sz="4" w:space="0" w:color="auto"/>
            </w:tcBorders>
            <w:noWrap/>
            <w:vAlign w:val="bottom"/>
            <w:hideMark/>
          </w:tcPr>
          <w:p w14:paraId="6B714118"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5,56</w:t>
            </w:r>
          </w:p>
        </w:tc>
      </w:tr>
      <w:tr w:rsidR="00C82BCC" w14:paraId="6B44DF0A" w14:textId="77777777" w:rsidTr="005247B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9C5692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055ED302"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179,56</w:t>
            </w:r>
          </w:p>
        </w:tc>
        <w:tc>
          <w:tcPr>
            <w:tcW w:w="672" w:type="dxa"/>
            <w:tcBorders>
              <w:top w:val="nil"/>
              <w:left w:val="nil"/>
              <w:bottom w:val="single" w:sz="4" w:space="0" w:color="auto"/>
              <w:right w:val="single" w:sz="4" w:space="0" w:color="auto"/>
            </w:tcBorders>
            <w:noWrap/>
            <w:vAlign w:val="bottom"/>
            <w:hideMark/>
          </w:tcPr>
          <w:p w14:paraId="21D1BA2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1728" w:type="dxa"/>
            <w:tcBorders>
              <w:top w:val="nil"/>
              <w:left w:val="nil"/>
              <w:bottom w:val="single" w:sz="4" w:space="0" w:color="auto"/>
              <w:right w:val="single" w:sz="4" w:space="0" w:color="auto"/>
            </w:tcBorders>
            <w:noWrap/>
            <w:vAlign w:val="bottom"/>
            <w:hideMark/>
          </w:tcPr>
          <w:p w14:paraId="05DF86D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4,67</w:t>
            </w:r>
          </w:p>
        </w:tc>
      </w:tr>
      <w:tr w:rsidR="00C82BCC" w14:paraId="7286266B" w14:textId="77777777" w:rsidTr="005247B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C2D62E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04389496"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207,1</w:t>
            </w:r>
          </w:p>
        </w:tc>
        <w:tc>
          <w:tcPr>
            <w:tcW w:w="672" w:type="dxa"/>
            <w:tcBorders>
              <w:top w:val="nil"/>
              <w:left w:val="nil"/>
              <w:bottom w:val="single" w:sz="4" w:space="0" w:color="auto"/>
              <w:right w:val="single" w:sz="4" w:space="0" w:color="auto"/>
            </w:tcBorders>
            <w:noWrap/>
            <w:vAlign w:val="bottom"/>
            <w:hideMark/>
          </w:tcPr>
          <w:p w14:paraId="09A8EF5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1728" w:type="dxa"/>
            <w:tcBorders>
              <w:top w:val="nil"/>
              <w:left w:val="nil"/>
              <w:bottom w:val="single" w:sz="4" w:space="0" w:color="auto"/>
              <w:right w:val="single" w:sz="4" w:space="0" w:color="auto"/>
            </w:tcBorders>
            <w:noWrap/>
            <w:vAlign w:val="bottom"/>
            <w:hideMark/>
          </w:tcPr>
          <w:p w14:paraId="30F2ED4B"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17,91</w:t>
            </w:r>
          </w:p>
        </w:tc>
      </w:tr>
      <w:tr w:rsidR="00C82BCC" w14:paraId="3B9F3AA5" w14:textId="77777777" w:rsidTr="005247BF">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F7CBE5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0F9F3054"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286,63</w:t>
            </w:r>
          </w:p>
        </w:tc>
        <w:tc>
          <w:tcPr>
            <w:tcW w:w="672" w:type="dxa"/>
            <w:tcBorders>
              <w:top w:val="nil"/>
              <w:left w:val="nil"/>
              <w:bottom w:val="single" w:sz="4" w:space="0" w:color="auto"/>
              <w:right w:val="single" w:sz="4" w:space="0" w:color="auto"/>
            </w:tcBorders>
            <w:noWrap/>
            <w:vAlign w:val="bottom"/>
            <w:hideMark/>
          </w:tcPr>
          <w:p w14:paraId="690DD1BE"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52344DF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25,32</w:t>
            </w:r>
          </w:p>
        </w:tc>
      </w:tr>
    </w:tbl>
    <w:p w14:paraId="7CBA3AA8" w14:textId="77777777" w:rsidR="00D66484" w:rsidRDefault="00C82BCC" w:rsidP="00D66484">
      <w:pPr>
        <w:autoSpaceDE w:val="0"/>
        <w:autoSpaceDN w:val="0"/>
        <w:adjustRightInd w:val="0"/>
        <w:spacing w:before="360" w:after="360" w:line="360" w:lineRule="auto"/>
        <w:rPr>
          <w:rFonts w:cs="Times New Roman"/>
          <w:szCs w:val="24"/>
        </w:rPr>
      </w:pPr>
      <w:r>
        <w:rPr>
          <w:rFonts w:cs="Times New Roman"/>
          <w:szCs w:val="24"/>
        </w:rPr>
        <w:t xml:space="preserve">Se distingue en el cultivo donde no se ha adicionado el macroelemento fósforo un promedio superior al de dosis de 46 y 50 medidas. No </w:t>
      </w:r>
      <w:r w:rsidR="0039325D">
        <w:rPr>
          <w:rFonts w:cs="Times New Roman"/>
          <w:szCs w:val="24"/>
        </w:rPr>
        <w:t>existieron</w:t>
      </w:r>
      <w:r>
        <w:rPr>
          <w:rFonts w:cs="Times New Roman"/>
          <w:szCs w:val="24"/>
        </w:rPr>
        <w:t xml:space="preserve"> diferencias estadísticas significativas entre las cantidades de nitrógeno absorbido para las diversas dos</w:t>
      </w:r>
      <w:r w:rsidR="000D0117">
        <w:rPr>
          <w:rFonts w:cs="Times New Roman"/>
          <w:szCs w:val="24"/>
        </w:rPr>
        <w:t>is de fósforo aplicadas.</w:t>
      </w:r>
      <w:bookmarkStart w:id="1800" w:name="_Toc79314103"/>
    </w:p>
    <w:p w14:paraId="0EDF17E7" w14:textId="5C0676B5" w:rsidR="000D0117" w:rsidRPr="00D66484" w:rsidRDefault="000D0117" w:rsidP="00D66484">
      <w:pPr>
        <w:autoSpaceDE w:val="0"/>
        <w:autoSpaceDN w:val="0"/>
        <w:adjustRightInd w:val="0"/>
        <w:spacing w:before="360" w:after="120" w:line="360" w:lineRule="auto"/>
        <w:rPr>
          <w:rFonts w:cs="Times New Roman"/>
          <w:szCs w:val="24"/>
        </w:rPr>
      </w:pPr>
      <w:r w:rsidRPr="000D0117">
        <w:rPr>
          <w:rFonts w:cs="Times New Roman"/>
          <w:b/>
          <w:szCs w:val="24"/>
        </w:rPr>
        <w:lastRenderedPageBreak/>
        <w:t xml:space="preserve">Cuadro </w:t>
      </w:r>
      <w:r w:rsidRPr="000D0117">
        <w:rPr>
          <w:rFonts w:cs="Times New Roman"/>
          <w:b/>
          <w:i/>
          <w:iCs/>
          <w:szCs w:val="24"/>
        </w:rPr>
        <w:fldChar w:fldCharType="begin"/>
      </w:r>
      <w:r w:rsidRPr="000D0117">
        <w:rPr>
          <w:rFonts w:cs="Times New Roman"/>
          <w:b/>
          <w:szCs w:val="24"/>
        </w:rPr>
        <w:instrText xml:space="preserve"> SEQ Cuadro \* ARABIC </w:instrText>
      </w:r>
      <w:r w:rsidRPr="000D0117">
        <w:rPr>
          <w:rFonts w:cs="Times New Roman"/>
          <w:b/>
          <w:i/>
          <w:iCs/>
          <w:szCs w:val="24"/>
        </w:rPr>
        <w:fldChar w:fldCharType="separate"/>
      </w:r>
      <w:r w:rsidR="000D1F55">
        <w:rPr>
          <w:rFonts w:cs="Times New Roman"/>
          <w:b/>
          <w:noProof/>
          <w:szCs w:val="24"/>
        </w:rPr>
        <w:t>111</w:t>
      </w:r>
      <w:r w:rsidRPr="000D0117">
        <w:rPr>
          <w:rFonts w:cs="Times New Roman"/>
          <w:b/>
          <w:i/>
          <w:iCs/>
          <w:szCs w:val="24"/>
        </w:rPr>
        <w:fldChar w:fldCharType="end"/>
      </w:r>
      <w:r w:rsidRPr="000D0117">
        <w:rPr>
          <w:rFonts w:cs="Times New Roman"/>
          <w:b/>
          <w:szCs w:val="24"/>
        </w:rPr>
        <w:t>.</w:t>
      </w:r>
      <w:r w:rsidRPr="000D0117">
        <w:rPr>
          <w:rFonts w:cs="Times New Roman"/>
          <w:szCs w:val="24"/>
        </w:rPr>
        <w:t xml:space="preserve"> Absorción total de nitrógeno de maíz suave para diversas dosis de potasio evaluadas en la provincia de Imbabura 2010-2015.</w:t>
      </w:r>
      <w:bookmarkEnd w:id="1800"/>
    </w:p>
    <w:tbl>
      <w:tblPr>
        <w:tblW w:w="5000" w:type="pct"/>
        <w:tblCellMar>
          <w:left w:w="0" w:type="dxa"/>
          <w:right w:w="0" w:type="dxa"/>
        </w:tblCellMar>
        <w:tblLook w:val="04A0" w:firstRow="1" w:lastRow="0" w:firstColumn="1" w:lastColumn="0" w:noHBand="0" w:noVBand="1"/>
      </w:tblPr>
      <w:tblGrid>
        <w:gridCol w:w="1771"/>
        <w:gridCol w:w="777"/>
        <w:gridCol w:w="617"/>
        <w:gridCol w:w="1804"/>
        <w:gridCol w:w="475"/>
        <w:gridCol w:w="781"/>
        <w:gridCol w:w="783"/>
        <w:gridCol w:w="919"/>
      </w:tblGrid>
      <w:tr w:rsidR="00C82BCC" w14:paraId="42BB400E" w14:textId="77777777" w:rsidTr="000D0117">
        <w:trPr>
          <w:trHeight w:val="300"/>
        </w:trPr>
        <w:tc>
          <w:tcPr>
            <w:tcW w:w="104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F19B14"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Dosis K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48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1D72868"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Medias</w:t>
            </w:r>
          </w:p>
        </w:tc>
        <w:tc>
          <w:tcPr>
            <w:tcW w:w="40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635E4F8"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n </w:t>
            </w:r>
          </w:p>
        </w:tc>
        <w:tc>
          <w:tcPr>
            <w:tcW w:w="115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C9DA0A2"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1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26285CF1"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  </w:t>
            </w:r>
          </w:p>
        </w:tc>
        <w:tc>
          <w:tcPr>
            <w:tcW w:w="506"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5824737" w14:textId="77777777" w:rsidR="00C82BCC" w:rsidRDefault="00C82BCC" w:rsidP="00D66484">
            <w:pPr>
              <w:spacing w:after="0" w:line="240" w:lineRule="auto"/>
              <w:jc w:val="right"/>
              <w:rPr>
                <w:rFonts w:cs="Times New Roman"/>
                <w:b/>
                <w:bCs/>
                <w:color w:val="000000"/>
                <w:szCs w:val="24"/>
              </w:rPr>
            </w:pPr>
            <w:r>
              <w:rPr>
                <w:rFonts w:cs="Times New Roman"/>
                <w:b/>
                <w:bCs/>
                <w:color w:val="000000"/>
                <w:szCs w:val="24"/>
              </w:rPr>
              <w:t xml:space="preserve">  Lsd</w:t>
            </w:r>
          </w:p>
        </w:tc>
        <w:tc>
          <w:tcPr>
            <w:tcW w:w="507"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21F2F5A1" w14:textId="77777777" w:rsidR="00C82BCC" w:rsidRDefault="00C82BCC" w:rsidP="00D66484">
            <w:pPr>
              <w:spacing w:after="0" w:line="240" w:lineRule="auto"/>
              <w:rPr>
                <w:rFonts w:cs="Times New Roman"/>
                <w:b/>
                <w:bCs/>
                <w:color w:val="000000"/>
                <w:szCs w:val="24"/>
              </w:rPr>
            </w:pPr>
            <w:r>
              <w:rPr>
                <w:rFonts w:cs="Times New Roman"/>
                <w:b/>
                <w:bCs/>
                <w:color w:val="000000"/>
                <w:szCs w:val="24"/>
              </w:rPr>
              <w:t xml:space="preserve"> 0,05  </w:t>
            </w:r>
          </w:p>
        </w:tc>
        <w:tc>
          <w:tcPr>
            <w:tcW w:w="59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0C5E3A7" w14:textId="77777777" w:rsidR="00C82BCC" w:rsidRDefault="00C82BCC" w:rsidP="00D66484">
            <w:pPr>
              <w:spacing w:after="0" w:line="240" w:lineRule="auto"/>
              <w:jc w:val="center"/>
              <w:rPr>
                <w:rFonts w:cs="Times New Roman"/>
                <w:b/>
                <w:bCs/>
                <w:color w:val="000000"/>
                <w:szCs w:val="24"/>
              </w:rPr>
            </w:pPr>
            <w:r>
              <w:rPr>
                <w:rFonts w:cs="Times New Roman"/>
                <w:b/>
                <w:bCs/>
                <w:color w:val="000000"/>
                <w:szCs w:val="24"/>
              </w:rPr>
              <w:t xml:space="preserve">  </w:t>
            </w:r>
          </w:p>
        </w:tc>
      </w:tr>
      <w:tr w:rsidR="00C82BCC" w14:paraId="5A449795" w14:textId="77777777" w:rsidTr="000D0117">
        <w:trPr>
          <w:trHeight w:val="300"/>
        </w:trPr>
        <w:tc>
          <w:tcPr>
            <w:tcW w:w="104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953061" w14:textId="77777777" w:rsidR="00C82BCC" w:rsidRDefault="00C82BCC" w:rsidP="00D66484">
            <w:pPr>
              <w:spacing w:after="0" w:line="240" w:lineRule="auto"/>
              <w:jc w:val="center"/>
              <w:rPr>
                <w:rFonts w:cs="Times New Roman"/>
                <w:color w:val="000000"/>
                <w:szCs w:val="24"/>
              </w:rPr>
            </w:pPr>
            <w:r>
              <w:rPr>
                <w:rFonts w:cs="Times New Roman"/>
                <w:color w:val="000000"/>
                <w:szCs w:val="24"/>
              </w:rPr>
              <w:t>20</w:t>
            </w:r>
          </w:p>
        </w:tc>
        <w:tc>
          <w:tcPr>
            <w:tcW w:w="48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6DCFA2" w14:textId="77777777" w:rsidR="00C82BCC" w:rsidRDefault="00C82BCC" w:rsidP="00D66484">
            <w:pPr>
              <w:spacing w:after="0" w:line="240" w:lineRule="auto"/>
              <w:jc w:val="center"/>
              <w:rPr>
                <w:rFonts w:cs="Times New Roman"/>
                <w:color w:val="000000"/>
                <w:szCs w:val="24"/>
              </w:rPr>
            </w:pPr>
            <w:r>
              <w:rPr>
                <w:rFonts w:cs="Times New Roman"/>
                <w:color w:val="000000"/>
                <w:szCs w:val="24"/>
              </w:rPr>
              <w:t>81,02</w:t>
            </w:r>
          </w:p>
        </w:tc>
        <w:tc>
          <w:tcPr>
            <w:tcW w:w="40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C33DE3" w14:textId="77777777" w:rsidR="00C82BCC" w:rsidRDefault="00C82BCC" w:rsidP="00D66484">
            <w:pPr>
              <w:spacing w:after="0" w:line="240" w:lineRule="auto"/>
              <w:jc w:val="center"/>
              <w:rPr>
                <w:rFonts w:cs="Times New Roman"/>
                <w:color w:val="000000"/>
                <w:szCs w:val="24"/>
              </w:rPr>
            </w:pPr>
            <w:r>
              <w:rPr>
                <w:rFonts w:cs="Times New Roman"/>
                <w:color w:val="000000"/>
                <w:szCs w:val="24"/>
              </w:rPr>
              <w:t>6</w:t>
            </w:r>
          </w:p>
        </w:tc>
        <w:tc>
          <w:tcPr>
            <w:tcW w:w="115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2A049C" w14:textId="77777777" w:rsidR="00C82BCC" w:rsidRDefault="00C82BCC" w:rsidP="00D66484">
            <w:pPr>
              <w:spacing w:after="0" w:line="240" w:lineRule="auto"/>
              <w:jc w:val="center"/>
              <w:rPr>
                <w:rFonts w:cs="Times New Roman"/>
                <w:color w:val="000000"/>
                <w:szCs w:val="24"/>
              </w:rPr>
            </w:pPr>
            <w:r>
              <w:rPr>
                <w:rFonts w:cs="Times New Roman"/>
                <w:color w:val="000000"/>
                <w:szCs w:val="24"/>
              </w:rPr>
              <w:t>10,34</w:t>
            </w:r>
          </w:p>
        </w:tc>
        <w:tc>
          <w:tcPr>
            <w:tcW w:w="31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8FF91AA"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A </w:t>
            </w:r>
          </w:p>
        </w:tc>
        <w:tc>
          <w:tcPr>
            <w:tcW w:w="50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F83FB0D"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0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54308D3"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9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7B65E17"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07AF0710" w14:textId="77777777" w:rsidTr="000D0117">
        <w:trPr>
          <w:trHeight w:val="300"/>
        </w:trPr>
        <w:tc>
          <w:tcPr>
            <w:tcW w:w="104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78194E" w14:textId="77777777" w:rsidR="00C82BCC" w:rsidRDefault="00C82BCC" w:rsidP="00D66484">
            <w:pPr>
              <w:spacing w:after="0" w:line="240" w:lineRule="auto"/>
              <w:jc w:val="center"/>
              <w:rPr>
                <w:rFonts w:cs="Times New Roman"/>
                <w:color w:val="000000"/>
                <w:szCs w:val="24"/>
              </w:rPr>
            </w:pPr>
            <w:r>
              <w:rPr>
                <w:rFonts w:cs="Times New Roman"/>
                <w:color w:val="000000"/>
                <w:szCs w:val="24"/>
              </w:rPr>
              <w:t>0</w:t>
            </w:r>
          </w:p>
        </w:tc>
        <w:tc>
          <w:tcPr>
            <w:tcW w:w="48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6F8792" w14:textId="77777777" w:rsidR="00C82BCC" w:rsidRDefault="00C82BCC" w:rsidP="00D66484">
            <w:pPr>
              <w:spacing w:after="0" w:line="240" w:lineRule="auto"/>
              <w:jc w:val="center"/>
              <w:rPr>
                <w:rFonts w:cs="Times New Roman"/>
                <w:color w:val="000000"/>
                <w:szCs w:val="24"/>
              </w:rPr>
            </w:pPr>
            <w:r>
              <w:rPr>
                <w:rFonts w:cs="Times New Roman"/>
                <w:color w:val="000000"/>
                <w:szCs w:val="24"/>
              </w:rPr>
              <w:t>157,61</w:t>
            </w:r>
          </w:p>
        </w:tc>
        <w:tc>
          <w:tcPr>
            <w:tcW w:w="40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B0DBC1" w14:textId="77777777" w:rsidR="00C82BCC" w:rsidRDefault="00C82BCC" w:rsidP="00D66484">
            <w:pPr>
              <w:spacing w:after="0" w:line="240" w:lineRule="auto"/>
              <w:jc w:val="center"/>
              <w:rPr>
                <w:rFonts w:cs="Times New Roman"/>
                <w:color w:val="000000"/>
                <w:szCs w:val="24"/>
              </w:rPr>
            </w:pPr>
            <w:r>
              <w:rPr>
                <w:rFonts w:cs="Times New Roman"/>
                <w:color w:val="000000"/>
                <w:szCs w:val="24"/>
              </w:rPr>
              <w:t>20</w:t>
            </w:r>
          </w:p>
        </w:tc>
        <w:tc>
          <w:tcPr>
            <w:tcW w:w="115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EB74A5" w14:textId="77777777" w:rsidR="00C82BCC" w:rsidRDefault="00C82BCC" w:rsidP="00D66484">
            <w:pPr>
              <w:spacing w:after="0" w:line="240" w:lineRule="auto"/>
              <w:jc w:val="center"/>
              <w:rPr>
                <w:rFonts w:cs="Times New Roman"/>
                <w:color w:val="000000"/>
                <w:szCs w:val="24"/>
              </w:rPr>
            </w:pPr>
            <w:r>
              <w:rPr>
                <w:rFonts w:cs="Times New Roman"/>
                <w:color w:val="000000"/>
                <w:szCs w:val="24"/>
              </w:rPr>
              <w:t>5,84</w:t>
            </w:r>
          </w:p>
        </w:tc>
        <w:tc>
          <w:tcPr>
            <w:tcW w:w="31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E6CFC2"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BD1BF2"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B </w:t>
            </w:r>
          </w:p>
        </w:tc>
        <w:tc>
          <w:tcPr>
            <w:tcW w:w="50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E5DDEB"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7F5364"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2CE889D5" w14:textId="77777777" w:rsidTr="000D0117">
        <w:trPr>
          <w:trHeight w:val="300"/>
        </w:trPr>
        <w:tc>
          <w:tcPr>
            <w:tcW w:w="104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AE9B38" w14:textId="77777777" w:rsidR="00C82BCC" w:rsidRDefault="00C82BCC" w:rsidP="00D66484">
            <w:pPr>
              <w:spacing w:after="0" w:line="240" w:lineRule="auto"/>
              <w:jc w:val="center"/>
              <w:rPr>
                <w:rFonts w:cs="Times New Roman"/>
                <w:color w:val="000000"/>
                <w:szCs w:val="24"/>
              </w:rPr>
            </w:pPr>
            <w:r>
              <w:rPr>
                <w:rFonts w:cs="Times New Roman"/>
                <w:color w:val="000000"/>
                <w:szCs w:val="24"/>
              </w:rPr>
              <w:t>30</w:t>
            </w:r>
          </w:p>
        </w:tc>
        <w:tc>
          <w:tcPr>
            <w:tcW w:w="48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85AC34" w14:textId="77777777" w:rsidR="00C82BCC" w:rsidRDefault="00C82BCC" w:rsidP="00D66484">
            <w:pPr>
              <w:spacing w:after="0" w:line="240" w:lineRule="auto"/>
              <w:jc w:val="center"/>
              <w:rPr>
                <w:rFonts w:cs="Times New Roman"/>
                <w:color w:val="000000"/>
                <w:szCs w:val="24"/>
              </w:rPr>
            </w:pPr>
            <w:r>
              <w:rPr>
                <w:rFonts w:cs="Times New Roman"/>
                <w:color w:val="000000"/>
                <w:szCs w:val="24"/>
              </w:rPr>
              <w:t>176,46</w:t>
            </w:r>
          </w:p>
        </w:tc>
        <w:tc>
          <w:tcPr>
            <w:tcW w:w="40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2C2035" w14:textId="77777777" w:rsidR="00C82BCC" w:rsidRDefault="00C82BCC" w:rsidP="00D66484">
            <w:pPr>
              <w:spacing w:after="0" w:line="240" w:lineRule="auto"/>
              <w:jc w:val="center"/>
              <w:rPr>
                <w:rFonts w:cs="Times New Roman"/>
                <w:color w:val="000000"/>
                <w:szCs w:val="24"/>
              </w:rPr>
            </w:pPr>
            <w:r>
              <w:rPr>
                <w:rFonts w:cs="Times New Roman"/>
                <w:color w:val="000000"/>
                <w:szCs w:val="24"/>
              </w:rPr>
              <w:t>27</w:t>
            </w:r>
          </w:p>
        </w:tc>
        <w:tc>
          <w:tcPr>
            <w:tcW w:w="115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DC5882" w14:textId="77777777" w:rsidR="00C82BCC" w:rsidRDefault="00C82BCC" w:rsidP="00D66484">
            <w:pPr>
              <w:spacing w:after="0" w:line="240" w:lineRule="auto"/>
              <w:jc w:val="center"/>
              <w:rPr>
                <w:rFonts w:cs="Times New Roman"/>
                <w:color w:val="000000"/>
                <w:szCs w:val="24"/>
              </w:rPr>
            </w:pPr>
            <w:r>
              <w:rPr>
                <w:rFonts w:cs="Times New Roman"/>
                <w:color w:val="000000"/>
                <w:szCs w:val="24"/>
              </w:rPr>
              <w:t>4,99</w:t>
            </w:r>
          </w:p>
        </w:tc>
        <w:tc>
          <w:tcPr>
            <w:tcW w:w="31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3C6976"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A6C5FB"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0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062087"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C </w:t>
            </w:r>
          </w:p>
        </w:tc>
        <w:tc>
          <w:tcPr>
            <w:tcW w:w="5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1A9591"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r>
      <w:tr w:rsidR="00C82BCC" w14:paraId="67CC2D45" w14:textId="77777777" w:rsidTr="000D0117">
        <w:trPr>
          <w:trHeight w:val="300"/>
        </w:trPr>
        <w:tc>
          <w:tcPr>
            <w:tcW w:w="104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FFC8605" w14:textId="77777777" w:rsidR="00C82BCC" w:rsidRDefault="00C82BCC" w:rsidP="00D66484">
            <w:pPr>
              <w:spacing w:after="0" w:line="240" w:lineRule="auto"/>
              <w:jc w:val="center"/>
              <w:rPr>
                <w:rFonts w:cs="Times New Roman"/>
                <w:color w:val="000000"/>
                <w:szCs w:val="24"/>
              </w:rPr>
            </w:pPr>
            <w:r>
              <w:rPr>
                <w:rFonts w:cs="Times New Roman"/>
                <w:color w:val="000000"/>
                <w:szCs w:val="24"/>
              </w:rPr>
              <w:t>60</w:t>
            </w:r>
          </w:p>
        </w:tc>
        <w:tc>
          <w:tcPr>
            <w:tcW w:w="48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AE5F42" w14:textId="77777777" w:rsidR="00C82BCC" w:rsidRDefault="00C82BCC" w:rsidP="00D66484">
            <w:pPr>
              <w:spacing w:after="0" w:line="240" w:lineRule="auto"/>
              <w:jc w:val="center"/>
              <w:rPr>
                <w:rFonts w:cs="Times New Roman"/>
                <w:color w:val="000000"/>
                <w:szCs w:val="24"/>
              </w:rPr>
            </w:pPr>
            <w:r>
              <w:rPr>
                <w:rFonts w:cs="Times New Roman"/>
                <w:color w:val="000000"/>
                <w:szCs w:val="24"/>
              </w:rPr>
              <w:t>213,67</w:t>
            </w:r>
          </w:p>
        </w:tc>
        <w:tc>
          <w:tcPr>
            <w:tcW w:w="40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89411D" w14:textId="77777777" w:rsidR="00C82BCC" w:rsidRDefault="00C82BCC" w:rsidP="00D66484">
            <w:pPr>
              <w:spacing w:after="0" w:line="240" w:lineRule="auto"/>
              <w:jc w:val="center"/>
              <w:rPr>
                <w:rFonts w:cs="Times New Roman"/>
                <w:color w:val="000000"/>
                <w:szCs w:val="24"/>
              </w:rPr>
            </w:pPr>
            <w:r>
              <w:rPr>
                <w:rFonts w:cs="Times New Roman"/>
                <w:color w:val="000000"/>
                <w:szCs w:val="24"/>
              </w:rPr>
              <w:t>16</w:t>
            </w:r>
          </w:p>
        </w:tc>
        <w:tc>
          <w:tcPr>
            <w:tcW w:w="115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93E315" w14:textId="77777777" w:rsidR="00C82BCC" w:rsidRDefault="00C82BCC" w:rsidP="00D66484">
            <w:pPr>
              <w:spacing w:after="0" w:line="240" w:lineRule="auto"/>
              <w:jc w:val="center"/>
              <w:rPr>
                <w:rFonts w:cs="Times New Roman"/>
                <w:color w:val="000000"/>
                <w:szCs w:val="24"/>
              </w:rPr>
            </w:pPr>
            <w:r>
              <w:rPr>
                <w:rFonts w:cs="Times New Roman"/>
                <w:color w:val="000000"/>
                <w:szCs w:val="24"/>
              </w:rPr>
              <w:t>6,59</w:t>
            </w:r>
          </w:p>
        </w:tc>
        <w:tc>
          <w:tcPr>
            <w:tcW w:w="31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7B6589"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0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F3087E"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0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99ADCD"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  </w:t>
            </w:r>
          </w:p>
        </w:tc>
        <w:tc>
          <w:tcPr>
            <w:tcW w:w="5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AD7E1F" w14:textId="77777777" w:rsidR="00C82BCC" w:rsidRDefault="00C82BCC" w:rsidP="00D66484">
            <w:pPr>
              <w:spacing w:after="0" w:line="240" w:lineRule="auto"/>
              <w:jc w:val="center"/>
              <w:rPr>
                <w:rFonts w:cs="Times New Roman"/>
                <w:color w:val="000000"/>
                <w:szCs w:val="24"/>
              </w:rPr>
            </w:pPr>
            <w:r>
              <w:rPr>
                <w:rFonts w:cs="Times New Roman"/>
                <w:color w:val="000000"/>
                <w:szCs w:val="24"/>
              </w:rPr>
              <w:t xml:space="preserve">D </w:t>
            </w:r>
          </w:p>
        </w:tc>
      </w:tr>
    </w:tbl>
    <w:p w14:paraId="1F65A03C" w14:textId="77777777" w:rsidR="00D66484" w:rsidRDefault="00C82BCC" w:rsidP="00D66484">
      <w:pPr>
        <w:autoSpaceDE w:val="0"/>
        <w:autoSpaceDN w:val="0"/>
        <w:adjustRightInd w:val="0"/>
        <w:spacing w:after="0" w:line="360" w:lineRule="auto"/>
        <w:rPr>
          <w:rFonts w:cs="Times New Roman"/>
          <w:szCs w:val="24"/>
        </w:rPr>
      </w:pPr>
      <w:r>
        <w:rPr>
          <w:rFonts w:cs="Times New Roman"/>
          <w:szCs w:val="24"/>
        </w:rPr>
        <w:t xml:space="preserve"> Medias con una letra común no son significa</w:t>
      </w:r>
      <w:r w:rsidR="000D0117">
        <w:rPr>
          <w:rFonts w:cs="Times New Roman"/>
          <w:szCs w:val="24"/>
        </w:rPr>
        <w:t>tivamente diferentes (p &gt; 0,05)</w:t>
      </w:r>
      <w:bookmarkStart w:id="1801" w:name="_Toc79314104"/>
    </w:p>
    <w:p w14:paraId="2B1A74BF" w14:textId="05089DEE" w:rsidR="000D0117" w:rsidRPr="00D66484" w:rsidRDefault="000D0117" w:rsidP="00D66484">
      <w:pPr>
        <w:autoSpaceDE w:val="0"/>
        <w:autoSpaceDN w:val="0"/>
        <w:adjustRightInd w:val="0"/>
        <w:spacing w:before="360" w:after="0" w:line="360" w:lineRule="auto"/>
        <w:rPr>
          <w:rFonts w:cs="Times New Roman"/>
          <w:szCs w:val="24"/>
        </w:rPr>
      </w:pPr>
      <w:r w:rsidRPr="000D0117">
        <w:rPr>
          <w:rFonts w:cs="Times New Roman"/>
          <w:b/>
          <w:szCs w:val="24"/>
        </w:rPr>
        <w:t xml:space="preserve">Cuadro </w:t>
      </w:r>
      <w:r w:rsidRPr="000D0117">
        <w:rPr>
          <w:rFonts w:cs="Times New Roman"/>
          <w:b/>
          <w:i/>
          <w:iCs/>
          <w:szCs w:val="24"/>
        </w:rPr>
        <w:fldChar w:fldCharType="begin"/>
      </w:r>
      <w:r w:rsidRPr="000D0117">
        <w:rPr>
          <w:rFonts w:cs="Times New Roman"/>
          <w:b/>
          <w:szCs w:val="24"/>
        </w:rPr>
        <w:instrText xml:space="preserve"> SEQ Cuadro \* ARABIC </w:instrText>
      </w:r>
      <w:r w:rsidRPr="000D0117">
        <w:rPr>
          <w:rFonts w:cs="Times New Roman"/>
          <w:b/>
          <w:i/>
          <w:iCs/>
          <w:szCs w:val="24"/>
        </w:rPr>
        <w:fldChar w:fldCharType="separate"/>
      </w:r>
      <w:r w:rsidR="000D1F55">
        <w:rPr>
          <w:rFonts w:cs="Times New Roman"/>
          <w:b/>
          <w:noProof/>
          <w:szCs w:val="24"/>
        </w:rPr>
        <w:t>112</w:t>
      </w:r>
      <w:r w:rsidRPr="000D0117">
        <w:rPr>
          <w:rFonts w:cs="Times New Roman"/>
          <w:b/>
          <w:i/>
          <w:iCs/>
          <w:szCs w:val="24"/>
        </w:rPr>
        <w:fldChar w:fldCharType="end"/>
      </w:r>
      <w:r w:rsidRPr="000D0117">
        <w:rPr>
          <w:rFonts w:cs="Times New Roman"/>
          <w:b/>
          <w:szCs w:val="24"/>
        </w:rPr>
        <w:t xml:space="preserve">. </w:t>
      </w:r>
      <w:r w:rsidRPr="000D0117">
        <w:rPr>
          <w:rFonts w:cs="Times New Roman"/>
          <w:szCs w:val="24"/>
        </w:rPr>
        <w:t>Absorción total de nitrógeno de maíz suave para diversas dosis de azufre evaluadas en la provincia de Imbabura 2010-2015.</w:t>
      </w:r>
      <w:bookmarkEnd w:id="1801"/>
    </w:p>
    <w:tbl>
      <w:tblPr>
        <w:tblW w:w="6091" w:type="dxa"/>
        <w:jc w:val="center"/>
        <w:tblCellMar>
          <w:left w:w="70" w:type="dxa"/>
          <w:right w:w="70" w:type="dxa"/>
        </w:tblCellMar>
        <w:tblLook w:val="04A0" w:firstRow="1" w:lastRow="0" w:firstColumn="1" w:lastColumn="0" w:noHBand="0" w:noVBand="1"/>
      </w:tblPr>
      <w:tblGrid>
        <w:gridCol w:w="1980"/>
        <w:gridCol w:w="1276"/>
        <w:gridCol w:w="811"/>
        <w:gridCol w:w="2024"/>
      </w:tblGrid>
      <w:tr w:rsidR="00C82BCC" w14:paraId="59C1C45C" w14:textId="77777777" w:rsidTr="006B2851">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08C10FD"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276" w:type="dxa"/>
            <w:tcBorders>
              <w:top w:val="single" w:sz="4" w:space="0" w:color="auto"/>
              <w:left w:val="nil"/>
              <w:bottom w:val="single" w:sz="4" w:space="0" w:color="auto"/>
              <w:right w:val="single" w:sz="4" w:space="0" w:color="auto"/>
            </w:tcBorders>
            <w:noWrap/>
            <w:vAlign w:val="bottom"/>
            <w:hideMark/>
          </w:tcPr>
          <w:p w14:paraId="7874B610"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811" w:type="dxa"/>
            <w:tcBorders>
              <w:top w:val="single" w:sz="4" w:space="0" w:color="auto"/>
              <w:left w:val="nil"/>
              <w:bottom w:val="single" w:sz="4" w:space="0" w:color="auto"/>
              <w:right w:val="single" w:sz="4" w:space="0" w:color="auto"/>
            </w:tcBorders>
            <w:noWrap/>
            <w:vAlign w:val="bottom"/>
            <w:hideMark/>
          </w:tcPr>
          <w:p w14:paraId="30798EA8"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2024" w:type="dxa"/>
            <w:tcBorders>
              <w:top w:val="single" w:sz="4" w:space="0" w:color="auto"/>
              <w:left w:val="nil"/>
              <w:bottom w:val="single" w:sz="4" w:space="0" w:color="auto"/>
              <w:right w:val="single" w:sz="4" w:space="0" w:color="auto"/>
            </w:tcBorders>
            <w:noWrap/>
            <w:vAlign w:val="bottom"/>
            <w:hideMark/>
          </w:tcPr>
          <w:p w14:paraId="42628CD6"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73F8BCBF" w14:textId="77777777" w:rsidTr="006B285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996D65C"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276" w:type="dxa"/>
            <w:tcBorders>
              <w:top w:val="nil"/>
              <w:left w:val="nil"/>
              <w:bottom w:val="single" w:sz="4" w:space="0" w:color="auto"/>
              <w:right w:val="single" w:sz="4" w:space="0" w:color="auto"/>
            </w:tcBorders>
            <w:noWrap/>
            <w:vAlign w:val="bottom"/>
            <w:hideMark/>
          </w:tcPr>
          <w:p w14:paraId="2AAA7891"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64,32</w:t>
            </w:r>
          </w:p>
        </w:tc>
        <w:tc>
          <w:tcPr>
            <w:tcW w:w="811" w:type="dxa"/>
            <w:tcBorders>
              <w:top w:val="nil"/>
              <w:left w:val="nil"/>
              <w:bottom w:val="single" w:sz="4" w:space="0" w:color="auto"/>
              <w:right w:val="single" w:sz="4" w:space="0" w:color="auto"/>
            </w:tcBorders>
            <w:noWrap/>
            <w:vAlign w:val="bottom"/>
            <w:hideMark/>
          </w:tcPr>
          <w:p w14:paraId="68E010F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2024" w:type="dxa"/>
            <w:tcBorders>
              <w:top w:val="nil"/>
              <w:left w:val="nil"/>
              <w:bottom w:val="single" w:sz="4" w:space="0" w:color="auto"/>
              <w:right w:val="single" w:sz="4" w:space="0" w:color="auto"/>
            </w:tcBorders>
            <w:noWrap/>
            <w:vAlign w:val="bottom"/>
            <w:hideMark/>
          </w:tcPr>
          <w:p w14:paraId="76F6C537"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11,32</w:t>
            </w:r>
          </w:p>
        </w:tc>
      </w:tr>
      <w:tr w:rsidR="00C82BCC" w14:paraId="2B75241B" w14:textId="77777777" w:rsidTr="006B285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286DEFA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276" w:type="dxa"/>
            <w:tcBorders>
              <w:top w:val="nil"/>
              <w:left w:val="nil"/>
              <w:bottom w:val="single" w:sz="4" w:space="0" w:color="auto"/>
              <w:right w:val="single" w:sz="4" w:space="0" w:color="auto"/>
            </w:tcBorders>
            <w:noWrap/>
            <w:vAlign w:val="bottom"/>
            <w:hideMark/>
          </w:tcPr>
          <w:p w14:paraId="1C8F0A9F"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151,99</w:t>
            </w:r>
          </w:p>
        </w:tc>
        <w:tc>
          <w:tcPr>
            <w:tcW w:w="811" w:type="dxa"/>
            <w:tcBorders>
              <w:top w:val="nil"/>
              <w:left w:val="nil"/>
              <w:bottom w:val="single" w:sz="4" w:space="0" w:color="auto"/>
              <w:right w:val="single" w:sz="4" w:space="0" w:color="auto"/>
            </w:tcBorders>
            <w:noWrap/>
            <w:vAlign w:val="bottom"/>
            <w:hideMark/>
          </w:tcPr>
          <w:p w14:paraId="36973766"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2024" w:type="dxa"/>
            <w:tcBorders>
              <w:top w:val="nil"/>
              <w:left w:val="nil"/>
              <w:bottom w:val="single" w:sz="4" w:space="0" w:color="auto"/>
              <w:right w:val="single" w:sz="4" w:space="0" w:color="auto"/>
            </w:tcBorders>
            <w:noWrap/>
            <w:vAlign w:val="bottom"/>
            <w:hideMark/>
          </w:tcPr>
          <w:p w14:paraId="6235226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6,53</w:t>
            </w:r>
          </w:p>
        </w:tc>
      </w:tr>
      <w:tr w:rsidR="00C82BCC" w14:paraId="48230CE0" w14:textId="77777777" w:rsidTr="006B2851">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7F6E81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276" w:type="dxa"/>
            <w:tcBorders>
              <w:top w:val="nil"/>
              <w:left w:val="nil"/>
              <w:bottom w:val="single" w:sz="4" w:space="0" w:color="auto"/>
              <w:right w:val="single" w:sz="4" w:space="0" w:color="auto"/>
            </w:tcBorders>
            <w:noWrap/>
            <w:vAlign w:val="bottom"/>
            <w:hideMark/>
          </w:tcPr>
          <w:p w14:paraId="6633853D"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166,56</w:t>
            </w:r>
          </w:p>
        </w:tc>
        <w:tc>
          <w:tcPr>
            <w:tcW w:w="811" w:type="dxa"/>
            <w:tcBorders>
              <w:top w:val="nil"/>
              <w:left w:val="nil"/>
              <w:bottom w:val="single" w:sz="4" w:space="0" w:color="auto"/>
              <w:right w:val="single" w:sz="4" w:space="0" w:color="auto"/>
            </w:tcBorders>
            <w:noWrap/>
            <w:vAlign w:val="bottom"/>
            <w:hideMark/>
          </w:tcPr>
          <w:p w14:paraId="618B53CB"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2024" w:type="dxa"/>
            <w:tcBorders>
              <w:top w:val="nil"/>
              <w:left w:val="nil"/>
              <w:bottom w:val="single" w:sz="4" w:space="0" w:color="auto"/>
              <w:right w:val="single" w:sz="4" w:space="0" w:color="auto"/>
            </w:tcBorders>
            <w:noWrap/>
            <w:vAlign w:val="bottom"/>
            <w:hideMark/>
          </w:tcPr>
          <w:p w14:paraId="391A7C65"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5,57</w:t>
            </w:r>
          </w:p>
        </w:tc>
      </w:tr>
      <w:tr w:rsidR="00C82BCC" w14:paraId="1BA9E37D" w14:textId="77777777" w:rsidTr="00D66484">
        <w:trPr>
          <w:trHeight w:val="216"/>
          <w:jc w:val="center"/>
        </w:trPr>
        <w:tc>
          <w:tcPr>
            <w:tcW w:w="1980" w:type="dxa"/>
            <w:tcBorders>
              <w:top w:val="nil"/>
              <w:left w:val="single" w:sz="4" w:space="0" w:color="auto"/>
              <w:bottom w:val="single" w:sz="4" w:space="0" w:color="auto"/>
              <w:right w:val="single" w:sz="4" w:space="0" w:color="auto"/>
            </w:tcBorders>
            <w:noWrap/>
            <w:vAlign w:val="bottom"/>
            <w:hideMark/>
          </w:tcPr>
          <w:p w14:paraId="03B1D395"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276" w:type="dxa"/>
            <w:tcBorders>
              <w:top w:val="nil"/>
              <w:left w:val="nil"/>
              <w:bottom w:val="single" w:sz="4" w:space="0" w:color="auto"/>
              <w:right w:val="single" w:sz="4" w:space="0" w:color="auto"/>
            </w:tcBorders>
            <w:noWrap/>
            <w:vAlign w:val="bottom"/>
            <w:hideMark/>
          </w:tcPr>
          <w:p w14:paraId="580EA550"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204,36</w:t>
            </w:r>
          </w:p>
        </w:tc>
        <w:tc>
          <w:tcPr>
            <w:tcW w:w="811" w:type="dxa"/>
            <w:tcBorders>
              <w:top w:val="nil"/>
              <w:left w:val="nil"/>
              <w:bottom w:val="single" w:sz="4" w:space="0" w:color="auto"/>
              <w:right w:val="single" w:sz="4" w:space="0" w:color="auto"/>
            </w:tcBorders>
            <w:noWrap/>
            <w:vAlign w:val="bottom"/>
            <w:hideMark/>
          </w:tcPr>
          <w:p w14:paraId="44E8D204"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w:t>
            </w:r>
          </w:p>
        </w:tc>
        <w:tc>
          <w:tcPr>
            <w:tcW w:w="2024" w:type="dxa"/>
            <w:tcBorders>
              <w:top w:val="nil"/>
              <w:left w:val="nil"/>
              <w:bottom w:val="single" w:sz="4" w:space="0" w:color="auto"/>
              <w:right w:val="single" w:sz="4" w:space="0" w:color="auto"/>
            </w:tcBorders>
            <w:noWrap/>
            <w:vAlign w:val="bottom"/>
            <w:hideMark/>
          </w:tcPr>
          <w:p w14:paraId="32CDC922"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5,12</w:t>
            </w:r>
          </w:p>
        </w:tc>
      </w:tr>
    </w:tbl>
    <w:p w14:paraId="30065329" w14:textId="77777777" w:rsidR="00D66484" w:rsidRDefault="00C82BCC" w:rsidP="00D66484">
      <w:pPr>
        <w:autoSpaceDE w:val="0"/>
        <w:autoSpaceDN w:val="0"/>
        <w:adjustRightInd w:val="0"/>
        <w:spacing w:before="360" w:after="360" w:line="360" w:lineRule="auto"/>
        <w:rPr>
          <w:rFonts w:cs="Times New Roman"/>
          <w:szCs w:val="24"/>
        </w:rPr>
      </w:pPr>
      <w:r>
        <w:rPr>
          <w:rFonts w:cs="Times New Roman"/>
          <w:szCs w:val="24"/>
        </w:rPr>
        <w:t>Sin adición de azufre se produce un valor promedio superior a aquellos en los que se ha adicionado 16 y 20 medidas respectivamente, por lo que no existió una relación directa entre las dosis de micronutriente y los promedios obtenidos.</w:t>
      </w:r>
      <w:bookmarkStart w:id="1802" w:name="_Toc79314105"/>
    </w:p>
    <w:p w14:paraId="210AD01A" w14:textId="73BF4B8B" w:rsidR="006757B1" w:rsidRPr="00D66484" w:rsidRDefault="006757B1" w:rsidP="00D66484">
      <w:pPr>
        <w:autoSpaceDE w:val="0"/>
        <w:autoSpaceDN w:val="0"/>
        <w:adjustRightInd w:val="0"/>
        <w:spacing w:before="360" w:after="120" w:line="360" w:lineRule="auto"/>
        <w:rPr>
          <w:rFonts w:cs="Times New Roman"/>
          <w:szCs w:val="24"/>
        </w:rPr>
      </w:pPr>
      <w:r w:rsidRPr="006757B1">
        <w:rPr>
          <w:rFonts w:cs="Times New Roman"/>
          <w:b/>
          <w:szCs w:val="24"/>
        </w:rPr>
        <w:t xml:space="preserve">Cuadro </w:t>
      </w:r>
      <w:r w:rsidRPr="006757B1">
        <w:rPr>
          <w:rFonts w:cs="Times New Roman"/>
          <w:b/>
          <w:i/>
          <w:iCs/>
          <w:szCs w:val="24"/>
        </w:rPr>
        <w:fldChar w:fldCharType="begin"/>
      </w:r>
      <w:r w:rsidRPr="006757B1">
        <w:rPr>
          <w:rFonts w:cs="Times New Roman"/>
          <w:b/>
          <w:szCs w:val="24"/>
        </w:rPr>
        <w:instrText xml:space="preserve"> SEQ Cuadro \* ARABIC </w:instrText>
      </w:r>
      <w:r w:rsidRPr="006757B1">
        <w:rPr>
          <w:rFonts w:cs="Times New Roman"/>
          <w:b/>
          <w:i/>
          <w:iCs/>
          <w:szCs w:val="24"/>
        </w:rPr>
        <w:fldChar w:fldCharType="separate"/>
      </w:r>
      <w:r w:rsidR="000D1F55">
        <w:rPr>
          <w:rFonts w:cs="Times New Roman"/>
          <w:b/>
          <w:noProof/>
          <w:szCs w:val="24"/>
        </w:rPr>
        <w:t>113</w:t>
      </w:r>
      <w:r w:rsidRPr="006757B1">
        <w:rPr>
          <w:rFonts w:cs="Times New Roman"/>
          <w:b/>
          <w:i/>
          <w:iCs/>
          <w:szCs w:val="24"/>
        </w:rPr>
        <w:fldChar w:fldCharType="end"/>
      </w:r>
      <w:r w:rsidRPr="006757B1">
        <w:rPr>
          <w:rFonts w:cs="Times New Roman"/>
          <w:b/>
          <w:szCs w:val="24"/>
        </w:rPr>
        <w:t xml:space="preserve">. </w:t>
      </w:r>
      <w:r w:rsidRPr="006757B1">
        <w:rPr>
          <w:rFonts w:cs="Times New Roman"/>
          <w:szCs w:val="24"/>
        </w:rPr>
        <w:t>Absorción total de nitrógeno de maíz suave para diversas dosis de magnesio evaluadas en la provincia de Imbabura 2010-2015.</w:t>
      </w:r>
      <w:bookmarkEnd w:id="1802"/>
    </w:p>
    <w:tbl>
      <w:tblPr>
        <w:tblW w:w="5445" w:type="dxa"/>
        <w:jc w:val="center"/>
        <w:tblCellMar>
          <w:left w:w="70" w:type="dxa"/>
          <w:right w:w="70" w:type="dxa"/>
        </w:tblCellMar>
        <w:tblLook w:val="04A0" w:firstRow="1" w:lastRow="0" w:firstColumn="1" w:lastColumn="0" w:noHBand="0" w:noVBand="1"/>
      </w:tblPr>
      <w:tblGrid>
        <w:gridCol w:w="2263"/>
        <w:gridCol w:w="887"/>
        <w:gridCol w:w="567"/>
        <w:gridCol w:w="1728"/>
      </w:tblGrid>
      <w:tr w:rsidR="00C82BCC" w14:paraId="30EFEE71" w14:textId="77777777" w:rsidTr="000D0117">
        <w:trPr>
          <w:trHeight w:val="300"/>
          <w:jc w:val="center"/>
        </w:trPr>
        <w:tc>
          <w:tcPr>
            <w:tcW w:w="2263" w:type="dxa"/>
            <w:tcBorders>
              <w:top w:val="single" w:sz="4" w:space="0" w:color="auto"/>
              <w:left w:val="single" w:sz="4" w:space="0" w:color="auto"/>
              <w:bottom w:val="single" w:sz="4" w:space="0" w:color="auto"/>
              <w:right w:val="single" w:sz="4" w:space="0" w:color="auto"/>
            </w:tcBorders>
            <w:noWrap/>
            <w:vAlign w:val="bottom"/>
            <w:hideMark/>
          </w:tcPr>
          <w:p w14:paraId="5E7D0CF9"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7E679368"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noWrap/>
            <w:vAlign w:val="bottom"/>
            <w:hideMark/>
          </w:tcPr>
          <w:p w14:paraId="668EECA6"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14197D7D" w14:textId="77777777" w:rsidR="00C82BCC" w:rsidRDefault="00C82BCC" w:rsidP="00D6648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2A07E4A6" w14:textId="77777777" w:rsidTr="000D0117">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7F9B2A35"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7EAF2631"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64,32</w:t>
            </w:r>
          </w:p>
        </w:tc>
        <w:tc>
          <w:tcPr>
            <w:tcW w:w="567" w:type="dxa"/>
            <w:tcBorders>
              <w:top w:val="nil"/>
              <w:left w:val="nil"/>
              <w:bottom w:val="single" w:sz="4" w:space="0" w:color="auto"/>
              <w:right w:val="single" w:sz="4" w:space="0" w:color="auto"/>
            </w:tcBorders>
            <w:noWrap/>
            <w:vAlign w:val="bottom"/>
            <w:hideMark/>
          </w:tcPr>
          <w:p w14:paraId="20591838"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noWrap/>
            <w:vAlign w:val="bottom"/>
            <w:hideMark/>
          </w:tcPr>
          <w:p w14:paraId="1502DDE9"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11,32</w:t>
            </w:r>
          </w:p>
        </w:tc>
      </w:tr>
      <w:tr w:rsidR="00C82BCC" w14:paraId="354DF0AA" w14:textId="77777777" w:rsidTr="000D0117">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0BDB8634"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7FB840D1"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115,57</w:t>
            </w:r>
          </w:p>
        </w:tc>
        <w:tc>
          <w:tcPr>
            <w:tcW w:w="567" w:type="dxa"/>
            <w:tcBorders>
              <w:top w:val="nil"/>
              <w:left w:val="nil"/>
              <w:bottom w:val="single" w:sz="4" w:space="0" w:color="auto"/>
              <w:right w:val="single" w:sz="4" w:space="0" w:color="auto"/>
            </w:tcBorders>
            <w:noWrap/>
            <w:vAlign w:val="bottom"/>
            <w:hideMark/>
          </w:tcPr>
          <w:p w14:paraId="5A9BA083"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28" w:type="dxa"/>
            <w:tcBorders>
              <w:top w:val="nil"/>
              <w:left w:val="nil"/>
              <w:bottom w:val="single" w:sz="4" w:space="0" w:color="auto"/>
              <w:right w:val="single" w:sz="4" w:space="0" w:color="auto"/>
            </w:tcBorders>
            <w:noWrap/>
            <w:vAlign w:val="bottom"/>
            <w:hideMark/>
          </w:tcPr>
          <w:p w14:paraId="1F69B4E8"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7,5</w:t>
            </w:r>
          </w:p>
        </w:tc>
      </w:tr>
      <w:tr w:rsidR="00C82BCC" w14:paraId="6B21CA80" w14:textId="77777777" w:rsidTr="000D0117">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0A166F12"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19AFB9B1"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145,1</w:t>
            </w:r>
          </w:p>
        </w:tc>
        <w:tc>
          <w:tcPr>
            <w:tcW w:w="567" w:type="dxa"/>
            <w:tcBorders>
              <w:top w:val="nil"/>
              <w:left w:val="nil"/>
              <w:bottom w:val="single" w:sz="4" w:space="0" w:color="auto"/>
              <w:right w:val="single" w:sz="4" w:space="0" w:color="auto"/>
            </w:tcBorders>
            <w:noWrap/>
            <w:vAlign w:val="bottom"/>
            <w:hideMark/>
          </w:tcPr>
          <w:p w14:paraId="05737EF7"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noWrap/>
            <w:vAlign w:val="bottom"/>
            <w:hideMark/>
          </w:tcPr>
          <w:p w14:paraId="3ADA7E08"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11,32</w:t>
            </w:r>
          </w:p>
        </w:tc>
      </w:tr>
      <w:tr w:rsidR="00C82BCC" w14:paraId="03519FA0" w14:textId="77777777" w:rsidTr="000D0117">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0A62894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013987DF"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197,41</w:t>
            </w:r>
          </w:p>
        </w:tc>
        <w:tc>
          <w:tcPr>
            <w:tcW w:w="567" w:type="dxa"/>
            <w:tcBorders>
              <w:top w:val="nil"/>
              <w:left w:val="nil"/>
              <w:bottom w:val="single" w:sz="4" w:space="0" w:color="auto"/>
              <w:right w:val="single" w:sz="4" w:space="0" w:color="auto"/>
            </w:tcBorders>
            <w:noWrap/>
            <w:vAlign w:val="bottom"/>
            <w:hideMark/>
          </w:tcPr>
          <w:p w14:paraId="171E1B07"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1728" w:type="dxa"/>
            <w:tcBorders>
              <w:top w:val="nil"/>
              <w:left w:val="nil"/>
              <w:bottom w:val="single" w:sz="4" w:space="0" w:color="auto"/>
              <w:right w:val="single" w:sz="4" w:space="0" w:color="auto"/>
            </w:tcBorders>
            <w:noWrap/>
            <w:vAlign w:val="bottom"/>
            <w:hideMark/>
          </w:tcPr>
          <w:p w14:paraId="78FFAB0A" w14:textId="77777777" w:rsidR="00C82BCC" w:rsidRDefault="00C82BCC" w:rsidP="00D6648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3,79</w:t>
            </w:r>
          </w:p>
        </w:tc>
      </w:tr>
    </w:tbl>
    <w:p w14:paraId="6D657817" w14:textId="3030F477" w:rsidR="00C82BCC" w:rsidRDefault="00C82BCC" w:rsidP="00D66484">
      <w:pPr>
        <w:spacing w:before="360" w:after="360" w:line="360" w:lineRule="auto"/>
        <w:rPr>
          <w:rFonts w:cs="Times New Roman"/>
          <w:szCs w:val="24"/>
        </w:rPr>
      </w:pPr>
      <w:r>
        <w:rPr>
          <w:rFonts w:cs="Times New Roman"/>
          <w:szCs w:val="24"/>
        </w:rPr>
        <w:t>El suelo sin adición de magnesio demuestra un valor promedio superior al de todas las dosis aplicadas.</w:t>
      </w:r>
    </w:p>
    <w:p w14:paraId="6C88D75C" w14:textId="3055D181" w:rsidR="005247BF" w:rsidRDefault="00C82BCC" w:rsidP="00C82BCC">
      <w:pPr>
        <w:autoSpaceDE w:val="0"/>
        <w:autoSpaceDN w:val="0"/>
        <w:adjustRightInd w:val="0"/>
        <w:spacing w:after="0" w:line="360" w:lineRule="auto"/>
        <w:rPr>
          <w:rFonts w:cs="Times New Roman"/>
          <w:bCs/>
          <w:szCs w:val="24"/>
        </w:rPr>
      </w:pPr>
      <w:r>
        <w:rPr>
          <w:rFonts w:cs="Times New Roman"/>
          <w:bCs/>
          <w:szCs w:val="24"/>
        </w:rPr>
        <w:t xml:space="preserve">El efecto de los nutrientes que fueron significativos </w:t>
      </w:r>
      <w:r w:rsidR="003516C9">
        <w:rPr>
          <w:rFonts w:cs="Times New Roman"/>
          <w:bCs/>
          <w:szCs w:val="24"/>
        </w:rPr>
        <w:t xml:space="preserve">(p&lt;0,001) </w:t>
      </w:r>
      <w:r>
        <w:rPr>
          <w:rFonts w:cs="Times New Roman"/>
          <w:bCs/>
          <w:szCs w:val="24"/>
        </w:rPr>
        <w:t xml:space="preserve">sobre la absorción de nitrógeno en la provincia de Imbabura se observa en </w:t>
      </w:r>
      <w:r w:rsidR="000D1A0C">
        <w:rPr>
          <w:rFonts w:cs="Times New Roman"/>
          <w:bCs/>
          <w:szCs w:val="24"/>
        </w:rPr>
        <w:t>la</w:t>
      </w:r>
      <w:r>
        <w:rPr>
          <w:rFonts w:cs="Times New Roman"/>
          <w:bCs/>
          <w:szCs w:val="24"/>
        </w:rPr>
        <w:t xml:space="preserve"> siguiente </w:t>
      </w:r>
      <w:r w:rsidR="000D1A0C">
        <w:rPr>
          <w:rFonts w:cs="Times New Roman"/>
          <w:bCs/>
          <w:szCs w:val="24"/>
        </w:rPr>
        <w:t>figura</w:t>
      </w:r>
      <w:r>
        <w:rPr>
          <w:rFonts w:cs="Times New Roman"/>
          <w:bCs/>
          <w:szCs w:val="24"/>
        </w:rPr>
        <w:t xml:space="preserve"> </w:t>
      </w:r>
    </w:p>
    <w:p w14:paraId="16DCEF08" w14:textId="1B8F744A" w:rsidR="005247BF" w:rsidRPr="005247BF" w:rsidRDefault="001E7468" w:rsidP="00D66484">
      <w:pPr>
        <w:pStyle w:val="Ttulo1"/>
        <w:numPr>
          <w:ilvl w:val="0"/>
          <w:numId w:val="29"/>
        </w:numPr>
        <w:spacing w:before="360" w:after="360"/>
        <w:ind w:left="1077" w:hanging="357"/>
        <w:rPr>
          <w:b w:val="0"/>
          <w:bCs w:val="0"/>
        </w:rPr>
      </w:pPr>
      <w:bookmarkStart w:id="1803" w:name="_Toc72704645"/>
      <w:bookmarkStart w:id="1804" w:name="_Toc72706351"/>
      <w:bookmarkStart w:id="1805" w:name="_Toc72741301"/>
      <w:bookmarkStart w:id="1806" w:name="_Toc72742897"/>
      <w:bookmarkStart w:id="1807" w:name="_Toc72881255"/>
      <w:bookmarkStart w:id="1808" w:name="_Toc72881626"/>
      <w:bookmarkStart w:id="1809" w:name="_Toc75606495"/>
      <w:bookmarkStart w:id="1810" w:name="_Toc75611974"/>
      <w:bookmarkStart w:id="1811" w:name="_Toc75612820"/>
      <w:bookmarkStart w:id="1812" w:name="_Toc75679976"/>
      <w:bookmarkStart w:id="1813" w:name="_Toc75702584"/>
      <w:bookmarkStart w:id="1814" w:name="_Toc79313235"/>
      <w:bookmarkStart w:id="1815" w:name="_Toc80008446"/>
      <w:bookmarkStart w:id="1816" w:name="_Toc80312339"/>
      <w:r>
        <w:rPr>
          <w:b w:val="0"/>
          <w:bCs w:val="0"/>
        </w:rPr>
        <w:lastRenderedPageBreak/>
        <w:t>N</w:t>
      </w:r>
      <w:r w:rsidR="005247BF" w:rsidRPr="005247BF">
        <w:rPr>
          <w:b w:val="0"/>
          <w:bCs w:val="0"/>
        </w:rPr>
        <w:t>itrógeno</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37031BEF" w14:textId="04C391AF" w:rsidR="00C82BCC" w:rsidRDefault="00C82BCC" w:rsidP="00C82BCC">
      <w:pPr>
        <w:autoSpaceDE w:val="0"/>
        <w:autoSpaceDN w:val="0"/>
        <w:adjustRightInd w:val="0"/>
        <w:spacing w:after="0" w:line="360" w:lineRule="auto"/>
        <w:jc w:val="center"/>
        <w:rPr>
          <w:rFonts w:cs="Times New Roman"/>
          <w:bCs/>
          <w:szCs w:val="24"/>
        </w:rPr>
      </w:pPr>
      <w:r>
        <w:rPr>
          <w:rFonts w:cs="Times New Roman"/>
          <w:noProof/>
          <w:szCs w:val="24"/>
          <w:lang w:eastAsia="es-EC"/>
        </w:rPr>
        <w:drawing>
          <wp:inline distT="0" distB="0" distL="0" distR="0" wp14:anchorId="30BBDFEF" wp14:editId="6DC79B53">
            <wp:extent cx="3905250" cy="2266950"/>
            <wp:effectExtent l="0" t="0" r="0" b="0"/>
            <wp:docPr id="76" name="Gráfico 76">
              <a:extLst xmlns:a="http://schemas.openxmlformats.org/drawingml/2006/main">
                <a:ext uri="{FF2B5EF4-FFF2-40B4-BE49-F238E27FC236}">
                  <a16:creationId xmlns:a16="http://schemas.microsoft.com/office/drawing/2014/main" id="{F81442A1-FE00-4B8C-A017-53AEEB36A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29FB89" w14:textId="591C4376" w:rsidR="00C82BCC" w:rsidRPr="00F619ED" w:rsidRDefault="00C82BCC" w:rsidP="00D66484">
      <w:pPr>
        <w:pStyle w:val="Ttulo3"/>
        <w:numPr>
          <w:ilvl w:val="2"/>
          <w:numId w:val="51"/>
        </w:numPr>
        <w:spacing w:before="360" w:after="360"/>
        <w:rPr>
          <w:rFonts w:eastAsia="Times New Roman"/>
          <w:color w:val="000000"/>
          <w:lang w:eastAsia="es-EC"/>
        </w:rPr>
      </w:pPr>
      <w:bookmarkStart w:id="1817" w:name="_Toc80312340"/>
      <w:r w:rsidRPr="00F619ED">
        <w:t>A</w:t>
      </w:r>
      <w:r w:rsidR="00241B4C" w:rsidRPr="00F619ED">
        <w:t>b</w:t>
      </w:r>
      <w:r w:rsidRPr="00F619ED">
        <w:t>sorción de fósforo (Kg</w:t>
      </w:r>
      <w:r w:rsidRPr="00F619ED">
        <w:rPr>
          <w:rFonts w:eastAsia="Times New Roman"/>
          <w:color w:val="000000"/>
          <w:lang w:eastAsia="es-EC"/>
        </w:rPr>
        <w:t>/</w:t>
      </w:r>
      <w:r w:rsidRPr="00F619ED">
        <w:t>ha</w:t>
      </w:r>
      <w:r w:rsidRPr="00F619ED">
        <w:rPr>
          <w:vertAlign w:val="superscript"/>
        </w:rPr>
        <w:t>-1</w:t>
      </w:r>
      <w:r w:rsidRPr="00F619ED">
        <w:t>)</w:t>
      </w:r>
      <w:bookmarkEnd w:id="1817"/>
    </w:p>
    <w:p w14:paraId="68A389E7" w14:textId="77777777" w:rsidR="00177ABD" w:rsidRDefault="00C82BCC" w:rsidP="00177ABD">
      <w:pPr>
        <w:autoSpaceDE w:val="0"/>
        <w:autoSpaceDN w:val="0"/>
        <w:adjustRightInd w:val="0"/>
        <w:spacing w:after="0" w:line="360" w:lineRule="auto"/>
        <w:rPr>
          <w:rFonts w:cs="Times New Roman"/>
          <w:b/>
          <w:bCs/>
          <w:color w:val="0000FF"/>
        </w:rPr>
      </w:pPr>
      <w:r>
        <w:rPr>
          <w:rFonts w:cs="Times New Roman"/>
          <w:szCs w:val="24"/>
        </w:rPr>
        <w:t>Al utilizar el modelo estadístico para la absorción total de fósforo, se detectaron diferencias estadísticas significativas (p &lt;0,05) para las fuentes de variación de nitrógeno, fósforo, potasio y magnesio; mientras que no fueron significativos para dosis de azufre, (</w:t>
      </w:r>
      <w:r w:rsidR="00DE3747">
        <w:rPr>
          <w:rFonts w:cs="Times New Roman"/>
          <w:szCs w:val="24"/>
        </w:rPr>
        <w:t>Cuadro</w:t>
      </w:r>
      <w:r>
        <w:rPr>
          <w:rFonts w:cs="Times New Roman"/>
          <w:szCs w:val="24"/>
        </w:rPr>
        <w:t xml:space="preserve"> 114). Por lo tanto, las dosis de los fertilizantes afectaron a esta variable. El promedio general de la absorción total de fósforo fue 37,85 Kg/ha; con un R</w:t>
      </w:r>
      <w:r>
        <w:rPr>
          <w:rFonts w:cs="Times New Roman"/>
          <w:szCs w:val="24"/>
          <w:vertAlign w:val="superscript"/>
        </w:rPr>
        <w:t>2</w:t>
      </w:r>
      <w:r>
        <w:rPr>
          <w:rFonts w:cs="Times New Roman"/>
          <w:szCs w:val="24"/>
        </w:rPr>
        <w:t xml:space="preserve"> de 0,91 y un coeficiente de variación fue de 14,29 %</w:t>
      </w:r>
      <w:r w:rsidR="006757B1">
        <w:rPr>
          <w:rFonts w:cs="Times New Roman"/>
          <w:b/>
          <w:bCs/>
          <w:color w:val="0000FF"/>
        </w:rPr>
        <w:t>.</w:t>
      </w:r>
      <w:bookmarkStart w:id="1818" w:name="_Toc79314106"/>
    </w:p>
    <w:p w14:paraId="78AC1847" w14:textId="1B2F09D5" w:rsidR="006757B1" w:rsidRPr="00177ABD" w:rsidRDefault="006757B1" w:rsidP="00177ABD">
      <w:pPr>
        <w:autoSpaceDE w:val="0"/>
        <w:autoSpaceDN w:val="0"/>
        <w:adjustRightInd w:val="0"/>
        <w:spacing w:before="360" w:after="0" w:line="360" w:lineRule="auto"/>
        <w:rPr>
          <w:rFonts w:cs="Times New Roman"/>
          <w:b/>
          <w:bCs/>
          <w:color w:val="0000FF"/>
        </w:rPr>
      </w:pPr>
      <w:r w:rsidRPr="006757B1">
        <w:rPr>
          <w:rFonts w:cs="Times New Roman"/>
          <w:b/>
          <w:szCs w:val="24"/>
        </w:rPr>
        <w:t xml:space="preserve">Cuadro </w:t>
      </w:r>
      <w:r w:rsidRPr="006757B1">
        <w:rPr>
          <w:rFonts w:cs="Times New Roman"/>
          <w:b/>
          <w:i/>
          <w:iCs/>
          <w:szCs w:val="24"/>
        </w:rPr>
        <w:fldChar w:fldCharType="begin"/>
      </w:r>
      <w:r w:rsidRPr="006757B1">
        <w:rPr>
          <w:rFonts w:cs="Times New Roman"/>
          <w:b/>
          <w:szCs w:val="24"/>
        </w:rPr>
        <w:instrText xml:space="preserve"> SEQ Cuadro \* ARABIC </w:instrText>
      </w:r>
      <w:r w:rsidRPr="006757B1">
        <w:rPr>
          <w:rFonts w:cs="Times New Roman"/>
          <w:b/>
          <w:i/>
          <w:iCs/>
          <w:szCs w:val="24"/>
        </w:rPr>
        <w:fldChar w:fldCharType="separate"/>
      </w:r>
      <w:r w:rsidR="000D1F55">
        <w:rPr>
          <w:rFonts w:cs="Times New Roman"/>
          <w:b/>
          <w:noProof/>
          <w:szCs w:val="24"/>
        </w:rPr>
        <w:t>114</w:t>
      </w:r>
      <w:r w:rsidRPr="006757B1">
        <w:rPr>
          <w:rFonts w:cs="Times New Roman"/>
          <w:b/>
          <w:i/>
          <w:iCs/>
          <w:szCs w:val="24"/>
        </w:rPr>
        <w:fldChar w:fldCharType="end"/>
      </w:r>
      <w:r w:rsidRPr="006757B1">
        <w:rPr>
          <w:rFonts w:cs="Times New Roman"/>
          <w:b/>
          <w:szCs w:val="24"/>
        </w:rPr>
        <w:t>.</w:t>
      </w:r>
      <w:r w:rsidRPr="006757B1">
        <w:rPr>
          <w:rFonts w:cs="Times New Roman"/>
          <w:szCs w:val="24"/>
        </w:rPr>
        <w:t xml:space="preserve"> Análisis de la Varianza (SC tipo I) y porcentaje de varianza para absorción de fósforo de maíz suave en grano seco, evaluado en la provincia de Imbabura 2010-2015.</w:t>
      </w:r>
      <w:bookmarkEnd w:id="1818"/>
    </w:p>
    <w:tbl>
      <w:tblPr>
        <w:tblW w:w="5000" w:type="pct"/>
        <w:jc w:val="center"/>
        <w:tblCellMar>
          <w:left w:w="70" w:type="dxa"/>
          <w:right w:w="70" w:type="dxa"/>
        </w:tblCellMar>
        <w:tblLook w:val="04A0" w:firstRow="1" w:lastRow="0" w:firstColumn="1" w:lastColumn="0" w:noHBand="0" w:noVBand="1"/>
      </w:tblPr>
      <w:tblGrid>
        <w:gridCol w:w="1084"/>
        <w:gridCol w:w="1083"/>
        <w:gridCol w:w="1083"/>
        <w:gridCol w:w="1083"/>
        <w:gridCol w:w="1083"/>
        <w:gridCol w:w="1083"/>
        <w:gridCol w:w="1428"/>
      </w:tblGrid>
      <w:tr w:rsidR="00C82BCC" w14:paraId="2D22F69F" w14:textId="77777777" w:rsidTr="006757B1">
        <w:trPr>
          <w:trHeight w:val="300"/>
          <w:jc w:val="center"/>
        </w:trPr>
        <w:tc>
          <w:tcPr>
            <w:tcW w:w="684" w:type="pct"/>
            <w:tcBorders>
              <w:top w:val="single" w:sz="4" w:space="0" w:color="auto"/>
              <w:left w:val="single" w:sz="4" w:space="0" w:color="auto"/>
              <w:bottom w:val="single" w:sz="4" w:space="0" w:color="auto"/>
              <w:right w:val="single" w:sz="4" w:space="0" w:color="auto"/>
            </w:tcBorders>
            <w:noWrap/>
            <w:vAlign w:val="bottom"/>
            <w:hideMark/>
          </w:tcPr>
          <w:p w14:paraId="772FC35D" w14:textId="77777777" w:rsidR="00C82BCC" w:rsidRDefault="00C82BCC" w:rsidP="00177AB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F.V.   </w:t>
            </w:r>
          </w:p>
        </w:tc>
        <w:tc>
          <w:tcPr>
            <w:tcW w:w="683" w:type="pct"/>
            <w:tcBorders>
              <w:top w:val="single" w:sz="4" w:space="0" w:color="auto"/>
              <w:left w:val="nil"/>
              <w:bottom w:val="single" w:sz="4" w:space="0" w:color="auto"/>
              <w:right w:val="single" w:sz="4" w:space="0" w:color="auto"/>
            </w:tcBorders>
            <w:noWrap/>
            <w:vAlign w:val="bottom"/>
            <w:hideMark/>
          </w:tcPr>
          <w:p w14:paraId="7E66B60D" w14:textId="77777777" w:rsidR="00C82BCC" w:rsidRDefault="00C82BCC" w:rsidP="00177AB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683" w:type="pct"/>
            <w:tcBorders>
              <w:top w:val="single" w:sz="4" w:space="0" w:color="auto"/>
              <w:left w:val="nil"/>
              <w:bottom w:val="single" w:sz="4" w:space="0" w:color="auto"/>
              <w:right w:val="single" w:sz="4" w:space="0" w:color="auto"/>
            </w:tcBorders>
            <w:noWrap/>
            <w:vAlign w:val="bottom"/>
            <w:hideMark/>
          </w:tcPr>
          <w:p w14:paraId="456306E2" w14:textId="7FC43906" w:rsidR="00C82BCC" w:rsidRDefault="006757B1" w:rsidP="00177AB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w:t>
            </w:r>
            <w:r w:rsidR="00C82BCC">
              <w:rPr>
                <w:rFonts w:eastAsia="Times New Roman" w:cs="Times New Roman"/>
                <w:b/>
                <w:bCs/>
                <w:color w:val="000000"/>
                <w:szCs w:val="24"/>
                <w:lang w:eastAsia="es-EC"/>
              </w:rPr>
              <w:t>l</w:t>
            </w:r>
          </w:p>
        </w:tc>
        <w:tc>
          <w:tcPr>
            <w:tcW w:w="683" w:type="pct"/>
            <w:tcBorders>
              <w:top w:val="single" w:sz="4" w:space="0" w:color="auto"/>
              <w:left w:val="nil"/>
              <w:bottom w:val="single" w:sz="4" w:space="0" w:color="auto"/>
              <w:right w:val="single" w:sz="4" w:space="0" w:color="auto"/>
            </w:tcBorders>
            <w:noWrap/>
            <w:vAlign w:val="bottom"/>
            <w:hideMark/>
          </w:tcPr>
          <w:p w14:paraId="030BF72E" w14:textId="77777777" w:rsidR="00C82BCC" w:rsidRDefault="00C82BCC" w:rsidP="00177AB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683" w:type="pct"/>
            <w:tcBorders>
              <w:top w:val="single" w:sz="4" w:space="0" w:color="auto"/>
              <w:left w:val="nil"/>
              <w:bottom w:val="single" w:sz="4" w:space="0" w:color="auto"/>
              <w:right w:val="single" w:sz="4" w:space="0" w:color="auto"/>
            </w:tcBorders>
            <w:noWrap/>
            <w:vAlign w:val="bottom"/>
            <w:hideMark/>
          </w:tcPr>
          <w:p w14:paraId="7D164279" w14:textId="77777777" w:rsidR="00C82BCC" w:rsidRDefault="00C82BCC" w:rsidP="00177AB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683" w:type="pct"/>
            <w:tcBorders>
              <w:top w:val="single" w:sz="4" w:space="0" w:color="auto"/>
              <w:left w:val="nil"/>
              <w:bottom w:val="single" w:sz="4" w:space="0" w:color="auto"/>
              <w:right w:val="single" w:sz="4" w:space="0" w:color="auto"/>
            </w:tcBorders>
            <w:noWrap/>
            <w:vAlign w:val="bottom"/>
            <w:hideMark/>
          </w:tcPr>
          <w:p w14:paraId="5A0126F3" w14:textId="77777777" w:rsidR="00C82BCC" w:rsidRDefault="00C82BCC" w:rsidP="00177AB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902" w:type="pct"/>
            <w:tcBorders>
              <w:top w:val="single" w:sz="4" w:space="0" w:color="auto"/>
              <w:left w:val="nil"/>
              <w:bottom w:val="single" w:sz="4" w:space="0" w:color="auto"/>
              <w:right w:val="single" w:sz="4" w:space="0" w:color="auto"/>
            </w:tcBorders>
            <w:noWrap/>
            <w:vAlign w:val="bottom"/>
            <w:hideMark/>
          </w:tcPr>
          <w:p w14:paraId="794026F1" w14:textId="77777777" w:rsidR="00C82BCC" w:rsidRDefault="00C82BCC" w:rsidP="00177AB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69A30990"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315BEA09"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83" w:type="pct"/>
            <w:tcBorders>
              <w:top w:val="nil"/>
              <w:left w:val="nil"/>
              <w:bottom w:val="single" w:sz="4" w:space="0" w:color="auto"/>
              <w:right w:val="single" w:sz="4" w:space="0" w:color="auto"/>
            </w:tcBorders>
            <w:noWrap/>
            <w:vAlign w:val="bottom"/>
            <w:hideMark/>
          </w:tcPr>
          <w:p w14:paraId="2E2E1E8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13516,74</w:t>
            </w:r>
          </w:p>
        </w:tc>
        <w:tc>
          <w:tcPr>
            <w:tcW w:w="683" w:type="pct"/>
            <w:tcBorders>
              <w:top w:val="nil"/>
              <w:left w:val="nil"/>
              <w:bottom w:val="single" w:sz="4" w:space="0" w:color="auto"/>
              <w:right w:val="single" w:sz="4" w:space="0" w:color="auto"/>
            </w:tcBorders>
            <w:noWrap/>
            <w:vAlign w:val="bottom"/>
            <w:hideMark/>
          </w:tcPr>
          <w:p w14:paraId="3A570BC5"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683" w:type="pct"/>
            <w:tcBorders>
              <w:top w:val="nil"/>
              <w:left w:val="nil"/>
              <w:bottom w:val="single" w:sz="4" w:space="0" w:color="auto"/>
              <w:right w:val="single" w:sz="4" w:space="0" w:color="auto"/>
            </w:tcBorders>
            <w:noWrap/>
            <w:vAlign w:val="bottom"/>
            <w:hideMark/>
          </w:tcPr>
          <w:p w14:paraId="386B6AC5"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643,65</w:t>
            </w:r>
          </w:p>
        </w:tc>
        <w:tc>
          <w:tcPr>
            <w:tcW w:w="683" w:type="pct"/>
            <w:tcBorders>
              <w:top w:val="nil"/>
              <w:left w:val="nil"/>
              <w:bottom w:val="single" w:sz="4" w:space="0" w:color="auto"/>
              <w:right w:val="single" w:sz="4" w:space="0" w:color="auto"/>
            </w:tcBorders>
            <w:noWrap/>
            <w:vAlign w:val="bottom"/>
            <w:hideMark/>
          </w:tcPr>
          <w:p w14:paraId="0BEBD81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683" w:type="pct"/>
            <w:tcBorders>
              <w:top w:val="nil"/>
              <w:left w:val="nil"/>
              <w:bottom w:val="single" w:sz="4" w:space="0" w:color="auto"/>
              <w:right w:val="single" w:sz="4" w:space="0" w:color="auto"/>
            </w:tcBorders>
            <w:noWrap/>
            <w:vAlign w:val="bottom"/>
            <w:hideMark/>
          </w:tcPr>
          <w:p w14:paraId="71CEB47D"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902" w:type="pct"/>
            <w:tcBorders>
              <w:top w:val="nil"/>
              <w:left w:val="nil"/>
              <w:bottom w:val="single" w:sz="4" w:space="0" w:color="auto"/>
              <w:right w:val="single" w:sz="4" w:space="0" w:color="auto"/>
            </w:tcBorders>
            <w:noWrap/>
            <w:vAlign w:val="bottom"/>
            <w:hideMark/>
          </w:tcPr>
          <w:p w14:paraId="21EF0517"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90,76</w:t>
            </w:r>
          </w:p>
        </w:tc>
      </w:tr>
      <w:tr w:rsidR="00C82BCC" w14:paraId="439121D7"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2EB2BAB8"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683" w:type="pct"/>
            <w:tcBorders>
              <w:top w:val="nil"/>
              <w:left w:val="nil"/>
              <w:bottom w:val="single" w:sz="4" w:space="0" w:color="auto"/>
              <w:right w:val="single" w:sz="4" w:space="0" w:color="auto"/>
            </w:tcBorders>
            <w:noWrap/>
            <w:vAlign w:val="bottom"/>
            <w:hideMark/>
          </w:tcPr>
          <w:p w14:paraId="19B203C8"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8940,37</w:t>
            </w:r>
          </w:p>
        </w:tc>
        <w:tc>
          <w:tcPr>
            <w:tcW w:w="683" w:type="pct"/>
            <w:tcBorders>
              <w:top w:val="nil"/>
              <w:left w:val="nil"/>
              <w:bottom w:val="single" w:sz="4" w:space="0" w:color="auto"/>
              <w:right w:val="single" w:sz="4" w:space="0" w:color="auto"/>
            </w:tcBorders>
            <w:noWrap/>
            <w:vAlign w:val="bottom"/>
            <w:hideMark/>
          </w:tcPr>
          <w:p w14:paraId="5D47C873"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83" w:type="pct"/>
            <w:tcBorders>
              <w:top w:val="nil"/>
              <w:left w:val="nil"/>
              <w:bottom w:val="single" w:sz="4" w:space="0" w:color="auto"/>
              <w:right w:val="single" w:sz="4" w:space="0" w:color="auto"/>
            </w:tcBorders>
            <w:noWrap/>
            <w:vAlign w:val="bottom"/>
            <w:hideMark/>
          </w:tcPr>
          <w:p w14:paraId="25E1D7D8"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2235,09</w:t>
            </w:r>
          </w:p>
        </w:tc>
        <w:tc>
          <w:tcPr>
            <w:tcW w:w="683" w:type="pct"/>
            <w:tcBorders>
              <w:top w:val="nil"/>
              <w:left w:val="nil"/>
              <w:bottom w:val="single" w:sz="4" w:space="0" w:color="auto"/>
              <w:right w:val="single" w:sz="4" w:space="0" w:color="auto"/>
            </w:tcBorders>
            <w:noWrap/>
            <w:vAlign w:val="bottom"/>
            <w:hideMark/>
          </w:tcPr>
          <w:p w14:paraId="64223AC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76,38</w:t>
            </w:r>
          </w:p>
        </w:tc>
        <w:tc>
          <w:tcPr>
            <w:tcW w:w="683" w:type="pct"/>
            <w:tcBorders>
              <w:top w:val="nil"/>
              <w:left w:val="nil"/>
              <w:bottom w:val="single" w:sz="4" w:space="0" w:color="auto"/>
              <w:right w:val="single" w:sz="4" w:space="0" w:color="auto"/>
            </w:tcBorders>
            <w:noWrap/>
            <w:vAlign w:val="bottom"/>
            <w:hideMark/>
          </w:tcPr>
          <w:p w14:paraId="1036D9AA"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902" w:type="pct"/>
            <w:tcBorders>
              <w:top w:val="nil"/>
              <w:left w:val="nil"/>
              <w:bottom w:val="single" w:sz="4" w:space="0" w:color="auto"/>
              <w:right w:val="single" w:sz="4" w:space="0" w:color="auto"/>
            </w:tcBorders>
            <w:noWrap/>
            <w:vAlign w:val="bottom"/>
            <w:hideMark/>
          </w:tcPr>
          <w:p w14:paraId="234906A8"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60,03</w:t>
            </w:r>
          </w:p>
        </w:tc>
      </w:tr>
      <w:tr w:rsidR="00C82BCC" w14:paraId="3495DAC3"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31CC0189"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83" w:type="pct"/>
            <w:tcBorders>
              <w:top w:val="nil"/>
              <w:left w:val="nil"/>
              <w:bottom w:val="single" w:sz="4" w:space="0" w:color="auto"/>
              <w:right w:val="single" w:sz="4" w:space="0" w:color="auto"/>
            </w:tcBorders>
            <w:noWrap/>
            <w:vAlign w:val="bottom"/>
            <w:hideMark/>
          </w:tcPr>
          <w:p w14:paraId="7A63A2BB"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943,88</w:t>
            </w:r>
          </w:p>
        </w:tc>
        <w:tc>
          <w:tcPr>
            <w:tcW w:w="683" w:type="pct"/>
            <w:tcBorders>
              <w:top w:val="nil"/>
              <w:left w:val="nil"/>
              <w:bottom w:val="single" w:sz="4" w:space="0" w:color="auto"/>
              <w:right w:val="single" w:sz="4" w:space="0" w:color="auto"/>
            </w:tcBorders>
            <w:noWrap/>
            <w:vAlign w:val="bottom"/>
            <w:hideMark/>
          </w:tcPr>
          <w:p w14:paraId="5B66E874"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83" w:type="pct"/>
            <w:tcBorders>
              <w:top w:val="nil"/>
              <w:left w:val="nil"/>
              <w:bottom w:val="single" w:sz="4" w:space="0" w:color="auto"/>
              <w:right w:val="single" w:sz="4" w:space="0" w:color="auto"/>
            </w:tcBorders>
            <w:noWrap/>
            <w:vAlign w:val="bottom"/>
            <w:hideMark/>
          </w:tcPr>
          <w:p w14:paraId="15F0822F"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157,31</w:t>
            </w:r>
          </w:p>
        </w:tc>
        <w:tc>
          <w:tcPr>
            <w:tcW w:w="683" w:type="pct"/>
            <w:tcBorders>
              <w:top w:val="nil"/>
              <w:left w:val="nil"/>
              <w:bottom w:val="single" w:sz="4" w:space="0" w:color="auto"/>
              <w:right w:val="single" w:sz="4" w:space="0" w:color="auto"/>
            </w:tcBorders>
            <w:noWrap/>
            <w:vAlign w:val="bottom"/>
            <w:hideMark/>
          </w:tcPr>
          <w:p w14:paraId="46BF08F6"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5,38</w:t>
            </w:r>
          </w:p>
        </w:tc>
        <w:tc>
          <w:tcPr>
            <w:tcW w:w="683" w:type="pct"/>
            <w:tcBorders>
              <w:top w:val="nil"/>
              <w:left w:val="nil"/>
              <w:bottom w:val="single" w:sz="4" w:space="0" w:color="auto"/>
              <w:right w:val="single" w:sz="4" w:space="0" w:color="auto"/>
            </w:tcBorders>
            <w:noWrap/>
            <w:vAlign w:val="bottom"/>
            <w:hideMark/>
          </w:tcPr>
          <w:p w14:paraId="29C78E93"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0,0003</w:t>
            </w:r>
          </w:p>
        </w:tc>
        <w:tc>
          <w:tcPr>
            <w:tcW w:w="902" w:type="pct"/>
            <w:tcBorders>
              <w:top w:val="nil"/>
              <w:left w:val="nil"/>
              <w:bottom w:val="single" w:sz="4" w:space="0" w:color="auto"/>
              <w:right w:val="single" w:sz="4" w:space="0" w:color="auto"/>
            </w:tcBorders>
            <w:noWrap/>
            <w:vAlign w:val="bottom"/>
            <w:hideMark/>
          </w:tcPr>
          <w:p w14:paraId="67B562A2"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6,34</w:t>
            </w:r>
          </w:p>
        </w:tc>
      </w:tr>
      <w:tr w:rsidR="00C82BCC" w14:paraId="2FF9FA1E"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73F6329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83" w:type="pct"/>
            <w:tcBorders>
              <w:top w:val="nil"/>
              <w:left w:val="nil"/>
              <w:bottom w:val="single" w:sz="4" w:space="0" w:color="auto"/>
              <w:right w:val="single" w:sz="4" w:space="0" w:color="auto"/>
            </w:tcBorders>
            <w:noWrap/>
            <w:vAlign w:val="bottom"/>
            <w:hideMark/>
          </w:tcPr>
          <w:p w14:paraId="4700D80D"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1698,03</w:t>
            </w:r>
          </w:p>
        </w:tc>
        <w:tc>
          <w:tcPr>
            <w:tcW w:w="683" w:type="pct"/>
            <w:tcBorders>
              <w:top w:val="nil"/>
              <w:left w:val="nil"/>
              <w:bottom w:val="single" w:sz="4" w:space="0" w:color="auto"/>
              <w:right w:val="single" w:sz="4" w:space="0" w:color="auto"/>
            </w:tcBorders>
            <w:noWrap/>
            <w:vAlign w:val="bottom"/>
            <w:hideMark/>
          </w:tcPr>
          <w:p w14:paraId="066D3FEC"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83" w:type="pct"/>
            <w:tcBorders>
              <w:top w:val="nil"/>
              <w:left w:val="nil"/>
              <w:bottom w:val="single" w:sz="4" w:space="0" w:color="auto"/>
              <w:right w:val="single" w:sz="4" w:space="0" w:color="auto"/>
            </w:tcBorders>
            <w:noWrap/>
            <w:vAlign w:val="bottom"/>
            <w:hideMark/>
          </w:tcPr>
          <w:p w14:paraId="2839E201"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424,51</w:t>
            </w:r>
          </w:p>
        </w:tc>
        <w:tc>
          <w:tcPr>
            <w:tcW w:w="683" w:type="pct"/>
            <w:tcBorders>
              <w:top w:val="nil"/>
              <w:left w:val="nil"/>
              <w:bottom w:val="single" w:sz="4" w:space="0" w:color="auto"/>
              <w:right w:val="single" w:sz="4" w:space="0" w:color="auto"/>
            </w:tcBorders>
            <w:noWrap/>
            <w:vAlign w:val="bottom"/>
            <w:hideMark/>
          </w:tcPr>
          <w:p w14:paraId="4FA00CB7"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14,51</w:t>
            </w:r>
          </w:p>
        </w:tc>
        <w:tc>
          <w:tcPr>
            <w:tcW w:w="683" w:type="pct"/>
            <w:tcBorders>
              <w:top w:val="nil"/>
              <w:left w:val="nil"/>
              <w:bottom w:val="single" w:sz="4" w:space="0" w:color="auto"/>
              <w:right w:val="single" w:sz="4" w:space="0" w:color="auto"/>
            </w:tcBorders>
            <w:noWrap/>
            <w:vAlign w:val="bottom"/>
            <w:hideMark/>
          </w:tcPr>
          <w:p w14:paraId="4A14A5D7"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902" w:type="pct"/>
            <w:tcBorders>
              <w:top w:val="nil"/>
              <w:left w:val="nil"/>
              <w:bottom w:val="single" w:sz="4" w:space="0" w:color="auto"/>
              <w:right w:val="single" w:sz="4" w:space="0" w:color="auto"/>
            </w:tcBorders>
            <w:noWrap/>
            <w:vAlign w:val="bottom"/>
            <w:hideMark/>
          </w:tcPr>
          <w:p w14:paraId="152B0F63"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11,40</w:t>
            </w:r>
          </w:p>
        </w:tc>
      </w:tr>
      <w:tr w:rsidR="00C82BCC" w14:paraId="749175A5"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23FD30BC"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83" w:type="pct"/>
            <w:tcBorders>
              <w:top w:val="nil"/>
              <w:left w:val="nil"/>
              <w:bottom w:val="single" w:sz="4" w:space="0" w:color="auto"/>
              <w:right w:val="single" w:sz="4" w:space="0" w:color="auto"/>
            </w:tcBorders>
            <w:noWrap/>
            <w:vAlign w:val="bottom"/>
            <w:hideMark/>
          </w:tcPr>
          <w:p w14:paraId="43435BFC"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1574,08</w:t>
            </w:r>
          </w:p>
        </w:tc>
        <w:tc>
          <w:tcPr>
            <w:tcW w:w="683" w:type="pct"/>
            <w:tcBorders>
              <w:top w:val="nil"/>
              <w:left w:val="nil"/>
              <w:bottom w:val="single" w:sz="4" w:space="0" w:color="auto"/>
              <w:right w:val="single" w:sz="4" w:space="0" w:color="auto"/>
            </w:tcBorders>
            <w:noWrap/>
            <w:vAlign w:val="bottom"/>
            <w:hideMark/>
          </w:tcPr>
          <w:p w14:paraId="0A2CBB86"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683" w:type="pct"/>
            <w:tcBorders>
              <w:top w:val="nil"/>
              <w:left w:val="nil"/>
              <w:bottom w:val="single" w:sz="4" w:space="0" w:color="auto"/>
              <w:right w:val="single" w:sz="4" w:space="0" w:color="auto"/>
            </w:tcBorders>
            <w:noWrap/>
            <w:vAlign w:val="bottom"/>
            <w:hideMark/>
          </w:tcPr>
          <w:p w14:paraId="7122C983"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524,69</w:t>
            </w:r>
          </w:p>
        </w:tc>
        <w:tc>
          <w:tcPr>
            <w:tcW w:w="683" w:type="pct"/>
            <w:tcBorders>
              <w:top w:val="nil"/>
              <w:left w:val="nil"/>
              <w:bottom w:val="single" w:sz="4" w:space="0" w:color="auto"/>
              <w:right w:val="single" w:sz="4" w:space="0" w:color="auto"/>
            </w:tcBorders>
            <w:noWrap/>
            <w:vAlign w:val="bottom"/>
            <w:hideMark/>
          </w:tcPr>
          <w:p w14:paraId="5E998B84"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17,93</w:t>
            </w:r>
          </w:p>
        </w:tc>
        <w:tc>
          <w:tcPr>
            <w:tcW w:w="683" w:type="pct"/>
            <w:tcBorders>
              <w:top w:val="nil"/>
              <w:left w:val="nil"/>
              <w:bottom w:val="single" w:sz="4" w:space="0" w:color="auto"/>
              <w:right w:val="single" w:sz="4" w:space="0" w:color="auto"/>
            </w:tcBorders>
            <w:noWrap/>
            <w:vAlign w:val="bottom"/>
            <w:hideMark/>
          </w:tcPr>
          <w:p w14:paraId="438A3A91"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902" w:type="pct"/>
            <w:tcBorders>
              <w:top w:val="nil"/>
              <w:left w:val="nil"/>
              <w:bottom w:val="single" w:sz="4" w:space="0" w:color="auto"/>
              <w:right w:val="single" w:sz="4" w:space="0" w:color="auto"/>
            </w:tcBorders>
            <w:noWrap/>
            <w:vAlign w:val="bottom"/>
            <w:hideMark/>
          </w:tcPr>
          <w:p w14:paraId="28F5B0E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10,57</w:t>
            </w:r>
          </w:p>
        </w:tc>
      </w:tr>
      <w:tr w:rsidR="00C82BCC" w14:paraId="733F5969"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0B5B3D52"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83" w:type="pct"/>
            <w:tcBorders>
              <w:top w:val="nil"/>
              <w:left w:val="nil"/>
              <w:bottom w:val="single" w:sz="4" w:space="0" w:color="auto"/>
              <w:right w:val="single" w:sz="4" w:space="0" w:color="auto"/>
            </w:tcBorders>
            <w:noWrap/>
            <w:vAlign w:val="bottom"/>
            <w:hideMark/>
          </w:tcPr>
          <w:p w14:paraId="464C285D"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66,4</w:t>
            </w:r>
          </w:p>
        </w:tc>
        <w:tc>
          <w:tcPr>
            <w:tcW w:w="683" w:type="pct"/>
            <w:tcBorders>
              <w:top w:val="nil"/>
              <w:left w:val="nil"/>
              <w:bottom w:val="single" w:sz="4" w:space="0" w:color="auto"/>
              <w:right w:val="single" w:sz="4" w:space="0" w:color="auto"/>
            </w:tcBorders>
            <w:noWrap/>
            <w:vAlign w:val="bottom"/>
            <w:hideMark/>
          </w:tcPr>
          <w:p w14:paraId="72B54CC0"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83" w:type="pct"/>
            <w:tcBorders>
              <w:top w:val="nil"/>
              <w:left w:val="nil"/>
              <w:bottom w:val="single" w:sz="4" w:space="0" w:color="auto"/>
              <w:right w:val="single" w:sz="4" w:space="0" w:color="auto"/>
            </w:tcBorders>
            <w:noWrap/>
            <w:vAlign w:val="bottom"/>
            <w:hideMark/>
          </w:tcPr>
          <w:p w14:paraId="304E6134"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33,2</w:t>
            </w:r>
          </w:p>
        </w:tc>
        <w:tc>
          <w:tcPr>
            <w:tcW w:w="683" w:type="pct"/>
            <w:tcBorders>
              <w:top w:val="nil"/>
              <w:left w:val="nil"/>
              <w:bottom w:val="single" w:sz="4" w:space="0" w:color="auto"/>
              <w:right w:val="single" w:sz="4" w:space="0" w:color="auto"/>
            </w:tcBorders>
            <w:noWrap/>
            <w:vAlign w:val="bottom"/>
            <w:hideMark/>
          </w:tcPr>
          <w:p w14:paraId="49F3E0A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w:t>
            </w:r>
          </w:p>
        </w:tc>
        <w:tc>
          <w:tcPr>
            <w:tcW w:w="683" w:type="pct"/>
            <w:tcBorders>
              <w:top w:val="nil"/>
              <w:left w:val="nil"/>
              <w:bottom w:val="single" w:sz="4" w:space="0" w:color="auto"/>
              <w:right w:val="single" w:sz="4" w:space="0" w:color="auto"/>
            </w:tcBorders>
            <w:noWrap/>
            <w:vAlign w:val="bottom"/>
            <w:hideMark/>
          </w:tcPr>
          <w:p w14:paraId="2BFF566B"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0,3302</w:t>
            </w:r>
          </w:p>
        </w:tc>
        <w:tc>
          <w:tcPr>
            <w:tcW w:w="902" w:type="pct"/>
            <w:tcBorders>
              <w:top w:val="nil"/>
              <w:left w:val="nil"/>
              <w:bottom w:val="single" w:sz="4" w:space="0" w:color="auto"/>
              <w:right w:val="single" w:sz="4" w:space="0" w:color="auto"/>
            </w:tcBorders>
            <w:noWrap/>
            <w:vAlign w:val="bottom"/>
            <w:hideMark/>
          </w:tcPr>
          <w:p w14:paraId="7DA30D3A"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0,45</w:t>
            </w:r>
          </w:p>
        </w:tc>
      </w:tr>
      <w:tr w:rsidR="00C82BCC" w14:paraId="01C81C25"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60560E59"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683" w:type="pct"/>
            <w:tcBorders>
              <w:top w:val="nil"/>
              <w:left w:val="nil"/>
              <w:bottom w:val="single" w:sz="4" w:space="0" w:color="auto"/>
              <w:right w:val="single" w:sz="4" w:space="0" w:color="auto"/>
            </w:tcBorders>
            <w:noWrap/>
            <w:vAlign w:val="bottom"/>
            <w:hideMark/>
          </w:tcPr>
          <w:p w14:paraId="60715A40"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293,99</w:t>
            </w:r>
          </w:p>
        </w:tc>
        <w:tc>
          <w:tcPr>
            <w:tcW w:w="683" w:type="pct"/>
            <w:tcBorders>
              <w:top w:val="nil"/>
              <w:left w:val="nil"/>
              <w:bottom w:val="single" w:sz="4" w:space="0" w:color="auto"/>
              <w:right w:val="single" w:sz="4" w:space="0" w:color="auto"/>
            </w:tcBorders>
            <w:noWrap/>
            <w:vAlign w:val="bottom"/>
            <w:hideMark/>
          </w:tcPr>
          <w:p w14:paraId="77A034F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83" w:type="pct"/>
            <w:tcBorders>
              <w:top w:val="nil"/>
              <w:left w:val="nil"/>
              <w:bottom w:val="single" w:sz="4" w:space="0" w:color="auto"/>
              <w:right w:val="single" w:sz="4" w:space="0" w:color="auto"/>
            </w:tcBorders>
            <w:noWrap/>
            <w:vAlign w:val="bottom"/>
            <w:hideMark/>
          </w:tcPr>
          <w:p w14:paraId="581DFC1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146,99</w:t>
            </w:r>
          </w:p>
        </w:tc>
        <w:tc>
          <w:tcPr>
            <w:tcW w:w="683" w:type="pct"/>
            <w:tcBorders>
              <w:top w:val="nil"/>
              <w:left w:val="nil"/>
              <w:bottom w:val="single" w:sz="4" w:space="0" w:color="auto"/>
              <w:right w:val="single" w:sz="4" w:space="0" w:color="auto"/>
            </w:tcBorders>
            <w:noWrap/>
            <w:vAlign w:val="bottom"/>
            <w:hideMark/>
          </w:tcPr>
          <w:p w14:paraId="115DF0E1"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5,02</w:t>
            </w:r>
          </w:p>
        </w:tc>
        <w:tc>
          <w:tcPr>
            <w:tcW w:w="683" w:type="pct"/>
            <w:tcBorders>
              <w:top w:val="nil"/>
              <w:left w:val="nil"/>
              <w:bottom w:val="single" w:sz="4" w:space="0" w:color="auto"/>
              <w:right w:val="single" w:sz="4" w:space="0" w:color="auto"/>
            </w:tcBorders>
            <w:noWrap/>
            <w:vAlign w:val="bottom"/>
            <w:hideMark/>
          </w:tcPr>
          <w:p w14:paraId="5BEEA361"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0,0105</w:t>
            </w:r>
          </w:p>
        </w:tc>
        <w:tc>
          <w:tcPr>
            <w:tcW w:w="902" w:type="pct"/>
            <w:tcBorders>
              <w:top w:val="nil"/>
              <w:left w:val="nil"/>
              <w:bottom w:val="single" w:sz="4" w:space="0" w:color="auto"/>
              <w:right w:val="single" w:sz="4" w:space="0" w:color="auto"/>
            </w:tcBorders>
            <w:noWrap/>
            <w:vAlign w:val="bottom"/>
            <w:hideMark/>
          </w:tcPr>
          <w:p w14:paraId="6CFEB08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1,97</w:t>
            </w:r>
          </w:p>
        </w:tc>
      </w:tr>
      <w:tr w:rsidR="00C82BCC" w14:paraId="58C951FC"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74EC61EC"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83" w:type="pct"/>
            <w:tcBorders>
              <w:top w:val="nil"/>
              <w:left w:val="nil"/>
              <w:bottom w:val="single" w:sz="4" w:space="0" w:color="auto"/>
              <w:right w:val="single" w:sz="4" w:space="0" w:color="auto"/>
            </w:tcBorders>
            <w:noWrap/>
            <w:vAlign w:val="bottom"/>
            <w:hideMark/>
          </w:tcPr>
          <w:p w14:paraId="2B759A91"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1375,29</w:t>
            </w:r>
          </w:p>
        </w:tc>
        <w:tc>
          <w:tcPr>
            <w:tcW w:w="683" w:type="pct"/>
            <w:tcBorders>
              <w:top w:val="nil"/>
              <w:left w:val="nil"/>
              <w:bottom w:val="single" w:sz="4" w:space="0" w:color="auto"/>
              <w:right w:val="single" w:sz="4" w:space="0" w:color="auto"/>
            </w:tcBorders>
            <w:noWrap/>
            <w:vAlign w:val="bottom"/>
            <w:hideMark/>
          </w:tcPr>
          <w:p w14:paraId="59B77295"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683" w:type="pct"/>
            <w:tcBorders>
              <w:top w:val="nil"/>
              <w:left w:val="nil"/>
              <w:bottom w:val="single" w:sz="4" w:space="0" w:color="auto"/>
              <w:right w:val="single" w:sz="4" w:space="0" w:color="auto"/>
            </w:tcBorders>
            <w:noWrap/>
            <w:vAlign w:val="bottom"/>
            <w:hideMark/>
          </w:tcPr>
          <w:p w14:paraId="6DB3AA06"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29,26</w:t>
            </w:r>
          </w:p>
        </w:tc>
        <w:tc>
          <w:tcPr>
            <w:tcW w:w="683" w:type="pct"/>
            <w:tcBorders>
              <w:top w:val="nil"/>
              <w:left w:val="nil"/>
              <w:bottom w:val="single" w:sz="4" w:space="0" w:color="auto"/>
              <w:right w:val="single" w:sz="4" w:space="0" w:color="auto"/>
            </w:tcBorders>
            <w:noWrap/>
            <w:vAlign w:val="bottom"/>
            <w:hideMark/>
          </w:tcPr>
          <w:p w14:paraId="208E979A"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3" w:type="pct"/>
            <w:tcBorders>
              <w:top w:val="nil"/>
              <w:left w:val="nil"/>
              <w:bottom w:val="single" w:sz="4" w:space="0" w:color="auto"/>
              <w:right w:val="single" w:sz="4" w:space="0" w:color="auto"/>
            </w:tcBorders>
            <w:noWrap/>
            <w:vAlign w:val="bottom"/>
            <w:hideMark/>
          </w:tcPr>
          <w:p w14:paraId="195AA652"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02" w:type="pct"/>
            <w:tcBorders>
              <w:top w:val="nil"/>
              <w:left w:val="nil"/>
              <w:bottom w:val="single" w:sz="4" w:space="0" w:color="auto"/>
              <w:right w:val="single" w:sz="4" w:space="0" w:color="auto"/>
            </w:tcBorders>
            <w:noWrap/>
            <w:vAlign w:val="bottom"/>
            <w:hideMark/>
          </w:tcPr>
          <w:p w14:paraId="45AB542E"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9,24</w:t>
            </w:r>
          </w:p>
        </w:tc>
      </w:tr>
      <w:tr w:rsidR="00C82BCC" w14:paraId="68D6D1A7" w14:textId="77777777" w:rsidTr="006757B1">
        <w:trPr>
          <w:trHeight w:val="300"/>
          <w:jc w:val="center"/>
        </w:trPr>
        <w:tc>
          <w:tcPr>
            <w:tcW w:w="684" w:type="pct"/>
            <w:tcBorders>
              <w:top w:val="nil"/>
              <w:left w:val="single" w:sz="4" w:space="0" w:color="auto"/>
              <w:bottom w:val="single" w:sz="4" w:space="0" w:color="auto"/>
              <w:right w:val="single" w:sz="4" w:space="0" w:color="auto"/>
            </w:tcBorders>
            <w:noWrap/>
            <w:vAlign w:val="bottom"/>
            <w:hideMark/>
          </w:tcPr>
          <w:p w14:paraId="3E5B1241"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83" w:type="pct"/>
            <w:tcBorders>
              <w:top w:val="nil"/>
              <w:left w:val="nil"/>
              <w:bottom w:val="single" w:sz="4" w:space="0" w:color="auto"/>
              <w:right w:val="single" w:sz="4" w:space="0" w:color="auto"/>
            </w:tcBorders>
            <w:noWrap/>
            <w:vAlign w:val="bottom"/>
            <w:hideMark/>
          </w:tcPr>
          <w:p w14:paraId="46D81C0F"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14892,03</w:t>
            </w:r>
          </w:p>
        </w:tc>
        <w:tc>
          <w:tcPr>
            <w:tcW w:w="683" w:type="pct"/>
            <w:tcBorders>
              <w:top w:val="nil"/>
              <w:left w:val="nil"/>
              <w:bottom w:val="single" w:sz="4" w:space="0" w:color="auto"/>
              <w:right w:val="single" w:sz="4" w:space="0" w:color="auto"/>
            </w:tcBorders>
            <w:noWrap/>
            <w:vAlign w:val="bottom"/>
            <w:hideMark/>
          </w:tcPr>
          <w:p w14:paraId="6BB93A1F"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w:t>
            </w:r>
          </w:p>
        </w:tc>
        <w:tc>
          <w:tcPr>
            <w:tcW w:w="683" w:type="pct"/>
            <w:tcBorders>
              <w:top w:val="nil"/>
              <w:left w:val="nil"/>
              <w:bottom w:val="single" w:sz="4" w:space="0" w:color="auto"/>
              <w:right w:val="single" w:sz="4" w:space="0" w:color="auto"/>
            </w:tcBorders>
            <w:noWrap/>
            <w:vAlign w:val="bottom"/>
            <w:hideMark/>
          </w:tcPr>
          <w:p w14:paraId="3BF7ACD3"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3" w:type="pct"/>
            <w:tcBorders>
              <w:top w:val="nil"/>
              <w:left w:val="nil"/>
              <w:bottom w:val="single" w:sz="4" w:space="0" w:color="auto"/>
              <w:right w:val="single" w:sz="4" w:space="0" w:color="auto"/>
            </w:tcBorders>
            <w:noWrap/>
            <w:vAlign w:val="bottom"/>
            <w:hideMark/>
          </w:tcPr>
          <w:p w14:paraId="27ADF458"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83" w:type="pct"/>
            <w:tcBorders>
              <w:top w:val="nil"/>
              <w:left w:val="nil"/>
              <w:bottom w:val="single" w:sz="4" w:space="0" w:color="auto"/>
              <w:right w:val="single" w:sz="4" w:space="0" w:color="auto"/>
            </w:tcBorders>
            <w:noWrap/>
            <w:vAlign w:val="bottom"/>
            <w:hideMark/>
          </w:tcPr>
          <w:p w14:paraId="578397B4"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02" w:type="pct"/>
            <w:tcBorders>
              <w:top w:val="nil"/>
              <w:left w:val="nil"/>
              <w:bottom w:val="single" w:sz="4" w:space="0" w:color="auto"/>
              <w:right w:val="single" w:sz="4" w:space="0" w:color="auto"/>
            </w:tcBorders>
            <w:noWrap/>
            <w:vAlign w:val="bottom"/>
            <w:hideMark/>
          </w:tcPr>
          <w:p w14:paraId="6E5FB605" w14:textId="77777777" w:rsidR="00C82BCC" w:rsidRDefault="00C82BCC" w:rsidP="00177AB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1435ECFB" w14:textId="77777777" w:rsidR="00C82BCC" w:rsidRDefault="00C82BCC" w:rsidP="00C82BCC">
      <w:pPr>
        <w:autoSpaceDE w:val="0"/>
        <w:autoSpaceDN w:val="0"/>
        <w:adjustRightInd w:val="0"/>
        <w:spacing w:after="0" w:line="360" w:lineRule="auto"/>
        <w:rPr>
          <w:rFonts w:cs="Times New Roman"/>
          <w:szCs w:val="24"/>
          <w:u w:val="single"/>
        </w:rPr>
      </w:pPr>
    </w:p>
    <w:p w14:paraId="73D10F94" w14:textId="4A1DE091" w:rsidR="00C82BCC" w:rsidRDefault="00C82BCC" w:rsidP="00C82BCC">
      <w:pPr>
        <w:autoSpaceDE w:val="0"/>
        <w:autoSpaceDN w:val="0"/>
        <w:adjustRightInd w:val="0"/>
        <w:spacing w:after="0" w:line="360" w:lineRule="auto"/>
        <w:rPr>
          <w:rFonts w:cs="Times New Roman"/>
          <w:bCs/>
          <w:szCs w:val="24"/>
        </w:rPr>
      </w:pPr>
      <w:r>
        <w:rPr>
          <w:rFonts w:cs="Times New Roman"/>
          <w:bCs/>
          <w:szCs w:val="24"/>
        </w:rPr>
        <w:lastRenderedPageBreak/>
        <w:t>El modelo estadístico establecido explica el 90,76 % de la variación observada en los datos; el fósforo considera una variación del 11,40 %, el nitrógeno nutriente con más importancia que explica el 6,34 % de la variación observada. El 9,24 % de la variación se les atribuyó a efectos aleatorios que el modelo no pudo explicar (error). El potasio y el magnesio explicaron el 10,57 % y 1,97 % de a</w:t>
      </w:r>
      <w:r w:rsidR="00241B4C">
        <w:rPr>
          <w:rFonts w:cs="Times New Roman"/>
          <w:bCs/>
          <w:szCs w:val="24"/>
        </w:rPr>
        <w:t>b</w:t>
      </w:r>
      <w:r>
        <w:rPr>
          <w:rFonts w:cs="Times New Roman"/>
          <w:bCs/>
          <w:szCs w:val="24"/>
        </w:rPr>
        <w:t xml:space="preserve">sorción total de fósforo, respectivamente. El azufre explicó menos del 5% de la </w:t>
      </w:r>
      <w:r>
        <w:rPr>
          <w:rFonts w:cs="Times New Roman"/>
          <w:szCs w:val="24"/>
        </w:rPr>
        <w:t>absorción total de fósforo</w:t>
      </w:r>
      <w:r>
        <w:rPr>
          <w:rFonts w:cs="Times New Roman"/>
          <w:bCs/>
          <w:szCs w:val="24"/>
        </w:rPr>
        <w:t xml:space="preserve"> (</w:t>
      </w:r>
      <w:r w:rsidR="00DE3747">
        <w:rPr>
          <w:rFonts w:cs="Times New Roman"/>
          <w:bCs/>
          <w:szCs w:val="24"/>
        </w:rPr>
        <w:t>Cuadro</w:t>
      </w:r>
      <w:r>
        <w:rPr>
          <w:rFonts w:cs="Times New Roman"/>
          <w:bCs/>
          <w:szCs w:val="24"/>
        </w:rPr>
        <w:t xml:space="preserve"> 11</w:t>
      </w:r>
      <w:r w:rsidR="0039325D">
        <w:rPr>
          <w:rFonts w:cs="Times New Roman"/>
          <w:bCs/>
          <w:szCs w:val="24"/>
        </w:rPr>
        <w:t>3</w:t>
      </w:r>
      <w:r>
        <w:rPr>
          <w:rFonts w:cs="Times New Roman"/>
          <w:bCs/>
          <w:szCs w:val="24"/>
        </w:rPr>
        <w:t xml:space="preserve">).  </w:t>
      </w:r>
    </w:p>
    <w:p w14:paraId="6126FF7B" w14:textId="4F9C350D" w:rsidR="008E62D8" w:rsidRDefault="00C82BCC" w:rsidP="008E62D8">
      <w:pPr>
        <w:autoSpaceDE w:val="0"/>
        <w:autoSpaceDN w:val="0"/>
        <w:adjustRightInd w:val="0"/>
        <w:spacing w:before="360" w:after="360" w:line="360" w:lineRule="auto"/>
        <w:rPr>
          <w:rFonts w:cs="Times New Roman"/>
          <w:bCs/>
          <w:szCs w:val="24"/>
        </w:rPr>
      </w:pPr>
      <w:r>
        <w:rPr>
          <w:rFonts w:cs="Times New Roman"/>
          <w:bCs/>
          <w:szCs w:val="24"/>
        </w:rPr>
        <w:t>En l</w:t>
      </w:r>
      <w:r w:rsidR="00DE3747">
        <w:rPr>
          <w:rFonts w:cs="Times New Roman"/>
          <w:bCs/>
          <w:szCs w:val="24"/>
        </w:rPr>
        <w:t>os cuadros</w:t>
      </w:r>
      <w:r w:rsidR="00CC04E3">
        <w:rPr>
          <w:rFonts w:cs="Times New Roman"/>
          <w:bCs/>
          <w:szCs w:val="24"/>
        </w:rPr>
        <w:t xml:space="preserve"> </w:t>
      </w:r>
      <w:r w:rsidR="0039325D">
        <w:rPr>
          <w:rFonts w:cs="Times New Roman"/>
          <w:bCs/>
          <w:szCs w:val="24"/>
        </w:rPr>
        <w:t xml:space="preserve">114, </w:t>
      </w:r>
      <w:r>
        <w:rPr>
          <w:rFonts w:cs="Times New Roman"/>
          <w:bCs/>
          <w:szCs w:val="24"/>
        </w:rPr>
        <w:t>115, 116, 117, 118</w:t>
      </w:r>
      <w:r w:rsidR="0039325D">
        <w:rPr>
          <w:rFonts w:cs="Times New Roman"/>
          <w:bCs/>
          <w:szCs w:val="24"/>
        </w:rPr>
        <w:t xml:space="preserve"> y </w:t>
      </w:r>
      <w:r>
        <w:rPr>
          <w:rFonts w:cs="Times New Roman"/>
          <w:bCs/>
          <w:szCs w:val="24"/>
        </w:rPr>
        <w:t>119 se presentan los promedios y el error estándar de a</w:t>
      </w:r>
      <w:r w:rsidR="00241B4C">
        <w:rPr>
          <w:rFonts w:cs="Times New Roman"/>
          <w:bCs/>
          <w:szCs w:val="24"/>
        </w:rPr>
        <w:t>b</w:t>
      </w:r>
      <w:r>
        <w:rPr>
          <w:rFonts w:cs="Times New Roman"/>
          <w:bCs/>
          <w:szCs w:val="24"/>
        </w:rPr>
        <w:t>sorción de fósforo por efecto de las localidades (parroquia) y los niveles de nitrógeno, fósforo, potasio, azufre, magnesio con su respectiva prueba de Lsd Fisher (alfa=0,05).</w:t>
      </w:r>
      <w:bookmarkStart w:id="1819" w:name="_Toc79314107"/>
    </w:p>
    <w:p w14:paraId="483A0786" w14:textId="6885C9C7" w:rsidR="006757B1" w:rsidRPr="008E62D8" w:rsidRDefault="006757B1" w:rsidP="008E62D8">
      <w:pPr>
        <w:autoSpaceDE w:val="0"/>
        <w:autoSpaceDN w:val="0"/>
        <w:adjustRightInd w:val="0"/>
        <w:spacing w:before="360" w:after="0" w:line="360" w:lineRule="auto"/>
        <w:rPr>
          <w:rFonts w:cs="Times New Roman"/>
          <w:bCs/>
          <w:szCs w:val="24"/>
        </w:rPr>
      </w:pPr>
      <w:r w:rsidRPr="006757B1">
        <w:rPr>
          <w:rFonts w:cs="Times New Roman"/>
          <w:b/>
          <w:bCs/>
          <w:szCs w:val="24"/>
        </w:rPr>
        <w:t xml:space="preserve">Cuadro </w:t>
      </w:r>
      <w:r w:rsidRPr="006757B1">
        <w:rPr>
          <w:rFonts w:cs="Times New Roman"/>
          <w:b/>
          <w:bCs/>
          <w:i/>
          <w:iCs/>
          <w:szCs w:val="24"/>
        </w:rPr>
        <w:fldChar w:fldCharType="begin"/>
      </w:r>
      <w:r w:rsidRPr="006757B1">
        <w:rPr>
          <w:rFonts w:cs="Times New Roman"/>
          <w:b/>
          <w:bCs/>
          <w:szCs w:val="24"/>
        </w:rPr>
        <w:instrText xml:space="preserve"> SEQ Cuadro \* ARABIC </w:instrText>
      </w:r>
      <w:r w:rsidRPr="006757B1">
        <w:rPr>
          <w:rFonts w:cs="Times New Roman"/>
          <w:b/>
          <w:bCs/>
          <w:i/>
          <w:iCs/>
          <w:szCs w:val="24"/>
        </w:rPr>
        <w:fldChar w:fldCharType="separate"/>
      </w:r>
      <w:r w:rsidR="000D1F55">
        <w:rPr>
          <w:rFonts w:cs="Times New Roman"/>
          <w:b/>
          <w:bCs/>
          <w:noProof/>
          <w:szCs w:val="24"/>
        </w:rPr>
        <w:t>115</w:t>
      </w:r>
      <w:r w:rsidRPr="006757B1">
        <w:rPr>
          <w:rFonts w:cs="Times New Roman"/>
          <w:b/>
          <w:bCs/>
          <w:i/>
          <w:iCs/>
          <w:szCs w:val="24"/>
        </w:rPr>
        <w:fldChar w:fldCharType="end"/>
      </w:r>
      <w:r w:rsidRPr="006757B1">
        <w:rPr>
          <w:rFonts w:cs="Times New Roman"/>
          <w:b/>
          <w:bCs/>
          <w:szCs w:val="24"/>
        </w:rPr>
        <w:t xml:space="preserve">. </w:t>
      </w:r>
      <w:r w:rsidRPr="006757B1">
        <w:rPr>
          <w:rFonts w:cs="Times New Roman"/>
          <w:bCs/>
          <w:szCs w:val="24"/>
        </w:rPr>
        <w:t>Absorción total de fósforo de plantas de maíz suave, evaluado por localidades (parroquia) en la provincia de Imbabura 2010-2015.</w:t>
      </w:r>
      <w:bookmarkEnd w:id="1819"/>
    </w:p>
    <w:tbl>
      <w:tblPr>
        <w:tblW w:w="5000" w:type="pct"/>
        <w:tblCellMar>
          <w:left w:w="0" w:type="dxa"/>
          <w:right w:w="0" w:type="dxa"/>
        </w:tblCellMar>
        <w:tblLook w:val="04A0" w:firstRow="1" w:lastRow="0" w:firstColumn="1" w:lastColumn="0" w:noHBand="0" w:noVBand="1"/>
      </w:tblPr>
      <w:tblGrid>
        <w:gridCol w:w="1250"/>
        <w:gridCol w:w="1021"/>
        <w:gridCol w:w="699"/>
        <w:gridCol w:w="1699"/>
        <w:gridCol w:w="567"/>
        <w:gridCol w:w="537"/>
        <w:gridCol w:w="597"/>
        <w:gridCol w:w="719"/>
        <w:gridCol w:w="838"/>
      </w:tblGrid>
      <w:tr w:rsidR="00C82BCC" w14:paraId="34CBEA6D" w14:textId="77777777" w:rsidTr="006757B1">
        <w:trPr>
          <w:trHeight w:val="300"/>
        </w:trPr>
        <w:tc>
          <w:tcPr>
            <w:tcW w:w="7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DD4F24"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Parroquia </w:t>
            </w:r>
          </w:p>
        </w:tc>
        <w:tc>
          <w:tcPr>
            <w:tcW w:w="64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E31EACD"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Medias</w:t>
            </w:r>
          </w:p>
        </w:tc>
        <w:tc>
          <w:tcPr>
            <w:tcW w:w="4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C098255"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n </w:t>
            </w:r>
          </w:p>
        </w:tc>
        <w:tc>
          <w:tcPr>
            <w:tcW w:w="107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3D9B1C6"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58"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4185C9ED"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  </w:t>
            </w:r>
          </w:p>
        </w:tc>
        <w:tc>
          <w:tcPr>
            <w:tcW w:w="334"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44A07080" w14:textId="77777777" w:rsidR="00C82BCC" w:rsidRDefault="00C82BCC" w:rsidP="008E62D8">
            <w:pPr>
              <w:spacing w:after="0" w:line="240" w:lineRule="auto"/>
              <w:jc w:val="right"/>
              <w:rPr>
                <w:rFonts w:cs="Times New Roman"/>
                <w:b/>
                <w:bCs/>
                <w:color w:val="000000"/>
                <w:szCs w:val="24"/>
              </w:rPr>
            </w:pPr>
            <w:r>
              <w:rPr>
                <w:rFonts w:cs="Times New Roman"/>
                <w:b/>
                <w:bCs/>
                <w:color w:val="000000"/>
                <w:szCs w:val="24"/>
              </w:rPr>
              <w:t xml:space="preserve">  Lsd</w:t>
            </w:r>
          </w:p>
        </w:tc>
        <w:tc>
          <w:tcPr>
            <w:tcW w:w="377"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A08AB73"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0,05  </w:t>
            </w:r>
          </w:p>
        </w:tc>
        <w:tc>
          <w:tcPr>
            <w:tcW w:w="454"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9A64986"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  </w:t>
            </w:r>
          </w:p>
        </w:tc>
        <w:tc>
          <w:tcPr>
            <w:tcW w:w="52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B5F5EFE"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  </w:t>
            </w:r>
          </w:p>
        </w:tc>
      </w:tr>
      <w:tr w:rsidR="00C82BCC" w14:paraId="7DF58BA3" w14:textId="77777777" w:rsidTr="006757B1">
        <w:trPr>
          <w:trHeight w:val="300"/>
        </w:trPr>
        <w:tc>
          <w:tcPr>
            <w:tcW w:w="78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ED1B43" w14:textId="77777777" w:rsidR="00C82BCC" w:rsidRDefault="00C82BCC" w:rsidP="008E62D8">
            <w:pPr>
              <w:spacing w:after="0" w:line="240" w:lineRule="auto"/>
              <w:jc w:val="center"/>
              <w:rPr>
                <w:rFonts w:cs="Times New Roman"/>
                <w:color w:val="000000"/>
                <w:szCs w:val="24"/>
              </w:rPr>
            </w:pPr>
            <w:r>
              <w:rPr>
                <w:rFonts w:cs="Times New Roman"/>
                <w:color w:val="000000"/>
                <w:szCs w:val="24"/>
              </w:rPr>
              <w:t>Miguel Egas</w:t>
            </w:r>
          </w:p>
        </w:tc>
        <w:tc>
          <w:tcPr>
            <w:tcW w:w="6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3B8DA3" w14:textId="77777777" w:rsidR="00C82BCC" w:rsidRDefault="00C82BCC" w:rsidP="008E62D8">
            <w:pPr>
              <w:spacing w:after="0" w:line="240" w:lineRule="auto"/>
              <w:jc w:val="center"/>
              <w:rPr>
                <w:rFonts w:cs="Times New Roman"/>
                <w:color w:val="000000"/>
                <w:szCs w:val="24"/>
              </w:rPr>
            </w:pPr>
            <w:r>
              <w:rPr>
                <w:rFonts w:cs="Times New Roman"/>
                <w:color w:val="000000"/>
                <w:szCs w:val="24"/>
              </w:rPr>
              <w:t>24,48</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B59E2C" w14:textId="77777777" w:rsidR="00C82BCC" w:rsidRDefault="00C82BCC" w:rsidP="008E62D8">
            <w:pPr>
              <w:spacing w:after="0" w:line="240" w:lineRule="auto"/>
              <w:jc w:val="center"/>
              <w:rPr>
                <w:rFonts w:cs="Times New Roman"/>
                <w:color w:val="000000"/>
                <w:szCs w:val="24"/>
              </w:rPr>
            </w:pPr>
            <w:r>
              <w:rPr>
                <w:rFonts w:cs="Times New Roman"/>
                <w:color w:val="000000"/>
                <w:szCs w:val="24"/>
              </w:rPr>
              <w:t>21</w:t>
            </w:r>
          </w:p>
        </w:tc>
        <w:tc>
          <w:tcPr>
            <w:tcW w:w="10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81F6C5" w14:textId="77777777" w:rsidR="00C82BCC" w:rsidRDefault="00C82BCC" w:rsidP="008E62D8">
            <w:pPr>
              <w:spacing w:after="0" w:line="240" w:lineRule="auto"/>
              <w:jc w:val="center"/>
              <w:rPr>
                <w:rFonts w:cs="Times New Roman"/>
                <w:color w:val="000000"/>
                <w:szCs w:val="24"/>
              </w:rPr>
            </w:pPr>
            <w:r>
              <w:rPr>
                <w:rFonts w:cs="Times New Roman"/>
                <w:color w:val="000000"/>
                <w:szCs w:val="24"/>
              </w:rPr>
              <w:t>1,29</w:t>
            </w:r>
          </w:p>
        </w:tc>
        <w:tc>
          <w:tcPr>
            <w:tcW w:w="35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9E4B5EA"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A </w:t>
            </w:r>
          </w:p>
        </w:tc>
        <w:tc>
          <w:tcPr>
            <w:tcW w:w="33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6239D63"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37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F59AE76"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45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E86DA5C"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52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673A7B4"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r>
      <w:tr w:rsidR="00C82BCC" w14:paraId="2E7233EF" w14:textId="77777777" w:rsidTr="006757B1">
        <w:trPr>
          <w:trHeight w:val="300"/>
        </w:trPr>
        <w:tc>
          <w:tcPr>
            <w:tcW w:w="78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FAF7F5"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Imantag    </w:t>
            </w:r>
          </w:p>
        </w:tc>
        <w:tc>
          <w:tcPr>
            <w:tcW w:w="6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0742B3" w14:textId="77777777" w:rsidR="00C82BCC" w:rsidRDefault="00C82BCC" w:rsidP="008E62D8">
            <w:pPr>
              <w:spacing w:after="0" w:line="240" w:lineRule="auto"/>
              <w:jc w:val="center"/>
              <w:rPr>
                <w:rFonts w:cs="Times New Roman"/>
                <w:color w:val="000000"/>
                <w:szCs w:val="24"/>
              </w:rPr>
            </w:pPr>
            <w:r>
              <w:rPr>
                <w:rFonts w:cs="Times New Roman"/>
                <w:color w:val="000000"/>
                <w:szCs w:val="24"/>
              </w:rPr>
              <w:t>31,17</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96BEEB" w14:textId="77777777" w:rsidR="00C82BCC" w:rsidRDefault="00C82BCC" w:rsidP="008E62D8">
            <w:pPr>
              <w:spacing w:after="0" w:line="240" w:lineRule="auto"/>
              <w:jc w:val="center"/>
              <w:rPr>
                <w:rFonts w:cs="Times New Roman"/>
                <w:color w:val="000000"/>
                <w:szCs w:val="24"/>
              </w:rPr>
            </w:pPr>
            <w:r>
              <w:rPr>
                <w:rFonts w:cs="Times New Roman"/>
                <w:color w:val="000000"/>
                <w:szCs w:val="24"/>
              </w:rPr>
              <w:t>17</w:t>
            </w:r>
          </w:p>
        </w:tc>
        <w:tc>
          <w:tcPr>
            <w:tcW w:w="10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271ACF" w14:textId="77777777" w:rsidR="00C82BCC" w:rsidRDefault="00C82BCC" w:rsidP="008E62D8">
            <w:pPr>
              <w:spacing w:after="0" w:line="240" w:lineRule="auto"/>
              <w:jc w:val="center"/>
              <w:rPr>
                <w:rFonts w:cs="Times New Roman"/>
                <w:color w:val="000000"/>
                <w:szCs w:val="24"/>
              </w:rPr>
            </w:pPr>
            <w:r>
              <w:rPr>
                <w:rFonts w:cs="Times New Roman"/>
                <w:color w:val="000000"/>
                <w:szCs w:val="24"/>
              </w:rPr>
              <w:t>1,36</w:t>
            </w:r>
          </w:p>
        </w:tc>
        <w:tc>
          <w:tcPr>
            <w:tcW w:w="35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3C3E15"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33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267F07"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B </w:t>
            </w:r>
          </w:p>
        </w:tc>
        <w:tc>
          <w:tcPr>
            <w:tcW w:w="37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E3E963"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45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7D5D7F"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78A582"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r>
      <w:tr w:rsidR="00C82BCC" w14:paraId="706E3A0E" w14:textId="77777777" w:rsidTr="006757B1">
        <w:trPr>
          <w:trHeight w:val="300"/>
        </w:trPr>
        <w:tc>
          <w:tcPr>
            <w:tcW w:w="78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E3F2B24"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Paztavi    </w:t>
            </w:r>
          </w:p>
        </w:tc>
        <w:tc>
          <w:tcPr>
            <w:tcW w:w="6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6703AF" w14:textId="77777777" w:rsidR="00C82BCC" w:rsidRDefault="00C82BCC" w:rsidP="008E62D8">
            <w:pPr>
              <w:spacing w:after="0" w:line="240" w:lineRule="auto"/>
              <w:jc w:val="center"/>
              <w:rPr>
                <w:rFonts w:cs="Times New Roman"/>
                <w:color w:val="000000"/>
                <w:szCs w:val="24"/>
              </w:rPr>
            </w:pPr>
            <w:r>
              <w:rPr>
                <w:rFonts w:cs="Times New Roman"/>
                <w:color w:val="000000"/>
                <w:szCs w:val="24"/>
              </w:rPr>
              <w:t>37,55</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0510EF" w14:textId="77777777" w:rsidR="00C82BCC" w:rsidRDefault="00C82BCC" w:rsidP="008E62D8">
            <w:pPr>
              <w:spacing w:after="0" w:line="240" w:lineRule="auto"/>
              <w:jc w:val="center"/>
              <w:rPr>
                <w:rFonts w:cs="Times New Roman"/>
                <w:color w:val="000000"/>
                <w:szCs w:val="24"/>
              </w:rPr>
            </w:pPr>
            <w:r>
              <w:rPr>
                <w:rFonts w:cs="Times New Roman"/>
                <w:color w:val="000000"/>
                <w:szCs w:val="24"/>
              </w:rPr>
              <w:t>6</w:t>
            </w:r>
          </w:p>
        </w:tc>
        <w:tc>
          <w:tcPr>
            <w:tcW w:w="10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67A227" w14:textId="77777777" w:rsidR="00C82BCC" w:rsidRDefault="00C82BCC" w:rsidP="008E62D8">
            <w:pPr>
              <w:spacing w:after="0" w:line="240" w:lineRule="auto"/>
              <w:jc w:val="center"/>
              <w:rPr>
                <w:rFonts w:cs="Times New Roman"/>
                <w:color w:val="000000"/>
                <w:szCs w:val="24"/>
              </w:rPr>
            </w:pPr>
            <w:r>
              <w:rPr>
                <w:rFonts w:cs="Times New Roman"/>
                <w:color w:val="000000"/>
                <w:szCs w:val="24"/>
              </w:rPr>
              <w:t>2,28</w:t>
            </w:r>
          </w:p>
        </w:tc>
        <w:tc>
          <w:tcPr>
            <w:tcW w:w="35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C4796D"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33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731A79"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37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CB5F90"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C </w:t>
            </w:r>
          </w:p>
        </w:tc>
        <w:tc>
          <w:tcPr>
            <w:tcW w:w="45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1DD55A"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8EC6D2"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r>
      <w:tr w:rsidR="00C82BCC" w14:paraId="6E0641A2" w14:textId="77777777" w:rsidTr="006757B1">
        <w:trPr>
          <w:trHeight w:val="300"/>
        </w:trPr>
        <w:tc>
          <w:tcPr>
            <w:tcW w:w="78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B62E23"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Ilumán     </w:t>
            </w:r>
          </w:p>
        </w:tc>
        <w:tc>
          <w:tcPr>
            <w:tcW w:w="6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14C2B8" w14:textId="77777777" w:rsidR="00C82BCC" w:rsidRDefault="00C82BCC" w:rsidP="008E62D8">
            <w:pPr>
              <w:spacing w:after="0" w:line="240" w:lineRule="auto"/>
              <w:jc w:val="center"/>
              <w:rPr>
                <w:rFonts w:cs="Times New Roman"/>
                <w:color w:val="000000"/>
                <w:szCs w:val="24"/>
              </w:rPr>
            </w:pPr>
            <w:r>
              <w:rPr>
                <w:rFonts w:cs="Times New Roman"/>
                <w:color w:val="000000"/>
                <w:szCs w:val="24"/>
              </w:rPr>
              <w:t>43,21</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7EC3B2" w14:textId="77777777" w:rsidR="00C82BCC" w:rsidRDefault="00C82BCC" w:rsidP="008E62D8">
            <w:pPr>
              <w:spacing w:after="0" w:line="240" w:lineRule="auto"/>
              <w:jc w:val="center"/>
              <w:rPr>
                <w:rFonts w:cs="Times New Roman"/>
                <w:color w:val="000000"/>
                <w:szCs w:val="24"/>
              </w:rPr>
            </w:pPr>
            <w:r>
              <w:rPr>
                <w:rFonts w:cs="Times New Roman"/>
                <w:color w:val="000000"/>
                <w:szCs w:val="24"/>
              </w:rPr>
              <w:t>15</w:t>
            </w:r>
          </w:p>
        </w:tc>
        <w:tc>
          <w:tcPr>
            <w:tcW w:w="10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2635A4" w14:textId="77777777" w:rsidR="00C82BCC" w:rsidRDefault="00C82BCC" w:rsidP="008E62D8">
            <w:pPr>
              <w:spacing w:after="0" w:line="240" w:lineRule="auto"/>
              <w:jc w:val="center"/>
              <w:rPr>
                <w:rFonts w:cs="Times New Roman"/>
                <w:color w:val="000000"/>
                <w:szCs w:val="24"/>
              </w:rPr>
            </w:pPr>
            <w:r>
              <w:rPr>
                <w:rFonts w:cs="Times New Roman"/>
                <w:color w:val="000000"/>
                <w:szCs w:val="24"/>
              </w:rPr>
              <w:t>1,5</w:t>
            </w:r>
          </w:p>
        </w:tc>
        <w:tc>
          <w:tcPr>
            <w:tcW w:w="35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E4B455"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33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E72653"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37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B62B52"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45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A8DBA8"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D </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FF810B"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r>
      <w:tr w:rsidR="00C82BCC" w14:paraId="2D77C8F7" w14:textId="77777777" w:rsidTr="006757B1">
        <w:trPr>
          <w:trHeight w:val="300"/>
        </w:trPr>
        <w:tc>
          <w:tcPr>
            <w:tcW w:w="78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10DE5D" w14:textId="77777777" w:rsidR="00C82BCC" w:rsidRDefault="00C82BCC" w:rsidP="008E62D8">
            <w:pPr>
              <w:spacing w:after="0" w:line="240" w:lineRule="auto"/>
              <w:jc w:val="center"/>
              <w:rPr>
                <w:rFonts w:cs="Times New Roman"/>
                <w:color w:val="000000"/>
                <w:szCs w:val="24"/>
              </w:rPr>
            </w:pPr>
            <w:r>
              <w:rPr>
                <w:rFonts w:cs="Times New Roman"/>
                <w:color w:val="000000"/>
                <w:szCs w:val="24"/>
              </w:rPr>
              <w:t>El Sagrario</w:t>
            </w:r>
          </w:p>
        </w:tc>
        <w:tc>
          <w:tcPr>
            <w:tcW w:w="64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2F48A8" w14:textId="77777777" w:rsidR="00C82BCC" w:rsidRDefault="00C82BCC" w:rsidP="008E62D8">
            <w:pPr>
              <w:spacing w:after="0" w:line="240" w:lineRule="auto"/>
              <w:jc w:val="center"/>
              <w:rPr>
                <w:rFonts w:cs="Times New Roman"/>
                <w:color w:val="000000"/>
                <w:szCs w:val="24"/>
              </w:rPr>
            </w:pPr>
            <w:r>
              <w:rPr>
                <w:rFonts w:cs="Times New Roman"/>
                <w:color w:val="000000"/>
                <w:szCs w:val="24"/>
              </w:rPr>
              <w:t>61,5</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03620C" w14:textId="77777777" w:rsidR="00C82BCC" w:rsidRDefault="00C82BCC" w:rsidP="008E62D8">
            <w:pPr>
              <w:spacing w:after="0" w:line="240" w:lineRule="auto"/>
              <w:jc w:val="center"/>
              <w:rPr>
                <w:rFonts w:cs="Times New Roman"/>
                <w:color w:val="000000"/>
                <w:szCs w:val="24"/>
              </w:rPr>
            </w:pPr>
            <w:r>
              <w:rPr>
                <w:rFonts w:cs="Times New Roman"/>
                <w:color w:val="000000"/>
                <w:szCs w:val="24"/>
              </w:rPr>
              <w:t>10</w:t>
            </w:r>
          </w:p>
        </w:tc>
        <w:tc>
          <w:tcPr>
            <w:tcW w:w="107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D545E5" w14:textId="77777777" w:rsidR="00C82BCC" w:rsidRDefault="00C82BCC" w:rsidP="008E62D8">
            <w:pPr>
              <w:spacing w:after="0" w:line="240" w:lineRule="auto"/>
              <w:jc w:val="center"/>
              <w:rPr>
                <w:rFonts w:cs="Times New Roman"/>
                <w:color w:val="000000"/>
                <w:szCs w:val="24"/>
              </w:rPr>
            </w:pPr>
            <w:r>
              <w:rPr>
                <w:rFonts w:cs="Times New Roman"/>
                <w:color w:val="000000"/>
                <w:szCs w:val="24"/>
              </w:rPr>
              <w:t>1,77</w:t>
            </w:r>
          </w:p>
        </w:tc>
        <w:tc>
          <w:tcPr>
            <w:tcW w:w="35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E72C5F"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33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9E0B9C"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37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302401"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45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E22D61"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F3B51B"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E </w:t>
            </w:r>
          </w:p>
        </w:tc>
      </w:tr>
    </w:tbl>
    <w:p w14:paraId="7AD70936" w14:textId="26894E49" w:rsidR="008E62D8" w:rsidRDefault="00C82BCC" w:rsidP="008E62D8">
      <w:pPr>
        <w:autoSpaceDE w:val="0"/>
        <w:autoSpaceDN w:val="0"/>
        <w:adjustRightInd w:val="0"/>
        <w:spacing w:after="0" w:line="360" w:lineRule="auto"/>
        <w:rPr>
          <w:rFonts w:cs="Times New Roman"/>
          <w:szCs w:val="24"/>
        </w:rPr>
      </w:pPr>
      <w:r>
        <w:rPr>
          <w:rFonts w:cs="Times New Roman"/>
          <w:szCs w:val="24"/>
        </w:rPr>
        <w:t>Medias con una letra común no son significa</w:t>
      </w:r>
      <w:r w:rsidR="006757B1">
        <w:rPr>
          <w:rFonts w:cs="Times New Roman"/>
          <w:szCs w:val="24"/>
        </w:rPr>
        <w:t>tivamente diferentes (p &gt; 0,05)</w:t>
      </w:r>
      <w:bookmarkStart w:id="1820" w:name="_Toc79314108"/>
    </w:p>
    <w:p w14:paraId="359DB199" w14:textId="3AF8ECBC" w:rsidR="006757B1" w:rsidRPr="008E62D8" w:rsidRDefault="006757B1" w:rsidP="008E62D8">
      <w:pPr>
        <w:autoSpaceDE w:val="0"/>
        <w:autoSpaceDN w:val="0"/>
        <w:adjustRightInd w:val="0"/>
        <w:spacing w:before="360" w:after="0" w:line="360" w:lineRule="auto"/>
        <w:rPr>
          <w:rFonts w:cs="Times New Roman"/>
          <w:szCs w:val="24"/>
        </w:rPr>
      </w:pPr>
      <w:r w:rsidRPr="006757B1">
        <w:rPr>
          <w:rFonts w:cs="Times New Roman"/>
          <w:b/>
          <w:szCs w:val="24"/>
        </w:rPr>
        <w:t xml:space="preserve">Cuadro </w:t>
      </w:r>
      <w:r w:rsidRPr="006757B1">
        <w:rPr>
          <w:rFonts w:cs="Times New Roman"/>
          <w:b/>
          <w:i/>
          <w:iCs/>
          <w:szCs w:val="24"/>
        </w:rPr>
        <w:fldChar w:fldCharType="begin"/>
      </w:r>
      <w:r w:rsidRPr="006757B1">
        <w:rPr>
          <w:rFonts w:cs="Times New Roman"/>
          <w:b/>
          <w:szCs w:val="24"/>
        </w:rPr>
        <w:instrText xml:space="preserve"> SEQ Cuadro \* ARABIC </w:instrText>
      </w:r>
      <w:r w:rsidRPr="006757B1">
        <w:rPr>
          <w:rFonts w:cs="Times New Roman"/>
          <w:b/>
          <w:i/>
          <w:iCs/>
          <w:szCs w:val="24"/>
        </w:rPr>
        <w:fldChar w:fldCharType="separate"/>
      </w:r>
      <w:r w:rsidR="000D1F55">
        <w:rPr>
          <w:rFonts w:cs="Times New Roman"/>
          <w:b/>
          <w:noProof/>
          <w:szCs w:val="24"/>
        </w:rPr>
        <w:t>116</w:t>
      </w:r>
      <w:r w:rsidRPr="006757B1">
        <w:rPr>
          <w:rFonts w:cs="Times New Roman"/>
          <w:b/>
          <w:i/>
          <w:iCs/>
          <w:szCs w:val="24"/>
        </w:rPr>
        <w:fldChar w:fldCharType="end"/>
      </w:r>
      <w:r w:rsidRPr="006757B1">
        <w:rPr>
          <w:rFonts w:cs="Times New Roman"/>
          <w:b/>
          <w:szCs w:val="24"/>
        </w:rPr>
        <w:t xml:space="preserve">. </w:t>
      </w:r>
      <w:r w:rsidRPr="006757B1">
        <w:rPr>
          <w:rFonts w:cs="Times New Roman"/>
          <w:szCs w:val="24"/>
        </w:rPr>
        <w:t>Absorción total de fósforo de maíz suave para diversas dosis de nitrógeno evaluadas en la provincia de Imbabura 2010-2015.</w:t>
      </w:r>
      <w:bookmarkEnd w:id="1820"/>
    </w:p>
    <w:tbl>
      <w:tblPr>
        <w:tblW w:w="7667" w:type="dxa"/>
        <w:jc w:val="center"/>
        <w:tblCellMar>
          <w:left w:w="70" w:type="dxa"/>
          <w:right w:w="70" w:type="dxa"/>
        </w:tblCellMar>
        <w:tblLook w:val="04A0" w:firstRow="1" w:lastRow="0" w:firstColumn="1" w:lastColumn="0" w:noHBand="0" w:noVBand="1"/>
      </w:tblPr>
      <w:tblGrid>
        <w:gridCol w:w="1980"/>
        <w:gridCol w:w="887"/>
        <w:gridCol w:w="530"/>
        <w:gridCol w:w="1870"/>
        <w:gridCol w:w="1200"/>
        <w:gridCol w:w="1200"/>
      </w:tblGrid>
      <w:tr w:rsidR="00C82BCC" w14:paraId="76368248" w14:textId="77777777" w:rsidTr="00CC04E3">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F5111D5"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5425D90B"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noWrap/>
            <w:vAlign w:val="bottom"/>
            <w:hideMark/>
          </w:tcPr>
          <w:p w14:paraId="4B044B78"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70" w:type="dxa"/>
            <w:tcBorders>
              <w:top w:val="single" w:sz="4" w:space="0" w:color="auto"/>
              <w:left w:val="nil"/>
              <w:bottom w:val="single" w:sz="4" w:space="0" w:color="auto"/>
              <w:right w:val="single" w:sz="4" w:space="0" w:color="auto"/>
            </w:tcBorders>
            <w:noWrap/>
            <w:vAlign w:val="bottom"/>
            <w:hideMark/>
          </w:tcPr>
          <w:p w14:paraId="7ED01794"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10257291" w14:textId="77777777" w:rsidR="00C82BCC" w:rsidRDefault="00C82BCC" w:rsidP="008E62D8">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Lsd </w:t>
            </w:r>
          </w:p>
        </w:tc>
        <w:tc>
          <w:tcPr>
            <w:tcW w:w="1200" w:type="dxa"/>
            <w:tcBorders>
              <w:top w:val="single" w:sz="4" w:space="0" w:color="auto"/>
              <w:left w:val="nil"/>
              <w:bottom w:val="single" w:sz="4" w:space="0" w:color="auto"/>
              <w:right w:val="single" w:sz="4" w:space="0" w:color="auto"/>
            </w:tcBorders>
            <w:noWrap/>
            <w:vAlign w:val="bottom"/>
            <w:hideMark/>
          </w:tcPr>
          <w:p w14:paraId="07A8EA70" w14:textId="77777777" w:rsidR="00C82BCC" w:rsidRDefault="00C82BCC" w:rsidP="008E62D8">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151BE688" w14:textId="77777777" w:rsidTr="00CC04E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2430FBD2"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887" w:type="dxa"/>
            <w:tcBorders>
              <w:top w:val="nil"/>
              <w:left w:val="nil"/>
              <w:bottom w:val="single" w:sz="4" w:space="0" w:color="auto"/>
              <w:right w:val="single" w:sz="4" w:space="0" w:color="auto"/>
            </w:tcBorders>
            <w:noWrap/>
            <w:vAlign w:val="bottom"/>
            <w:hideMark/>
          </w:tcPr>
          <w:p w14:paraId="06395DEA"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33,82</w:t>
            </w:r>
          </w:p>
        </w:tc>
        <w:tc>
          <w:tcPr>
            <w:tcW w:w="530" w:type="dxa"/>
            <w:tcBorders>
              <w:top w:val="nil"/>
              <w:left w:val="nil"/>
              <w:bottom w:val="single" w:sz="4" w:space="0" w:color="auto"/>
              <w:right w:val="single" w:sz="4" w:space="0" w:color="auto"/>
            </w:tcBorders>
            <w:noWrap/>
            <w:vAlign w:val="bottom"/>
            <w:hideMark/>
          </w:tcPr>
          <w:p w14:paraId="61D49D71"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870" w:type="dxa"/>
            <w:tcBorders>
              <w:top w:val="nil"/>
              <w:left w:val="nil"/>
              <w:bottom w:val="single" w:sz="4" w:space="0" w:color="auto"/>
              <w:right w:val="single" w:sz="4" w:space="0" w:color="auto"/>
            </w:tcBorders>
            <w:noWrap/>
            <w:vAlign w:val="bottom"/>
            <w:hideMark/>
          </w:tcPr>
          <w:p w14:paraId="34A8E42C"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3,23</w:t>
            </w:r>
          </w:p>
        </w:tc>
        <w:tc>
          <w:tcPr>
            <w:tcW w:w="1200" w:type="dxa"/>
            <w:tcBorders>
              <w:top w:val="single" w:sz="4" w:space="0" w:color="auto"/>
              <w:left w:val="nil"/>
              <w:bottom w:val="single" w:sz="4" w:space="0" w:color="auto"/>
              <w:right w:val="single" w:sz="4" w:space="0" w:color="auto"/>
            </w:tcBorders>
            <w:noWrap/>
            <w:vAlign w:val="bottom"/>
            <w:hideMark/>
          </w:tcPr>
          <w:p w14:paraId="4E4649F2"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798F9A35"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2D6DA2DA" w14:textId="77777777" w:rsidTr="00CC04E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A67ABDF"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26397A42"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34,15</w:t>
            </w:r>
          </w:p>
        </w:tc>
        <w:tc>
          <w:tcPr>
            <w:tcW w:w="530" w:type="dxa"/>
            <w:tcBorders>
              <w:top w:val="nil"/>
              <w:left w:val="nil"/>
              <w:bottom w:val="single" w:sz="4" w:space="0" w:color="auto"/>
              <w:right w:val="single" w:sz="4" w:space="0" w:color="auto"/>
            </w:tcBorders>
            <w:noWrap/>
            <w:vAlign w:val="bottom"/>
            <w:hideMark/>
          </w:tcPr>
          <w:p w14:paraId="0613ED34"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870" w:type="dxa"/>
            <w:tcBorders>
              <w:top w:val="nil"/>
              <w:left w:val="nil"/>
              <w:bottom w:val="single" w:sz="4" w:space="0" w:color="auto"/>
              <w:right w:val="single" w:sz="4" w:space="0" w:color="auto"/>
            </w:tcBorders>
            <w:noWrap/>
            <w:vAlign w:val="bottom"/>
            <w:hideMark/>
          </w:tcPr>
          <w:p w14:paraId="457F9259"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200" w:type="dxa"/>
            <w:tcBorders>
              <w:top w:val="nil"/>
              <w:left w:val="nil"/>
              <w:bottom w:val="single" w:sz="4" w:space="0" w:color="auto"/>
              <w:right w:val="single" w:sz="4" w:space="0" w:color="auto"/>
            </w:tcBorders>
            <w:noWrap/>
            <w:vAlign w:val="bottom"/>
            <w:hideMark/>
          </w:tcPr>
          <w:p w14:paraId="4A1E2B7C"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02771502"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CA88B42" w14:textId="77777777" w:rsidTr="00CC04E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20D56B8"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887" w:type="dxa"/>
            <w:tcBorders>
              <w:top w:val="nil"/>
              <w:left w:val="nil"/>
              <w:bottom w:val="single" w:sz="4" w:space="0" w:color="auto"/>
              <w:right w:val="single" w:sz="4" w:space="0" w:color="auto"/>
            </w:tcBorders>
            <w:noWrap/>
            <w:vAlign w:val="bottom"/>
            <w:hideMark/>
          </w:tcPr>
          <w:p w14:paraId="34C4B34D"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36,09</w:t>
            </w:r>
          </w:p>
        </w:tc>
        <w:tc>
          <w:tcPr>
            <w:tcW w:w="530" w:type="dxa"/>
            <w:tcBorders>
              <w:top w:val="nil"/>
              <w:left w:val="nil"/>
              <w:bottom w:val="single" w:sz="4" w:space="0" w:color="auto"/>
              <w:right w:val="single" w:sz="4" w:space="0" w:color="auto"/>
            </w:tcBorders>
            <w:noWrap/>
            <w:vAlign w:val="bottom"/>
            <w:hideMark/>
          </w:tcPr>
          <w:p w14:paraId="791F5E5F"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870" w:type="dxa"/>
            <w:tcBorders>
              <w:top w:val="nil"/>
              <w:left w:val="nil"/>
              <w:bottom w:val="single" w:sz="4" w:space="0" w:color="auto"/>
              <w:right w:val="single" w:sz="4" w:space="0" w:color="auto"/>
            </w:tcBorders>
            <w:noWrap/>
            <w:vAlign w:val="bottom"/>
            <w:hideMark/>
          </w:tcPr>
          <w:p w14:paraId="437454B4"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3,23</w:t>
            </w:r>
          </w:p>
        </w:tc>
        <w:tc>
          <w:tcPr>
            <w:tcW w:w="1200" w:type="dxa"/>
            <w:tcBorders>
              <w:top w:val="nil"/>
              <w:left w:val="nil"/>
              <w:bottom w:val="single" w:sz="4" w:space="0" w:color="auto"/>
              <w:right w:val="single" w:sz="4" w:space="0" w:color="auto"/>
            </w:tcBorders>
            <w:noWrap/>
            <w:vAlign w:val="bottom"/>
            <w:hideMark/>
          </w:tcPr>
          <w:p w14:paraId="60E25056"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6530D000"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52D21927" w14:textId="77777777" w:rsidTr="00CC04E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8F3351A"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887" w:type="dxa"/>
            <w:tcBorders>
              <w:top w:val="nil"/>
              <w:left w:val="nil"/>
              <w:bottom w:val="single" w:sz="4" w:space="0" w:color="auto"/>
              <w:right w:val="single" w:sz="4" w:space="0" w:color="auto"/>
            </w:tcBorders>
            <w:noWrap/>
            <w:vAlign w:val="bottom"/>
            <w:hideMark/>
          </w:tcPr>
          <w:p w14:paraId="7548DCEA"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39,49</w:t>
            </w:r>
          </w:p>
        </w:tc>
        <w:tc>
          <w:tcPr>
            <w:tcW w:w="530" w:type="dxa"/>
            <w:tcBorders>
              <w:top w:val="nil"/>
              <w:left w:val="nil"/>
              <w:bottom w:val="single" w:sz="4" w:space="0" w:color="auto"/>
              <w:right w:val="single" w:sz="4" w:space="0" w:color="auto"/>
            </w:tcBorders>
            <w:noWrap/>
            <w:vAlign w:val="bottom"/>
            <w:hideMark/>
          </w:tcPr>
          <w:p w14:paraId="074FFF3D"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870" w:type="dxa"/>
            <w:tcBorders>
              <w:top w:val="nil"/>
              <w:left w:val="nil"/>
              <w:bottom w:val="single" w:sz="4" w:space="0" w:color="auto"/>
              <w:right w:val="single" w:sz="4" w:space="0" w:color="auto"/>
            </w:tcBorders>
            <w:noWrap/>
            <w:vAlign w:val="bottom"/>
            <w:hideMark/>
          </w:tcPr>
          <w:p w14:paraId="22FF6EF3"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1,32</w:t>
            </w:r>
          </w:p>
        </w:tc>
        <w:tc>
          <w:tcPr>
            <w:tcW w:w="1200" w:type="dxa"/>
            <w:tcBorders>
              <w:top w:val="nil"/>
              <w:left w:val="nil"/>
              <w:bottom w:val="single" w:sz="4" w:space="0" w:color="auto"/>
              <w:right w:val="single" w:sz="4" w:space="0" w:color="auto"/>
            </w:tcBorders>
            <w:noWrap/>
            <w:vAlign w:val="bottom"/>
            <w:hideMark/>
          </w:tcPr>
          <w:p w14:paraId="3C502510"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69AAA6E9"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13685D02" w14:textId="77777777" w:rsidTr="00CC04E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11BC535"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01696C82"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39,88</w:t>
            </w:r>
          </w:p>
        </w:tc>
        <w:tc>
          <w:tcPr>
            <w:tcW w:w="530" w:type="dxa"/>
            <w:tcBorders>
              <w:top w:val="nil"/>
              <w:left w:val="nil"/>
              <w:bottom w:val="single" w:sz="4" w:space="0" w:color="auto"/>
              <w:right w:val="single" w:sz="4" w:space="0" w:color="auto"/>
            </w:tcBorders>
            <w:noWrap/>
            <w:vAlign w:val="bottom"/>
            <w:hideMark/>
          </w:tcPr>
          <w:p w14:paraId="44745A11"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870" w:type="dxa"/>
            <w:tcBorders>
              <w:top w:val="nil"/>
              <w:left w:val="nil"/>
              <w:bottom w:val="single" w:sz="4" w:space="0" w:color="auto"/>
              <w:right w:val="single" w:sz="4" w:space="0" w:color="auto"/>
            </w:tcBorders>
            <w:noWrap/>
            <w:vAlign w:val="bottom"/>
            <w:hideMark/>
          </w:tcPr>
          <w:p w14:paraId="3EB029C6"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w:t>
            </w:r>
          </w:p>
        </w:tc>
        <w:tc>
          <w:tcPr>
            <w:tcW w:w="1200" w:type="dxa"/>
            <w:tcBorders>
              <w:top w:val="nil"/>
              <w:left w:val="nil"/>
              <w:bottom w:val="single" w:sz="4" w:space="0" w:color="auto"/>
              <w:right w:val="single" w:sz="4" w:space="0" w:color="auto"/>
            </w:tcBorders>
            <w:noWrap/>
            <w:vAlign w:val="bottom"/>
            <w:hideMark/>
          </w:tcPr>
          <w:p w14:paraId="073F6FF1"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27B63051"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10EF8BAC" w14:textId="77777777" w:rsidTr="00CC04E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25C4D771"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noWrap/>
            <w:vAlign w:val="bottom"/>
            <w:hideMark/>
          </w:tcPr>
          <w:p w14:paraId="0B89C8FE"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42,43</w:t>
            </w:r>
          </w:p>
        </w:tc>
        <w:tc>
          <w:tcPr>
            <w:tcW w:w="530" w:type="dxa"/>
            <w:tcBorders>
              <w:top w:val="nil"/>
              <w:left w:val="nil"/>
              <w:bottom w:val="single" w:sz="4" w:space="0" w:color="auto"/>
              <w:right w:val="single" w:sz="4" w:space="0" w:color="auto"/>
            </w:tcBorders>
            <w:noWrap/>
            <w:vAlign w:val="bottom"/>
            <w:hideMark/>
          </w:tcPr>
          <w:p w14:paraId="3FF081EE"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870" w:type="dxa"/>
            <w:tcBorders>
              <w:top w:val="nil"/>
              <w:left w:val="nil"/>
              <w:bottom w:val="single" w:sz="4" w:space="0" w:color="auto"/>
              <w:right w:val="single" w:sz="4" w:space="0" w:color="auto"/>
            </w:tcBorders>
            <w:noWrap/>
            <w:vAlign w:val="bottom"/>
            <w:hideMark/>
          </w:tcPr>
          <w:p w14:paraId="08B55025"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1,46</w:t>
            </w:r>
          </w:p>
        </w:tc>
        <w:tc>
          <w:tcPr>
            <w:tcW w:w="1200" w:type="dxa"/>
            <w:tcBorders>
              <w:top w:val="nil"/>
              <w:left w:val="nil"/>
              <w:bottom w:val="single" w:sz="4" w:space="0" w:color="auto"/>
              <w:right w:val="single" w:sz="4" w:space="0" w:color="auto"/>
            </w:tcBorders>
            <w:noWrap/>
            <w:vAlign w:val="bottom"/>
            <w:hideMark/>
          </w:tcPr>
          <w:p w14:paraId="2ED05643"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098A125F"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5A2DAC03" w14:textId="77777777" w:rsidTr="00CC04E3">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0CE120F"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0C97BBB8"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46,96</w:t>
            </w:r>
          </w:p>
        </w:tc>
        <w:tc>
          <w:tcPr>
            <w:tcW w:w="530" w:type="dxa"/>
            <w:tcBorders>
              <w:top w:val="nil"/>
              <w:left w:val="nil"/>
              <w:bottom w:val="single" w:sz="4" w:space="0" w:color="auto"/>
              <w:right w:val="single" w:sz="4" w:space="0" w:color="auto"/>
            </w:tcBorders>
            <w:noWrap/>
            <w:vAlign w:val="bottom"/>
            <w:hideMark/>
          </w:tcPr>
          <w:p w14:paraId="34093565"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0" w:type="dxa"/>
            <w:tcBorders>
              <w:top w:val="nil"/>
              <w:left w:val="nil"/>
              <w:bottom w:val="single" w:sz="4" w:space="0" w:color="auto"/>
              <w:right w:val="single" w:sz="4" w:space="0" w:color="auto"/>
            </w:tcBorders>
            <w:noWrap/>
            <w:vAlign w:val="bottom"/>
            <w:hideMark/>
          </w:tcPr>
          <w:p w14:paraId="60523C54"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5,59</w:t>
            </w:r>
          </w:p>
        </w:tc>
        <w:tc>
          <w:tcPr>
            <w:tcW w:w="1200" w:type="dxa"/>
            <w:tcBorders>
              <w:top w:val="nil"/>
              <w:left w:val="nil"/>
              <w:bottom w:val="single" w:sz="4" w:space="0" w:color="auto"/>
              <w:right w:val="single" w:sz="4" w:space="0" w:color="auto"/>
            </w:tcBorders>
            <w:noWrap/>
            <w:vAlign w:val="bottom"/>
            <w:hideMark/>
          </w:tcPr>
          <w:p w14:paraId="4DE15E26"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59E5A667"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0C35880F" w14:textId="69A6E3C0" w:rsidR="00C82BCC" w:rsidRDefault="00C82BCC" w:rsidP="006757B1">
      <w:pPr>
        <w:autoSpaceDE w:val="0"/>
        <w:autoSpaceDN w:val="0"/>
        <w:adjustRightInd w:val="0"/>
        <w:spacing w:after="0" w:line="360" w:lineRule="auto"/>
        <w:rPr>
          <w:rFonts w:cs="Times New Roman"/>
          <w:szCs w:val="24"/>
        </w:rPr>
      </w:pPr>
      <w:r>
        <w:rPr>
          <w:rFonts w:cs="Times New Roman"/>
          <w:szCs w:val="24"/>
        </w:rPr>
        <w:t>Medias con una letra común no son significa</w:t>
      </w:r>
      <w:bookmarkStart w:id="1821" w:name="_Toc72704650"/>
      <w:bookmarkStart w:id="1822" w:name="_Toc72706356"/>
      <w:bookmarkStart w:id="1823" w:name="_Toc72741306"/>
      <w:bookmarkStart w:id="1824" w:name="_Toc72742104"/>
      <w:r w:rsidR="006757B1">
        <w:rPr>
          <w:rFonts w:cs="Times New Roman"/>
          <w:szCs w:val="24"/>
        </w:rPr>
        <w:t>tivamente diferentes (p &gt; 0,05)</w:t>
      </w:r>
      <w:bookmarkEnd w:id="1821"/>
      <w:bookmarkEnd w:id="1822"/>
      <w:bookmarkEnd w:id="1823"/>
      <w:bookmarkEnd w:id="1824"/>
    </w:p>
    <w:p w14:paraId="427C1983" w14:textId="77777777" w:rsidR="006757B1" w:rsidRPr="006757B1" w:rsidRDefault="006757B1" w:rsidP="006757B1">
      <w:pPr>
        <w:autoSpaceDE w:val="0"/>
        <w:autoSpaceDN w:val="0"/>
        <w:adjustRightInd w:val="0"/>
        <w:spacing w:after="0" w:line="360" w:lineRule="auto"/>
        <w:rPr>
          <w:rFonts w:cs="Times New Roman"/>
          <w:szCs w:val="24"/>
        </w:rPr>
      </w:pPr>
    </w:p>
    <w:p w14:paraId="7EDCA2B5" w14:textId="7E85B46A" w:rsidR="006757B1" w:rsidRPr="006757B1" w:rsidRDefault="006757B1" w:rsidP="008E62D8">
      <w:pPr>
        <w:autoSpaceDE w:val="0"/>
        <w:autoSpaceDN w:val="0"/>
        <w:adjustRightInd w:val="0"/>
        <w:spacing w:before="360" w:after="0" w:line="360" w:lineRule="auto"/>
        <w:rPr>
          <w:rFonts w:cs="Times New Roman"/>
          <w:szCs w:val="24"/>
        </w:rPr>
      </w:pPr>
      <w:bookmarkStart w:id="1825" w:name="_Toc79314109"/>
      <w:r w:rsidRPr="006757B1">
        <w:rPr>
          <w:rFonts w:cs="Times New Roman"/>
          <w:b/>
          <w:szCs w:val="24"/>
        </w:rPr>
        <w:lastRenderedPageBreak/>
        <w:t xml:space="preserve">Cuadro </w:t>
      </w:r>
      <w:r w:rsidRPr="006757B1">
        <w:rPr>
          <w:rFonts w:cs="Times New Roman"/>
          <w:b/>
          <w:szCs w:val="24"/>
        </w:rPr>
        <w:fldChar w:fldCharType="begin"/>
      </w:r>
      <w:r w:rsidRPr="006757B1">
        <w:rPr>
          <w:rFonts w:cs="Times New Roman"/>
          <w:b/>
          <w:szCs w:val="24"/>
        </w:rPr>
        <w:instrText xml:space="preserve"> SEQ Cuadro \* ARABIC </w:instrText>
      </w:r>
      <w:r w:rsidRPr="006757B1">
        <w:rPr>
          <w:rFonts w:cs="Times New Roman"/>
          <w:b/>
          <w:szCs w:val="24"/>
        </w:rPr>
        <w:fldChar w:fldCharType="separate"/>
      </w:r>
      <w:r w:rsidR="000D1F55">
        <w:rPr>
          <w:rFonts w:cs="Times New Roman"/>
          <w:b/>
          <w:noProof/>
          <w:szCs w:val="24"/>
        </w:rPr>
        <w:t>117</w:t>
      </w:r>
      <w:r w:rsidRPr="006757B1">
        <w:rPr>
          <w:rFonts w:cs="Times New Roman"/>
          <w:b/>
          <w:szCs w:val="24"/>
        </w:rPr>
        <w:fldChar w:fldCharType="end"/>
      </w:r>
      <w:r w:rsidRPr="006757B1">
        <w:rPr>
          <w:rFonts w:cs="Times New Roman"/>
          <w:b/>
          <w:szCs w:val="24"/>
        </w:rPr>
        <w:t xml:space="preserve">. </w:t>
      </w:r>
      <w:r w:rsidRPr="006757B1">
        <w:rPr>
          <w:rFonts w:cs="Times New Roman"/>
          <w:szCs w:val="24"/>
        </w:rPr>
        <w:t>Absorción total de fósforo de maíz suave para diversas dosis de fósforo evaluadas en la provincia de Imbabura 2010-2015.</w:t>
      </w:r>
      <w:bookmarkEnd w:id="1825"/>
    </w:p>
    <w:tbl>
      <w:tblPr>
        <w:tblW w:w="7809" w:type="dxa"/>
        <w:jc w:val="center"/>
        <w:tblCellMar>
          <w:left w:w="70" w:type="dxa"/>
          <w:right w:w="70" w:type="dxa"/>
        </w:tblCellMar>
        <w:tblLook w:val="04A0" w:firstRow="1" w:lastRow="0" w:firstColumn="1" w:lastColumn="0" w:noHBand="0" w:noVBand="1"/>
      </w:tblPr>
      <w:tblGrid>
        <w:gridCol w:w="2122"/>
        <w:gridCol w:w="887"/>
        <w:gridCol w:w="530"/>
        <w:gridCol w:w="1870"/>
        <w:gridCol w:w="1200"/>
        <w:gridCol w:w="1200"/>
      </w:tblGrid>
      <w:tr w:rsidR="00C82BCC" w14:paraId="0E4A20FB" w14:textId="77777777" w:rsidTr="00A734A7">
        <w:trPr>
          <w:trHeight w:val="300"/>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7CB162CA"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3C27DA31"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noWrap/>
            <w:vAlign w:val="bottom"/>
            <w:hideMark/>
          </w:tcPr>
          <w:p w14:paraId="5FEA588C"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70" w:type="dxa"/>
            <w:tcBorders>
              <w:top w:val="single" w:sz="4" w:space="0" w:color="auto"/>
              <w:left w:val="nil"/>
              <w:bottom w:val="single" w:sz="4" w:space="0" w:color="auto"/>
              <w:right w:val="single" w:sz="4" w:space="0" w:color="auto"/>
            </w:tcBorders>
            <w:noWrap/>
            <w:vAlign w:val="bottom"/>
            <w:hideMark/>
          </w:tcPr>
          <w:p w14:paraId="3C53EF64"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7B13A4D1" w14:textId="77777777" w:rsidR="00C82BCC" w:rsidRDefault="00C82BCC" w:rsidP="008E62D8">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3BA6EFCB" w14:textId="77777777" w:rsidR="00C82BCC" w:rsidRDefault="00C82BCC" w:rsidP="008E62D8">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0B7BE2EB" w14:textId="77777777" w:rsidTr="00A734A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4CDFF5AE"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46E0EC67"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36,77</w:t>
            </w:r>
          </w:p>
        </w:tc>
        <w:tc>
          <w:tcPr>
            <w:tcW w:w="530" w:type="dxa"/>
            <w:tcBorders>
              <w:top w:val="nil"/>
              <w:left w:val="nil"/>
              <w:bottom w:val="single" w:sz="4" w:space="0" w:color="auto"/>
              <w:right w:val="single" w:sz="4" w:space="0" w:color="auto"/>
            </w:tcBorders>
            <w:noWrap/>
            <w:vAlign w:val="bottom"/>
            <w:hideMark/>
          </w:tcPr>
          <w:p w14:paraId="3DD9FD3D"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1870" w:type="dxa"/>
            <w:tcBorders>
              <w:top w:val="nil"/>
              <w:left w:val="nil"/>
              <w:bottom w:val="single" w:sz="4" w:space="0" w:color="auto"/>
              <w:right w:val="single" w:sz="4" w:space="0" w:color="auto"/>
            </w:tcBorders>
            <w:noWrap/>
            <w:vAlign w:val="bottom"/>
            <w:hideMark/>
          </w:tcPr>
          <w:p w14:paraId="6ED4F47C"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w:t>
            </w:r>
          </w:p>
        </w:tc>
        <w:tc>
          <w:tcPr>
            <w:tcW w:w="1200" w:type="dxa"/>
            <w:tcBorders>
              <w:top w:val="single" w:sz="4" w:space="0" w:color="auto"/>
              <w:left w:val="nil"/>
              <w:bottom w:val="single" w:sz="4" w:space="0" w:color="auto"/>
              <w:right w:val="single" w:sz="4" w:space="0" w:color="auto"/>
            </w:tcBorders>
            <w:noWrap/>
            <w:vAlign w:val="bottom"/>
            <w:hideMark/>
          </w:tcPr>
          <w:p w14:paraId="7AB42564"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6C0B6057"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833D7C5" w14:textId="77777777" w:rsidTr="00A734A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2ABD07D8"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30E2C555"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37,52</w:t>
            </w:r>
          </w:p>
        </w:tc>
        <w:tc>
          <w:tcPr>
            <w:tcW w:w="530" w:type="dxa"/>
            <w:tcBorders>
              <w:top w:val="nil"/>
              <w:left w:val="nil"/>
              <w:bottom w:val="single" w:sz="4" w:space="0" w:color="auto"/>
              <w:right w:val="single" w:sz="4" w:space="0" w:color="auto"/>
            </w:tcBorders>
            <w:noWrap/>
            <w:vAlign w:val="bottom"/>
            <w:hideMark/>
          </w:tcPr>
          <w:p w14:paraId="06B91BE2"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1870" w:type="dxa"/>
            <w:tcBorders>
              <w:top w:val="nil"/>
              <w:left w:val="nil"/>
              <w:bottom w:val="single" w:sz="4" w:space="0" w:color="auto"/>
              <w:right w:val="single" w:sz="4" w:space="0" w:color="auto"/>
            </w:tcBorders>
            <w:noWrap/>
            <w:vAlign w:val="bottom"/>
            <w:hideMark/>
          </w:tcPr>
          <w:p w14:paraId="066F63F4"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1,03</w:t>
            </w:r>
          </w:p>
        </w:tc>
        <w:tc>
          <w:tcPr>
            <w:tcW w:w="1200" w:type="dxa"/>
            <w:tcBorders>
              <w:top w:val="nil"/>
              <w:left w:val="nil"/>
              <w:bottom w:val="single" w:sz="4" w:space="0" w:color="auto"/>
              <w:right w:val="single" w:sz="4" w:space="0" w:color="auto"/>
            </w:tcBorders>
            <w:noWrap/>
            <w:vAlign w:val="bottom"/>
            <w:hideMark/>
          </w:tcPr>
          <w:p w14:paraId="7A5A399D"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72614227"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3ABEB4C" w14:textId="77777777" w:rsidTr="00A734A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17E94EF3"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6C868476"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38,71</w:t>
            </w:r>
          </w:p>
        </w:tc>
        <w:tc>
          <w:tcPr>
            <w:tcW w:w="530" w:type="dxa"/>
            <w:tcBorders>
              <w:top w:val="nil"/>
              <w:left w:val="nil"/>
              <w:bottom w:val="single" w:sz="4" w:space="0" w:color="auto"/>
              <w:right w:val="single" w:sz="4" w:space="0" w:color="auto"/>
            </w:tcBorders>
            <w:noWrap/>
            <w:vAlign w:val="bottom"/>
            <w:hideMark/>
          </w:tcPr>
          <w:p w14:paraId="7F9487F1"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70" w:type="dxa"/>
            <w:tcBorders>
              <w:top w:val="nil"/>
              <w:left w:val="nil"/>
              <w:bottom w:val="single" w:sz="4" w:space="0" w:color="auto"/>
              <w:right w:val="single" w:sz="4" w:space="0" w:color="auto"/>
            </w:tcBorders>
            <w:noWrap/>
            <w:vAlign w:val="bottom"/>
            <w:hideMark/>
          </w:tcPr>
          <w:p w14:paraId="00302A1B"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w:t>
            </w:r>
          </w:p>
        </w:tc>
        <w:tc>
          <w:tcPr>
            <w:tcW w:w="1200" w:type="dxa"/>
            <w:tcBorders>
              <w:top w:val="nil"/>
              <w:left w:val="nil"/>
              <w:bottom w:val="single" w:sz="4" w:space="0" w:color="auto"/>
              <w:right w:val="single" w:sz="4" w:space="0" w:color="auto"/>
            </w:tcBorders>
            <w:noWrap/>
            <w:vAlign w:val="bottom"/>
            <w:hideMark/>
          </w:tcPr>
          <w:p w14:paraId="52CC0388"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77B05B4F"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046052E" w14:textId="77777777" w:rsidTr="00A734A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356E975B"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6EB1423E"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39,62</w:t>
            </w:r>
          </w:p>
        </w:tc>
        <w:tc>
          <w:tcPr>
            <w:tcW w:w="530" w:type="dxa"/>
            <w:tcBorders>
              <w:top w:val="nil"/>
              <w:left w:val="nil"/>
              <w:bottom w:val="single" w:sz="4" w:space="0" w:color="auto"/>
              <w:right w:val="single" w:sz="4" w:space="0" w:color="auto"/>
            </w:tcBorders>
            <w:noWrap/>
            <w:vAlign w:val="bottom"/>
            <w:hideMark/>
          </w:tcPr>
          <w:p w14:paraId="2147299B"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1870" w:type="dxa"/>
            <w:tcBorders>
              <w:top w:val="nil"/>
              <w:left w:val="nil"/>
              <w:bottom w:val="single" w:sz="4" w:space="0" w:color="auto"/>
              <w:right w:val="single" w:sz="4" w:space="0" w:color="auto"/>
            </w:tcBorders>
            <w:noWrap/>
            <w:vAlign w:val="bottom"/>
            <w:hideMark/>
          </w:tcPr>
          <w:p w14:paraId="4213D422"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3,95</w:t>
            </w:r>
          </w:p>
        </w:tc>
        <w:tc>
          <w:tcPr>
            <w:tcW w:w="1200" w:type="dxa"/>
            <w:tcBorders>
              <w:top w:val="nil"/>
              <w:left w:val="nil"/>
              <w:bottom w:val="single" w:sz="4" w:space="0" w:color="auto"/>
              <w:right w:val="single" w:sz="4" w:space="0" w:color="auto"/>
            </w:tcBorders>
            <w:noWrap/>
            <w:vAlign w:val="bottom"/>
            <w:hideMark/>
          </w:tcPr>
          <w:p w14:paraId="0DBDF85E"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4BEDE3B9"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79A3172" w14:textId="77777777" w:rsidTr="00A734A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19416871"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7D506967"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46,96</w:t>
            </w:r>
          </w:p>
        </w:tc>
        <w:tc>
          <w:tcPr>
            <w:tcW w:w="530" w:type="dxa"/>
            <w:tcBorders>
              <w:top w:val="nil"/>
              <w:left w:val="nil"/>
              <w:bottom w:val="single" w:sz="4" w:space="0" w:color="auto"/>
              <w:right w:val="single" w:sz="4" w:space="0" w:color="auto"/>
            </w:tcBorders>
            <w:noWrap/>
            <w:vAlign w:val="bottom"/>
            <w:hideMark/>
          </w:tcPr>
          <w:p w14:paraId="10E87F07"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0" w:type="dxa"/>
            <w:tcBorders>
              <w:top w:val="nil"/>
              <w:left w:val="nil"/>
              <w:bottom w:val="single" w:sz="4" w:space="0" w:color="auto"/>
              <w:right w:val="single" w:sz="4" w:space="0" w:color="auto"/>
            </w:tcBorders>
            <w:noWrap/>
            <w:vAlign w:val="bottom"/>
            <w:hideMark/>
          </w:tcPr>
          <w:p w14:paraId="425DD6BB"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5,59</w:t>
            </w:r>
          </w:p>
        </w:tc>
        <w:tc>
          <w:tcPr>
            <w:tcW w:w="1200" w:type="dxa"/>
            <w:tcBorders>
              <w:top w:val="nil"/>
              <w:left w:val="nil"/>
              <w:bottom w:val="single" w:sz="4" w:space="0" w:color="auto"/>
              <w:right w:val="single" w:sz="4" w:space="0" w:color="auto"/>
            </w:tcBorders>
            <w:noWrap/>
            <w:vAlign w:val="bottom"/>
            <w:hideMark/>
          </w:tcPr>
          <w:p w14:paraId="25039DB3"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16C5A6BC"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78027214" w14:textId="77777777" w:rsidTr="00A734A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3167B044"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887" w:type="dxa"/>
            <w:tcBorders>
              <w:top w:val="nil"/>
              <w:left w:val="nil"/>
              <w:bottom w:val="single" w:sz="4" w:space="0" w:color="auto"/>
              <w:right w:val="single" w:sz="4" w:space="0" w:color="auto"/>
            </w:tcBorders>
            <w:noWrap/>
            <w:vAlign w:val="bottom"/>
            <w:hideMark/>
          </w:tcPr>
          <w:p w14:paraId="71E1EFF9"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58,46</w:t>
            </w:r>
          </w:p>
        </w:tc>
        <w:tc>
          <w:tcPr>
            <w:tcW w:w="530" w:type="dxa"/>
            <w:tcBorders>
              <w:top w:val="nil"/>
              <w:left w:val="nil"/>
              <w:bottom w:val="single" w:sz="4" w:space="0" w:color="auto"/>
              <w:right w:val="single" w:sz="4" w:space="0" w:color="auto"/>
            </w:tcBorders>
            <w:noWrap/>
            <w:vAlign w:val="bottom"/>
            <w:hideMark/>
          </w:tcPr>
          <w:p w14:paraId="03C02A68"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0" w:type="dxa"/>
            <w:tcBorders>
              <w:top w:val="nil"/>
              <w:left w:val="nil"/>
              <w:bottom w:val="single" w:sz="4" w:space="0" w:color="auto"/>
              <w:right w:val="single" w:sz="4" w:space="0" w:color="auto"/>
            </w:tcBorders>
            <w:noWrap/>
            <w:vAlign w:val="bottom"/>
            <w:hideMark/>
          </w:tcPr>
          <w:p w14:paraId="7E279080"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5,59</w:t>
            </w:r>
          </w:p>
        </w:tc>
        <w:tc>
          <w:tcPr>
            <w:tcW w:w="1200" w:type="dxa"/>
            <w:tcBorders>
              <w:top w:val="nil"/>
              <w:left w:val="nil"/>
              <w:bottom w:val="single" w:sz="4" w:space="0" w:color="auto"/>
              <w:right w:val="single" w:sz="4" w:space="0" w:color="auto"/>
            </w:tcBorders>
            <w:noWrap/>
            <w:vAlign w:val="bottom"/>
            <w:hideMark/>
          </w:tcPr>
          <w:p w14:paraId="4EDF6B98"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6C2F920A" w14:textId="77777777" w:rsidR="00C82BCC" w:rsidRDefault="00C82BCC" w:rsidP="008E62D8">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4235FF49" w14:textId="77777777" w:rsidR="008E62D8" w:rsidRDefault="00C82BCC" w:rsidP="008E62D8">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1826" w:name="_Toc79314110"/>
    </w:p>
    <w:p w14:paraId="007DD4A0" w14:textId="4007FF08" w:rsidR="006757B1" w:rsidRPr="008E62D8" w:rsidRDefault="006757B1" w:rsidP="008E62D8">
      <w:pPr>
        <w:autoSpaceDE w:val="0"/>
        <w:autoSpaceDN w:val="0"/>
        <w:adjustRightInd w:val="0"/>
        <w:spacing w:before="360" w:after="0" w:line="360" w:lineRule="auto"/>
        <w:rPr>
          <w:rFonts w:cs="Times New Roman"/>
          <w:szCs w:val="24"/>
        </w:rPr>
      </w:pPr>
      <w:r w:rsidRPr="006757B1">
        <w:rPr>
          <w:rFonts w:cs="Times New Roman"/>
          <w:b/>
          <w:szCs w:val="24"/>
        </w:rPr>
        <w:t xml:space="preserve">Cuadro </w:t>
      </w:r>
      <w:r w:rsidRPr="006757B1">
        <w:rPr>
          <w:rFonts w:cs="Times New Roman"/>
          <w:b/>
          <w:i/>
          <w:iCs/>
          <w:szCs w:val="24"/>
        </w:rPr>
        <w:fldChar w:fldCharType="begin"/>
      </w:r>
      <w:r w:rsidRPr="006757B1">
        <w:rPr>
          <w:rFonts w:cs="Times New Roman"/>
          <w:b/>
          <w:szCs w:val="24"/>
        </w:rPr>
        <w:instrText xml:space="preserve"> SEQ Cuadro \* ARABIC </w:instrText>
      </w:r>
      <w:r w:rsidRPr="006757B1">
        <w:rPr>
          <w:rFonts w:cs="Times New Roman"/>
          <w:b/>
          <w:i/>
          <w:iCs/>
          <w:szCs w:val="24"/>
        </w:rPr>
        <w:fldChar w:fldCharType="separate"/>
      </w:r>
      <w:r w:rsidR="000D1F55">
        <w:rPr>
          <w:rFonts w:cs="Times New Roman"/>
          <w:b/>
          <w:noProof/>
          <w:szCs w:val="24"/>
        </w:rPr>
        <w:t>118</w:t>
      </w:r>
      <w:r w:rsidRPr="006757B1">
        <w:rPr>
          <w:rFonts w:cs="Times New Roman"/>
          <w:b/>
          <w:i/>
          <w:iCs/>
          <w:szCs w:val="24"/>
        </w:rPr>
        <w:fldChar w:fldCharType="end"/>
      </w:r>
      <w:r w:rsidRPr="006757B1">
        <w:rPr>
          <w:rFonts w:cs="Times New Roman"/>
          <w:b/>
          <w:szCs w:val="24"/>
        </w:rPr>
        <w:t xml:space="preserve">. </w:t>
      </w:r>
      <w:r w:rsidRPr="006757B1">
        <w:rPr>
          <w:rFonts w:cs="Times New Roman"/>
          <w:szCs w:val="24"/>
        </w:rPr>
        <w:t>Absorción total de fósforo de maíz suave para diversas dosis de potasio evaluadas en la provincia de Imbabura 2010-2015.</w:t>
      </w:r>
      <w:bookmarkEnd w:id="1826"/>
    </w:p>
    <w:tbl>
      <w:tblPr>
        <w:tblW w:w="5000" w:type="pct"/>
        <w:jc w:val="center"/>
        <w:tblCellMar>
          <w:left w:w="0" w:type="dxa"/>
          <w:right w:w="0" w:type="dxa"/>
        </w:tblCellMar>
        <w:tblLook w:val="04A0" w:firstRow="1" w:lastRow="0" w:firstColumn="1" w:lastColumn="0" w:noHBand="0" w:noVBand="1"/>
      </w:tblPr>
      <w:tblGrid>
        <w:gridCol w:w="1897"/>
        <w:gridCol w:w="934"/>
        <w:gridCol w:w="569"/>
        <w:gridCol w:w="1700"/>
        <w:gridCol w:w="729"/>
        <w:gridCol w:w="1050"/>
        <w:gridCol w:w="1048"/>
      </w:tblGrid>
      <w:tr w:rsidR="00C82BCC" w14:paraId="5C6E3815" w14:textId="77777777" w:rsidTr="006757B1">
        <w:trPr>
          <w:trHeight w:val="300"/>
          <w:jc w:val="center"/>
        </w:trPr>
        <w:tc>
          <w:tcPr>
            <w:tcW w:w="119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5504ABC"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Dosis K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8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44FDDB9"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Medias</w:t>
            </w:r>
          </w:p>
        </w:tc>
        <w:tc>
          <w:tcPr>
            <w:tcW w:w="35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6F9CA5D"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n </w:t>
            </w:r>
          </w:p>
        </w:tc>
        <w:tc>
          <w:tcPr>
            <w:tcW w:w="107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7D5288D" w14:textId="77777777" w:rsidR="00C82BCC" w:rsidRDefault="00C82BCC" w:rsidP="008E62D8">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460"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47819019"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  </w:t>
            </w:r>
          </w:p>
        </w:tc>
        <w:tc>
          <w:tcPr>
            <w:tcW w:w="662"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081F80E"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  Lsd 0,05</w:t>
            </w:r>
          </w:p>
        </w:tc>
        <w:tc>
          <w:tcPr>
            <w:tcW w:w="66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5161D49"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  </w:t>
            </w:r>
          </w:p>
        </w:tc>
      </w:tr>
      <w:tr w:rsidR="00C82BCC" w14:paraId="20A812E0" w14:textId="77777777" w:rsidTr="006757B1">
        <w:trPr>
          <w:trHeight w:val="300"/>
          <w:jc w:val="center"/>
        </w:trPr>
        <w:tc>
          <w:tcPr>
            <w:tcW w:w="119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B6A712C" w14:textId="77777777" w:rsidR="00C82BCC" w:rsidRDefault="00C82BCC" w:rsidP="008E62D8">
            <w:pPr>
              <w:spacing w:after="0" w:line="240" w:lineRule="auto"/>
              <w:jc w:val="center"/>
              <w:rPr>
                <w:rFonts w:cs="Times New Roman"/>
                <w:color w:val="000000"/>
                <w:szCs w:val="24"/>
              </w:rPr>
            </w:pPr>
            <w:r>
              <w:rPr>
                <w:rFonts w:cs="Times New Roman"/>
                <w:color w:val="000000"/>
                <w:szCs w:val="24"/>
              </w:rPr>
              <w:t>20</w:t>
            </w:r>
          </w:p>
        </w:tc>
        <w:tc>
          <w:tcPr>
            <w:tcW w:w="58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845BE9" w14:textId="77777777" w:rsidR="00C82BCC" w:rsidRDefault="00C82BCC" w:rsidP="008E62D8">
            <w:pPr>
              <w:spacing w:after="0" w:line="240" w:lineRule="auto"/>
              <w:jc w:val="center"/>
              <w:rPr>
                <w:rFonts w:cs="Times New Roman"/>
                <w:color w:val="000000"/>
                <w:szCs w:val="24"/>
              </w:rPr>
            </w:pPr>
            <w:r>
              <w:rPr>
                <w:rFonts w:cs="Times New Roman"/>
                <w:color w:val="000000"/>
                <w:szCs w:val="24"/>
              </w:rPr>
              <w:t>16,99</w:t>
            </w:r>
          </w:p>
        </w:tc>
        <w:tc>
          <w:tcPr>
            <w:tcW w:w="35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C6B297" w14:textId="77777777" w:rsidR="00C82BCC" w:rsidRDefault="00C82BCC" w:rsidP="008E62D8">
            <w:pPr>
              <w:spacing w:after="0" w:line="240" w:lineRule="auto"/>
              <w:jc w:val="center"/>
              <w:rPr>
                <w:rFonts w:cs="Times New Roman"/>
                <w:color w:val="000000"/>
                <w:szCs w:val="24"/>
              </w:rPr>
            </w:pPr>
            <w:r>
              <w:rPr>
                <w:rFonts w:cs="Times New Roman"/>
                <w:color w:val="000000"/>
                <w:szCs w:val="24"/>
              </w:rPr>
              <w:t>6</w:t>
            </w:r>
          </w:p>
        </w:tc>
        <w:tc>
          <w:tcPr>
            <w:tcW w:w="107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BE267E" w14:textId="77777777" w:rsidR="00C82BCC" w:rsidRDefault="00C82BCC" w:rsidP="008E62D8">
            <w:pPr>
              <w:spacing w:after="0" w:line="240" w:lineRule="auto"/>
              <w:jc w:val="center"/>
              <w:rPr>
                <w:rFonts w:cs="Times New Roman"/>
                <w:color w:val="000000"/>
                <w:szCs w:val="24"/>
              </w:rPr>
            </w:pPr>
            <w:r>
              <w:rPr>
                <w:rFonts w:cs="Times New Roman"/>
                <w:color w:val="000000"/>
                <w:szCs w:val="24"/>
              </w:rPr>
              <w:t>2,28</w:t>
            </w:r>
          </w:p>
        </w:tc>
        <w:tc>
          <w:tcPr>
            <w:tcW w:w="46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7D78F3C"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A </w:t>
            </w:r>
          </w:p>
        </w:tc>
        <w:tc>
          <w:tcPr>
            <w:tcW w:w="66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39EB401"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66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A6C87F2"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r>
      <w:tr w:rsidR="00C82BCC" w14:paraId="50FECDA2" w14:textId="77777777" w:rsidTr="006757B1">
        <w:trPr>
          <w:trHeight w:val="300"/>
          <w:jc w:val="center"/>
        </w:trPr>
        <w:tc>
          <w:tcPr>
            <w:tcW w:w="119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E8EB8C" w14:textId="77777777" w:rsidR="00C82BCC" w:rsidRDefault="00C82BCC" w:rsidP="008E62D8">
            <w:pPr>
              <w:spacing w:after="0" w:line="240" w:lineRule="auto"/>
              <w:jc w:val="center"/>
              <w:rPr>
                <w:rFonts w:cs="Times New Roman"/>
                <w:color w:val="000000"/>
                <w:szCs w:val="24"/>
              </w:rPr>
            </w:pPr>
            <w:r>
              <w:rPr>
                <w:rFonts w:cs="Times New Roman"/>
                <w:color w:val="000000"/>
                <w:szCs w:val="24"/>
              </w:rPr>
              <w:t>0</w:t>
            </w:r>
          </w:p>
        </w:tc>
        <w:tc>
          <w:tcPr>
            <w:tcW w:w="58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A14157" w14:textId="77777777" w:rsidR="00C82BCC" w:rsidRDefault="00C82BCC" w:rsidP="008E62D8">
            <w:pPr>
              <w:spacing w:after="0" w:line="240" w:lineRule="auto"/>
              <w:jc w:val="center"/>
              <w:rPr>
                <w:rFonts w:cs="Times New Roman"/>
                <w:color w:val="000000"/>
                <w:szCs w:val="24"/>
              </w:rPr>
            </w:pPr>
            <w:r>
              <w:rPr>
                <w:rFonts w:cs="Times New Roman"/>
                <w:color w:val="000000"/>
                <w:szCs w:val="24"/>
              </w:rPr>
              <w:t>38,55</w:t>
            </w:r>
          </w:p>
        </w:tc>
        <w:tc>
          <w:tcPr>
            <w:tcW w:w="35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54543D" w14:textId="77777777" w:rsidR="00C82BCC" w:rsidRDefault="00C82BCC" w:rsidP="008E62D8">
            <w:pPr>
              <w:spacing w:after="0" w:line="240" w:lineRule="auto"/>
              <w:jc w:val="center"/>
              <w:rPr>
                <w:rFonts w:cs="Times New Roman"/>
                <w:color w:val="000000"/>
                <w:szCs w:val="24"/>
              </w:rPr>
            </w:pPr>
            <w:r>
              <w:rPr>
                <w:rFonts w:cs="Times New Roman"/>
                <w:color w:val="000000"/>
                <w:szCs w:val="24"/>
              </w:rPr>
              <w:t>20</w:t>
            </w:r>
          </w:p>
        </w:tc>
        <w:tc>
          <w:tcPr>
            <w:tcW w:w="107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307363" w14:textId="77777777" w:rsidR="00C82BCC" w:rsidRDefault="00C82BCC" w:rsidP="008E62D8">
            <w:pPr>
              <w:spacing w:after="0" w:line="240" w:lineRule="auto"/>
              <w:jc w:val="center"/>
              <w:rPr>
                <w:rFonts w:cs="Times New Roman"/>
                <w:color w:val="000000"/>
                <w:szCs w:val="24"/>
              </w:rPr>
            </w:pPr>
            <w:r>
              <w:rPr>
                <w:rFonts w:cs="Times New Roman"/>
                <w:color w:val="000000"/>
                <w:szCs w:val="24"/>
              </w:rPr>
              <w:t>1,29</w:t>
            </w:r>
          </w:p>
        </w:tc>
        <w:tc>
          <w:tcPr>
            <w:tcW w:w="46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C784E4"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66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41F646"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B </w:t>
            </w:r>
          </w:p>
        </w:tc>
        <w:tc>
          <w:tcPr>
            <w:tcW w:w="66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918DEF"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r>
      <w:tr w:rsidR="00C82BCC" w14:paraId="2FD979C7" w14:textId="77777777" w:rsidTr="006757B1">
        <w:trPr>
          <w:trHeight w:val="300"/>
          <w:jc w:val="center"/>
        </w:trPr>
        <w:tc>
          <w:tcPr>
            <w:tcW w:w="119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23A873" w14:textId="77777777" w:rsidR="00C82BCC" w:rsidRDefault="00C82BCC" w:rsidP="008E62D8">
            <w:pPr>
              <w:spacing w:after="0" w:line="240" w:lineRule="auto"/>
              <w:jc w:val="center"/>
              <w:rPr>
                <w:rFonts w:cs="Times New Roman"/>
                <w:color w:val="000000"/>
                <w:szCs w:val="24"/>
              </w:rPr>
            </w:pPr>
            <w:r>
              <w:rPr>
                <w:rFonts w:cs="Times New Roman"/>
                <w:color w:val="000000"/>
                <w:szCs w:val="24"/>
              </w:rPr>
              <w:t>60</w:t>
            </w:r>
          </w:p>
        </w:tc>
        <w:tc>
          <w:tcPr>
            <w:tcW w:w="58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02337F" w14:textId="77777777" w:rsidR="00C82BCC" w:rsidRDefault="00C82BCC" w:rsidP="008E62D8">
            <w:pPr>
              <w:spacing w:after="0" w:line="240" w:lineRule="auto"/>
              <w:jc w:val="center"/>
              <w:rPr>
                <w:rFonts w:cs="Times New Roman"/>
                <w:color w:val="000000"/>
                <w:szCs w:val="24"/>
              </w:rPr>
            </w:pPr>
            <w:r>
              <w:rPr>
                <w:rFonts w:cs="Times New Roman"/>
                <w:color w:val="000000"/>
                <w:szCs w:val="24"/>
              </w:rPr>
              <w:t>39,19</w:t>
            </w:r>
          </w:p>
        </w:tc>
        <w:tc>
          <w:tcPr>
            <w:tcW w:w="35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7E624E" w14:textId="77777777" w:rsidR="00C82BCC" w:rsidRDefault="00C82BCC" w:rsidP="008E62D8">
            <w:pPr>
              <w:spacing w:after="0" w:line="240" w:lineRule="auto"/>
              <w:jc w:val="center"/>
              <w:rPr>
                <w:rFonts w:cs="Times New Roman"/>
                <w:color w:val="000000"/>
                <w:szCs w:val="24"/>
              </w:rPr>
            </w:pPr>
            <w:r>
              <w:rPr>
                <w:rFonts w:cs="Times New Roman"/>
                <w:color w:val="000000"/>
                <w:szCs w:val="24"/>
              </w:rPr>
              <w:t>16</w:t>
            </w:r>
          </w:p>
        </w:tc>
        <w:tc>
          <w:tcPr>
            <w:tcW w:w="107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8E3C00" w14:textId="77777777" w:rsidR="00C82BCC" w:rsidRDefault="00C82BCC" w:rsidP="008E62D8">
            <w:pPr>
              <w:spacing w:after="0" w:line="240" w:lineRule="auto"/>
              <w:jc w:val="center"/>
              <w:rPr>
                <w:rFonts w:cs="Times New Roman"/>
                <w:color w:val="000000"/>
                <w:szCs w:val="24"/>
              </w:rPr>
            </w:pPr>
            <w:r>
              <w:rPr>
                <w:rFonts w:cs="Times New Roman"/>
                <w:color w:val="000000"/>
                <w:szCs w:val="24"/>
              </w:rPr>
              <w:t>1,46</w:t>
            </w:r>
          </w:p>
        </w:tc>
        <w:tc>
          <w:tcPr>
            <w:tcW w:w="46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A0BAE5"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66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2EB671"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B </w:t>
            </w:r>
          </w:p>
        </w:tc>
        <w:tc>
          <w:tcPr>
            <w:tcW w:w="66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19B8F6"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r>
      <w:tr w:rsidR="00C82BCC" w14:paraId="2D3941FF" w14:textId="77777777" w:rsidTr="006757B1">
        <w:trPr>
          <w:trHeight w:val="300"/>
          <w:jc w:val="center"/>
        </w:trPr>
        <w:tc>
          <w:tcPr>
            <w:tcW w:w="119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219AEA" w14:textId="77777777" w:rsidR="00C82BCC" w:rsidRDefault="00C82BCC" w:rsidP="008E62D8">
            <w:pPr>
              <w:spacing w:after="0" w:line="240" w:lineRule="auto"/>
              <w:jc w:val="center"/>
              <w:rPr>
                <w:rFonts w:cs="Times New Roman"/>
                <w:color w:val="000000"/>
                <w:szCs w:val="24"/>
              </w:rPr>
            </w:pPr>
            <w:r>
              <w:rPr>
                <w:rFonts w:cs="Times New Roman"/>
                <w:color w:val="000000"/>
                <w:szCs w:val="24"/>
              </w:rPr>
              <w:t>30</w:t>
            </w:r>
          </w:p>
        </w:tc>
        <w:tc>
          <w:tcPr>
            <w:tcW w:w="58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40E8C3" w14:textId="77777777" w:rsidR="00C82BCC" w:rsidRDefault="00C82BCC" w:rsidP="008E62D8">
            <w:pPr>
              <w:spacing w:after="0" w:line="240" w:lineRule="auto"/>
              <w:jc w:val="center"/>
              <w:rPr>
                <w:rFonts w:cs="Times New Roman"/>
                <w:color w:val="000000"/>
                <w:szCs w:val="24"/>
              </w:rPr>
            </w:pPr>
            <w:r>
              <w:rPr>
                <w:rFonts w:cs="Times New Roman"/>
                <w:color w:val="000000"/>
                <w:szCs w:val="24"/>
              </w:rPr>
              <w:t>42,7</w:t>
            </w:r>
          </w:p>
        </w:tc>
        <w:tc>
          <w:tcPr>
            <w:tcW w:w="35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2E4DF2" w14:textId="77777777" w:rsidR="00C82BCC" w:rsidRDefault="00C82BCC" w:rsidP="008E62D8">
            <w:pPr>
              <w:spacing w:after="0" w:line="240" w:lineRule="auto"/>
              <w:jc w:val="center"/>
              <w:rPr>
                <w:rFonts w:cs="Times New Roman"/>
                <w:color w:val="000000"/>
                <w:szCs w:val="24"/>
              </w:rPr>
            </w:pPr>
            <w:r>
              <w:rPr>
                <w:rFonts w:cs="Times New Roman"/>
                <w:color w:val="000000"/>
                <w:szCs w:val="24"/>
              </w:rPr>
              <w:t>27</w:t>
            </w:r>
          </w:p>
        </w:tc>
        <w:tc>
          <w:tcPr>
            <w:tcW w:w="107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70ECDF" w14:textId="77777777" w:rsidR="00C82BCC" w:rsidRDefault="00C82BCC" w:rsidP="008E62D8">
            <w:pPr>
              <w:spacing w:after="0" w:line="240" w:lineRule="auto"/>
              <w:jc w:val="center"/>
              <w:rPr>
                <w:rFonts w:cs="Times New Roman"/>
                <w:color w:val="000000"/>
                <w:szCs w:val="24"/>
              </w:rPr>
            </w:pPr>
            <w:r>
              <w:rPr>
                <w:rFonts w:cs="Times New Roman"/>
                <w:color w:val="000000"/>
                <w:szCs w:val="24"/>
              </w:rPr>
              <w:t>1,1</w:t>
            </w:r>
          </w:p>
        </w:tc>
        <w:tc>
          <w:tcPr>
            <w:tcW w:w="46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3BE414"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66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A9AE88"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  </w:t>
            </w:r>
          </w:p>
        </w:tc>
        <w:tc>
          <w:tcPr>
            <w:tcW w:w="66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995405" w14:textId="77777777" w:rsidR="00C82BCC" w:rsidRDefault="00C82BCC" w:rsidP="008E62D8">
            <w:pPr>
              <w:spacing w:after="0" w:line="240" w:lineRule="auto"/>
              <w:jc w:val="center"/>
              <w:rPr>
                <w:rFonts w:cs="Times New Roman"/>
                <w:color w:val="000000"/>
                <w:szCs w:val="24"/>
              </w:rPr>
            </w:pPr>
            <w:r>
              <w:rPr>
                <w:rFonts w:cs="Times New Roman"/>
                <w:color w:val="000000"/>
                <w:szCs w:val="24"/>
              </w:rPr>
              <w:t xml:space="preserve">C </w:t>
            </w:r>
          </w:p>
        </w:tc>
      </w:tr>
    </w:tbl>
    <w:p w14:paraId="77955484" w14:textId="77777777" w:rsidR="008E62D8" w:rsidRDefault="00C82BCC" w:rsidP="008E62D8">
      <w:pPr>
        <w:autoSpaceDE w:val="0"/>
        <w:autoSpaceDN w:val="0"/>
        <w:adjustRightInd w:val="0"/>
        <w:spacing w:after="0" w:line="360" w:lineRule="auto"/>
        <w:rPr>
          <w:rFonts w:cs="Times New Roman"/>
          <w:szCs w:val="24"/>
        </w:rPr>
      </w:pPr>
      <w:r>
        <w:rPr>
          <w:rFonts w:cs="Times New Roman"/>
          <w:szCs w:val="24"/>
        </w:rPr>
        <w:t xml:space="preserve"> Medias con una letra común no son significa</w:t>
      </w:r>
      <w:r w:rsidR="006757B1">
        <w:rPr>
          <w:rFonts w:cs="Times New Roman"/>
          <w:szCs w:val="24"/>
        </w:rPr>
        <w:t>tivamente diferentes (p &gt; 0,05)</w:t>
      </w:r>
      <w:bookmarkStart w:id="1827" w:name="_Toc79314111"/>
    </w:p>
    <w:p w14:paraId="1764F6BD" w14:textId="44EA04B7" w:rsidR="006757B1" w:rsidRPr="008E62D8" w:rsidRDefault="006757B1" w:rsidP="008E62D8">
      <w:pPr>
        <w:autoSpaceDE w:val="0"/>
        <w:autoSpaceDN w:val="0"/>
        <w:adjustRightInd w:val="0"/>
        <w:spacing w:before="360" w:after="0" w:line="360" w:lineRule="auto"/>
        <w:rPr>
          <w:rFonts w:cs="Times New Roman"/>
          <w:szCs w:val="24"/>
        </w:rPr>
      </w:pPr>
      <w:r w:rsidRPr="006757B1">
        <w:rPr>
          <w:rFonts w:cs="Times New Roman"/>
          <w:b/>
          <w:szCs w:val="24"/>
        </w:rPr>
        <w:t xml:space="preserve">Cuadro </w:t>
      </w:r>
      <w:r w:rsidRPr="006757B1">
        <w:rPr>
          <w:rFonts w:cs="Times New Roman"/>
          <w:b/>
          <w:i/>
          <w:iCs/>
          <w:szCs w:val="24"/>
        </w:rPr>
        <w:fldChar w:fldCharType="begin"/>
      </w:r>
      <w:r w:rsidRPr="006757B1">
        <w:rPr>
          <w:rFonts w:cs="Times New Roman"/>
          <w:b/>
          <w:szCs w:val="24"/>
        </w:rPr>
        <w:instrText xml:space="preserve"> SEQ Cuadro \* ARABIC </w:instrText>
      </w:r>
      <w:r w:rsidRPr="006757B1">
        <w:rPr>
          <w:rFonts w:cs="Times New Roman"/>
          <w:b/>
          <w:i/>
          <w:iCs/>
          <w:szCs w:val="24"/>
        </w:rPr>
        <w:fldChar w:fldCharType="separate"/>
      </w:r>
      <w:r w:rsidR="000D1F55">
        <w:rPr>
          <w:rFonts w:cs="Times New Roman"/>
          <w:b/>
          <w:noProof/>
          <w:szCs w:val="24"/>
        </w:rPr>
        <w:t>119</w:t>
      </w:r>
      <w:r w:rsidRPr="006757B1">
        <w:rPr>
          <w:rFonts w:cs="Times New Roman"/>
          <w:b/>
          <w:i/>
          <w:iCs/>
          <w:szCs w:val="24"/>
        </w:rPr>
        <w:fldChar w:fldCharType="end"/>
      </w:r>
      <w:r w:rsidRPr="006757B1">
        <w:rPr>
          <w:rFonts w:cs="Times New Roman"/>
          <w:b/>
          <w:szCs w:val="24"/>
        </w:rPr>
        <w:t xml:space="preserve">. </w:t>
      </w:r>
      <w:r w:rsidRPr="006757B1">
        <w:rPr>
          <w:rFonts w:cs="Times New Roman"/>
          <w:szCs w:val="24"/>
        </w:rPr>
        <w:t>Absorción total de fósforo de maíz suave para diversas dosis de azufre evaluadas en la provincia de Imbabura 2010-2015.</w:t>
      </w:r>
      <w:bookmarkEnd w:id="1827"/>
    </w:p>
    <w:tbl>
      <w:tblPr>
        <w:tblW w:w="5524" w:type="dxa"/>
        <w:jc w:val="center"/>
        <w:tblCellMar>
          <w:left w:w="0" w:type="dxa"/>
          <w:right w:w="0" w:type="dxa"/>
        </w:tblCellMar>
        <w:tblLook w:val="04A0" w:firstRow="1" w:lastRow="0" w:firstColumn="1" w:lastColumn="0" w:noHBand="0" w:noVBand="1"/>
      </w:tblPr>
      <w:tblGrid>
        <w:gridCol w:w="1980"/>
        <w:gridCol w:w="992"/>
        <w:gridCol w:w="709"/>
        <w:gridCol w:w="1843"/>
      </w:tblGrid>
      <w:tr w:rsidR="00C82BCC" w14:paraId="5F63871A" w14:textId="77777777" w:rsidTr="00A734A7">
        <w:trPr>
          <w:trHeight w:val="300"/>
          <w:jc w:val="center"/>
        </w:trPr>
        <w:tc>
          <w:tcPr>
            <w:tcW w:w="19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E9C22D1"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Dosis S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6F08B29"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Medias</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5177890" w14:textId="77777777" w:rsidR="00C82BCC" w:rsidRDefault="00C82BCC" w:rsidP="008E62D8">
            <w:pPr>
              <w:spacing w:after="0" w:line="240" w:lineRule="auto"/>
              <w:jc w:val="center"/>
              <w:rPr>
                <w:rFonts w:cs="Times New Roman"/>
                <w:b/>
                <w:bCs/>
                <w:color w:val="000000"/>
                <w:szCs w:val="24"/>
              </w:rPr>
            </w:pPr>
            <w:r>
              <w:rPr>
                <w:rFonts w:cs="Times New Roman"/>
                <w:b/>
                <w:bCs/>
                <w:color w:val="000000"/>
                <w:szCs w:val="24"/>
              </w:rPr>
              <w:t xml:space="preserve">n </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0790FE5" w14:textId="77777777" w:rsidR="00C82BCC" w:rsidRDefault="00C82BCC" w:rsidP="008E62D8">
            <w:pPr>
              <w:spacing w:after="0" w:line="240" w:lineRule="auto"/>
              <w:jc w:val="center"/>
              <w:rPr>
                <w:rFonts w:cs="Times New Roman"/>
                <w:b/>
                <w:bCs/>
                <w:color w:val="000000"/>
                <w:szCs w:val="24"/>
              </w:rPr>
            </w:pPr>
            <w:r>
              <w:rPr>
                <w:rFonts w:eastAsia="Times New Roman" w:cs="Times New Roman"/>
                <w:b/>
                <w:bCs/>
                <w:color w:val="000000"/>
                <w:szCs w:val="24"/>
                <w:lang w:eastAsia="es-EC"/>
              </w:rPr>
              <w:t>Error estándar</w:t>
            </w:r>
          </w:p>
        </w:tc>
      </w:tr>
      <w:tr w:rsidR="00C82BCC" w14:paraId="3BD7290A" w14:textId="77777777" w:rsidTr="00A734A7">
        <w:trPr>
          <w:trHeight w:val="300"/>
          <w:jc w:val="center"/>
        </w:trPr>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42D228" w14:textId="77777777" w:rsidR="00C82BCC" w:rsidRDefault="00C82BCC" w:rsidP="008E62D8">
            <w:pPr>
              <w:spacing w:after="0" w:line="240" w:lineRule="auto"/>
              <w:jc w:val="center"/>
              <w:rPr>
                <w:rFonts w:cs="Times New Roman"/>
                <w:color w:val="000000"/>
                <w:szCs w:val="24"/>
              </w:rPr>
            </w:pPr>
            <w:r>
              <w:rPr>
                <w:rFonts w:cs="Times New Roman"/>
                <w:color w:val="000000"/>
                <w:szCs w:val="24"/>
              </w:rPr>
              <w:t>16</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84F69E" w14:textId="77777777" w:rsidR="00C82BCC" w:rsidRDefault="00C82BCC" w:rsidP="008E62D8">
            <w:pPr>
              <w:spacing w:after="0" w:line="240" w:lineRule="auto"/>
              <w:jc w:val="center"/>
              <w:rPr>
                <w:rFonts w:cs="Times New Roman"/>
                <w:color w:val="000000"/>
                <w:szCs w:val="24"/>
              </w:rPr>
            </w:pPr>
            <w:r>
              <w:rPr>
                <w:rFonts w:cs="Times New Roman"/>
                <w:color w:val="000000"/>
                <w:szCs w:val="24"/>
              </w:rPr>
              <w:t>8,69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F5B3B6" w14:textId="77777777" w:rsidR="00C82BCC" w:rsidRDefault="00C82BCC" w:rsidP="008E62D8">
            <w:pPr>
              <w:spacing w:after="0" w:line="240" w:lineRule="auto"/>
              <w:jc w:val="center"/>
              <w:rPr>
                <w:rFonts w:cs="Times New Roman"/>
                <w:color w:val="000000"/>
                <w:szCs w:val="24"/>
              </w:rPr>
            </w:pPr>
            <w:r>
              <w:rPr>
                <w:rFonts w:cs="Times New Roman"/>
                <w:color w:val="000000"/>
                <w:szCs w:val="24"/>
              </w:rPr>
              <w:t>5</w:t>
            </w:r>
          </w:p>
        </w:tc>
        <w:tc>
          <w:tcPr>
            <w:tcW w:w="184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FC1C51" w14:textId="77777777" w:rsidR="00C82BCC" w:rsidRDefault="00C82BCC" w:rsidP="008E62D8">
            <w:pPr>
              <w:spacing w:after="0" w:line="240" w:lineRule="auto"/>
              <w:jc w:val="center"/>
              <w:rPr>
                <w:rFonts w:cs="Times New Roman"/>
                <w:color w:val="000000"/>
                <w:szCs w:val="24"/>
              </w:rPr>
            </w:pPr>
            <w:r>
              <w:rPr>
                <w:rFonts w:cs="Times New Roman"/>
                <w:color w:val="000000"/>
                <w:szCs w:val="24"/>
              </w:rPr>
              <w:t>2,5</w:t>
            </w:r>
          </w:p>
        </w:tc>
      </w:tr>
      <w:tr w:rsidR="00C82BCC" w14:paraId="3CE3301C" w14:textId="77777777" w:rsidTr="00A734A7">
        <w:trPr>
          <w:trHeight w:val="300"/>
          <w:jc w:val="center"/>
        </w:trPr>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4E47C3" w14:textId="77777777" w:rsidR="00C82BCC" w:rsidRDefault="00C82BCC" w:rsidP="008E62D8">
            <w:pPr>
              <w:spacing w:after="0" w:line="240" w:lineRule="auto"/>
              <w:jc w:val="center"/>
              <w:rPr>
                <w:rFonts w:cs="Times New Roman"/>
                <w:color w:val="000000"/>
                <w:szCs w:val="24"/>
              </w:rPr>
            </w:pPr>
            <w:r>
              <w:rPr>
                <w:rFonts w:cs="Times New Roman"/>
                <w:color w:val="000000"/>
                <w:szCs w:val="24"/>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23E997" w14:textId="77777777" w:rsidR="00C82BCC" w:rsidRDefault="00C82BCC" w:rsidP="008E62D8">
            <w:pPr>
              <w:spacing w:after="0" w:line="240" w:lineRule="auto"/>
              <w:jc w:val="center"/>
              <w:rPr>
                <w:rFonts w:cs="Times New Roman"/>
                <w:color w:val="000000"/>
                <w:szCs w:val="24"/>
              </w:rPr>
            </w:pPr>
            <w:r>
              <w:rPr>
                <w:rFonts w:cs="Times New Roman"/>
                <w:color w:val="000000"/>
                <w:szCs w:val="24"/>
              </w:rPr>
              <w:t>38,3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C53952" w14:textId="77777777" w:rsidR="00C82BCC" w:rsidRDefault="00C82BCC" w:rsidP="008E62D8">
            <w:pPr>
              <w:spacing w:after="0" w:line="240" w:lineRule="auto"/>
              <w:jc w:val="center"/>
              <w:rPr>
                <w:rFonts w:cs="Times New Roman"/>
                <w:color w:val="000000"/>
                <w:szCs w:val="24"/>
              </w:rPr>
            </w:pPr>
            <w:r>
              <w:rPr>
                <w:rFonts w:cs="Times New Roman"/>
                <w:color w:val="000000"/>
                <w:szCs w:val="24"/>
              </w:rPr>
              <w:t>22</w:t>
            </w:r>
          </w:p>
        </w:tc>
        <w:tc>
          <w:tcPr>
            <w:tcW w:w="184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34D52F" w14:textId="77777777" w:rsidR="00C82BCC" w:rsidRDefault="00C82BCC" w:rsidP="008E62D8">
            <w:pPr>
              <w:spacing w:after="0" w:line="240" w:lineRule="auto"/>
              <w:jc w:val="center"/>
              <w:rPr>
                <w:rFonts w:cs="Times New Roman"/>
                <w:color w:val="000000"/>
                <w:szCs w:val="24"/>
              </w:rPr>
            </w:pPr>
            <w:r>
              <w:rPr>
                <w:rFonts w:cs="Times New Roman"/>
                <w:color w:val="000000"/>
                <w:szCs w:val="24"/>
              </w:rPr>
              <w:t>1,23</w:t>
            </w:r>
          </w:p>
        </w:tc>
      </w:tr>
      <w:tr w:rsidR="00C82BCC" w14:paraId="22764CCC" w14:textId="77777777" w:rsidTr="00A734A7">
        <w:trPr>
          <w:trHeight w:val="300"/>
          <w:jc w:val="center"/>
        </w:trPr>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2B97950" w14:textId="77777777" w:rsidR="00C82BCC" w:rsidRDefault="00C82BCC" w:rsidP="008E62D8">
            <w:pPr>
              <w:spacing w:after="0" w:line="240" w:lineRule="auto"/>
              <w:jc w:val="center"/>
              <w:rPr>
                <w:rFonts w:cs="Times New Roman"/>
                <w:color w:val="000000"/>
                <w:szCs w:val="24"/>
              </w:rPr>
            </w:pPr>
            <w:r>
              <w:rPr>
                <w:rFonts w:cs="Times New Roman"/>
                <w:color w:val="000000"/>
                <w:szCs w:val="24"/>
              </w:rPr>
              <w:t>20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6FD56B" w14:textId="77777777" w:rsidR="00C82BCC" w:rsidRDefault="00C82BCC" w:rsidP="008E62D8">
            <w:pPr>
              <w:spacing w:after="0" w:line="240" w:lineRule="auto"/>
              <w:jc w:val="center"/>
              <w:rPr>
                <w:rFonts w:cs="Times New Roman"/>
                <w:color w:val="000000"/>
                <w:szCs w:val="24"/>
              </w:rPr>
            </w:pPr>
            <w:r>
              <w:rPr>
                <w:rFonts w:cs="Times New Roman"/>
                <w:color w:val="000000"/>
                <w:szCs w:val="24"/>
              </w:rPr>
              <w:t>39,65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5B3E50" w14:textId="77777777" w:rsidR="00C82BCC" w:rsidRDefault="00C82BCC" w:rsidP="008E62D8">
            <w:pPr>
              <w:spacing w:after="0" w:line="240" w:lineRule="auto"/>
              <w:jc w:val="center"/>
              <w:rPr>
                <w:rFonts w:cs="Times New Roman"/>
                <w:color w:val="000000"/>
                <w:szCs w:val="24"/>
              </w:rPr>
            </w:pPr>
            <w:r>
              <w:rPr>
                <w:rFonts w:cs="Times New Roman"/>
                <w:color w:val="000000"/>
                <w:szCs w:val="24"/>
              </w:rPr>
              <w:t>16</w:t>
            </w:r>
          </w:p>
        </w:tc>
        <w:tc>
          <w:tcPr>
            <w:tcW w:w="184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727819" w14:textId="77777777" w:rsidR="00C82BCC" w:rsidRDefault="00C82BCC" w:rsidP="008E62D8">
            <w:pPr>
              <w:spacing w:after="0" w:line="240" w:lineRule="auto"/>
              <w:jc w:val="center"/>
              <w:rPr>
                <w:rFonts w:cs="Times New Roman"/>
                <w:color w:val="000000"/>
                <w:szCs w:val="24"/>
              </w:rPr>
            </w:pPr>
            <w:r>
              <w:rPr>
                <w:rFonts w:cs="Times New Roman"/>
                <w:color w:val="000000"/>
                <w:szCs w:val="24"/>
              </w:rPr>
              <w:t>1,44</w:t>
            </w:r>
          </w:p>
        </w:tc>
      </w:tr>
      <w:tr w:rsidR="00C82BCC" w14:paraId="71B5D42E" w14:textId="77777777" w:rsidTr="00A734A7">
        <w:trPr>
          <w:trHeight w:val="300"/>
          <w:jc w:val="center"/>
        </w:trPr>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6CEF4C" w14:textId="77777777" w:rsidR="00C82BCC" w:rsidRDefault="00C82BCC" w:rsidP="008E62D8">
            <w:pPr>
              <w:spacing w:after="0" w:line="240" w:lineRule="auto"/>
              <w:jc w:val="center"/>
              <w:rPr>
                <w:rFonts w:cs="Times New Roman"/>
                <w:color w:val="000000"/>
                <w:szCs w:val="24"/>
              </w:rPr>
            </w:pPr>
            <w:r>
              <w:rPr>
                <w:rFonts w:cs="Times New Roman"/>
                <w:color w:val="000000"/>
                <w:szCs w:val="24"/>
              </w:rPr>
              <w:t>30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251180" w14:textId="77777777" w:rsidR="00C82BCC" w:rsidRDefault="00C82BCC" w:rsidP="008E62D8">
            <w:pPr>
              <w:spacing w:after="0" w:line="240" w:lineRule="auto"/>
              <w:jc w:val="center"/>
              <w:rPr>
                <w:rFonts w:cs="Times New Roman"/>
                <w:color w:val="000000"/>
                <w:szCs w:val="24"/>
              </w:rPr>
            </w:pPr>
            <w:r>
              <w:rPr>
                <w:rFonts w:cs="Times New Roman"/>
                <w:color w:val="000000"/>
                <w:szCs w:val="24"/>
              </w:rPr>
              <w:t>43,73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1D1BA4" w14:textId="77777777" w:rsidR="00C82BCC" w:rsidRDefault="00C82BCC" w:rsidP="008E62D8">
            <w:pPr>
              <w:spacing w:after="0" w:line="240" w:lineRule="auto"/>
              <w:jc w:val="center"/>
              <w:rPr>
                <w:rFonts w:cs="Times New Roman"/>
                <w:color w:val="000000"/>
                <w:szCs w:val="24"/>
              </w:rPr>
            </w:pPr>
            <w:r>
              <w:rPr>
                <w:rFonts w:cs="Times New Roman"/>
                <w:color w:val="000000"/>
                <w:szCs w:val="24"/>
              </w:rPr>
              <w:t>26</w:t>
            </w:r>
          </w:p>
        </w:tc>
        <w:tc>
          <w:tcPr>
            <w:tcW w:w="184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BA28A4" w14:textId="77777777" w:rsidR="00C82BCC" w:rsidRDefault="00C82BCC" w:rsidP="008E62D8">
            <w:pPr>
              <w:spacing w:after="0" w:line="240" w:lineRule="auto"/>
              <w:jc w:val="center"/>
              <w:rPr>
                <w:rFonts w:cs="Times New Roman"/>
                <w:color w:val="000000"/>
                <w:szCs w:val="24"/>
              </w:rPr>
            </w:pPr>
            <w:r>
              <w:rPr>
                <w:rFonts w:cs="Times New Roman"/>
                <w:color w:val="000000"/>
                <w:szCs w:val="24"/>
              </w:rPr>
              <w:t>1,13</w:t>
            </w:r>
          </w:p>
        </w:tc>
      </w:tr>
    </w:tbl>
    <w:p w14:paraId="2410E969" w14:textId="77777777" w:rsidR="008E62D8" w:rsidRDefault="00C82BCC" w:rsidP="008E62D8">
      <w:pPr>
        <w:autoSpaceDE w:val="0"/>
        <w:autoSpaceDN w:val="0"/>
        <w:adjustRightInd w:val="0"/>
        <w:spacing w:before="360" w:after="0" w:line="360" w:lineRule="auto"/>
        <w:rPr>
          <w:rFonts w:cs="Times New Roman"/>
          <w:szCs w:val="24"/>
        </w:rPr>
      </w:pPr>
      <w:r>
        <w:rPr>
          <w:rFonts w:cs="Times New Roman"/>
          <w:szCs w:val="24"/>
        </w:rPr>
        <w:t>El ensayo sin adición de azufre se muestra superior en el valor promedio contra aquel don</w:t>
      </w:r>
      <w:r w:rsidR="006757B1">
        <w:rPr>
          <w:rFonts w:cs="Times New Roman"/>
          <w:szCs w:val="24"/>
        </w:rPr>
        <w:t>de se ha adicionado 16 medidas.</w:t>
      </w:r>
      <w:bookmarkStart w:id="1828" w:name="_Toc79314112"/>
    </w:p>
    <w:p w14:paraId="4EDDCFCA" w14:textId="1A3F8250" w:rsidR="006757B1" w:rsidRPr="008E62D8" w:rsidRDefault="006757B1" w:rsidP="008E62D8">
      <w:pPr>
        <w:autoSpaceDE w:val="0"/>
        <w:autoSpaceDN w:val="0"/>
        <w:adjustRightInd w:val="0"/>
        <w:spacing w:before="360" w:after="0" w:line="360" w:lineRule="auto"/>
        <w:rPr>
          <w:rFonts w:cs="Times New Roman"/>
          <w:szCs w:val="24"/>
        </w:rPr>
      </w:pPr>
      <w:r w:rsidRPr="006757B1">
        <w:rPr>
          <w:rFonts w:cs="Times New Roman"/>
          <w:b/>
          <w:szCs w:val="24"/>
        </w:rPr>
        <w:t xml:space="preserve">Cuadro </w:t>
      </w:r>
      <w:r w:rsidRPr="006757B1">
        <w:rPr>
          <w:rFonts w:cs="Times New Roman"/>
          <w:b/>
          <w:i/>
          <w:iCs/>
          <w:szCs w:val="24"/>
        </w:rPr>
        <w:fldChar w:fldCharType="begin"/>
      </w:r>
      <w:r w:rsidRPr="006757B1">
        <w:rPr>
          <w:rFonts w:cs="Times New Roman"/>
          <w:b/>
          <w:szCs w:val="24"/>
        </w:rPr>
        <w:instrText xml:space="preserve"> SEQ Cuadro \* ARABIC </w:instrText>
      </w:r>
      <w:r w:rsidRPr="006757B1">
        <w:rPr>
          <w:rFonts w:cs="Times New Roman"/>
          <w:b/>
          <w:i/>
          <w:iCs/>
          <w:szCs w:val="24"/>
        </w:rPr>
        <w:fldChar w:fldCharType="separate"/>
      </w:r>
      <w:r w:rsidR="000D1F55">
        <w:rPr>
          <w:rFonts w:cs="Times New Roman"/>
          <w:b/>
          <w:noProof/>
          <w:szCs w:val="24"/>
        </w:rPr>
        <w:t>120</w:t>
      </w:r>
      <w:r w:rsidRPr="006757B1">
        <w:rPr>
          <w:rFonts w:cs="Times New Roman"/>
          <w:b/>
          <w:i/>
          <w:iCs/>
          <w:szCs w:val="24"/>
        </w:rPr>
        <w:fldChar w:fldCharType="end"/>
      </w:r>
      <w:r w:rsidRPr="006757B1">
        <w:rPr>
          <w:rFonts w:cs="Times New Roman"/>
          <w:b/>
          <w:szCs w:val="24"/>
        </w:rPr>
        <w:t>.</w:t>
      </w:r>
      <w:r w:rsidRPr="006757B1">
        <w:rPr>
          <w:rFonts w:cs="Times New Roman"/>
          <w:szCs w:val="24"/>
        </w:rPr>
        <w:t xml:space="preserve"> Absorción total de fósforo de maíz suave para diversas dosis de magnesio evaluadas en la provincia de Imbabura 2010-2015.</w:t>
      </w:r>
      <w:bookmarkEnd w:id="1828"/>
    </w:p>
    <w:tbl>
      <w:tblPr>
        <w:tblStyle w:val="Tablaconcuadrcula"/>
        <w:tblW w:w="0" w:type="auto"/>
        <w:tblLook w:val="04A0" w:firstRow="1" w:lastRow="0" w:firstColumn="1" w:lastColumn="0" w:noHBand="0" w:noVBand="1"/>
      </w:tblPr>
      <w:tblGrid>
        <w:gridCol w:w="2263"/>
        <w:gridCol w:w="988"/>
        <w:gridCol w:w="456"/>
        <w:gridCol w:w="1817"/>
        <w:gridCol w:w="612"/>
        <w:gridCol w:w="1023"/>
        <w:gridCol w:w="768"/>
      </w:tblGrid>
      <w:tr w:rsidR="00C82BCC" w14:paraId="25D6858D" w14:textId="77777777" w:rsidTr="00A734A7">
        <w:tc>
          <w:tcPr>
            <w:tcW w:w="2263" w:type="dxa"/>
            <w:tcBorders>
              <w:top w:val="single" w:sz="4" w:space="0" w:color="auto"/>
              <w:left w:val="single" w:sz="4" w:space="0" w:color="auto"/>
              <w:bottom w:val="single" w:sz="4" w:space="0" w:color="auto"/>
              <w:right w:val="single" w:sz="4" w:space="0" w:color="auto"/>
            </w:tcBorders>
            <w:hideMark/>
          </w:tcPr>
          <w:p w14:paraId="573BDE3D" w14:textId="77777777" w:rsidR="00C82BCC" w:rsidRDefault="00C82BCC" w:rsidP="008E62D8">
            <w:pPr>
              <w:autoSpaceDE w:val="0"/>
              <w:autoSpaceDN w:val="0"/>
              <w:adjustRightInd w:val="0"/>
              <w:rPr>
                <w:rFonts w:cs="Times New Roman"/>
                <w:b/>
                <w:bCs/>
                <w:szCs w:val="24"/>
              </w:rPr>
            </w:pPr>
            <w:r>
              <w:rPr>
                <w:rFonts w:cs="Times New Roman"/>
                <w:b/>
                <w:bCs/>
                <w:szCs w:val="24"/>
              </w:rPr>
              <w:t xml:space="preserve">Dosis Mg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988" w:type="dxa"/>
            <w:tcBorders>
              <w:top w:val="single" w:sz="4" w:space="0" w:color="auto"/>
              <w:left w:val="single" w:sz="4" w:space="0" w:color="auto"/>
              <w:bottom w:val="single" w:sz="4" w:space="0" w:color="auto"/>
              <w:right w:val="single" w:sz="4" w:space="0" w:color="auto"/>
            </w:tcBorders>
            <w:hideMark/>
          </w:tcPr>
          <w:p w14:paraId="2EC9BFCD" w14:textId="77777777" w:rsidR="00C82BCC" w:rsidRDefault="00C82BCC" w:rsidP="008E62D8">
            <w:pPr>
              <w:autoSpaceDE w:val="0"/>
              <w:autoSpaceDN w:val="0"/>
              <w:adjustRightInd w:val="0"/>
              <w:rPr>
                <w:rFonts w:cs="Times New Roman"/>
                <w:b/>
                <w:bCs/>
                <w:szCs w:val="24"/>
              </w:rPr>
            </w:pPr>
            <w:r>
              <w:rPr>
                <w:rFonts w:cs="Times New Roman"/>
                <w:b/>
                <w:bCs/>
                <w:szCs w:val="24"/>
              </w:rPr>
              <w:t>Medias</w:t>
            </w:r>
          </w:p>
        </w:tc>
        <w:tc>
          <w:tcPr>
            <w:tcW w:w="456" w:type="dxa"/>
            <w:tcBorders>
              <w:top w:val="single" w:sz="4" w:space="0" w:color="auto"/>
              <w:left w:val="single" w:sz="4" w:space="0" w:color="auto"/>
              <w:bottom w:val="single" w:sz="4" w:space="0" w:color="auto"/>
              <w:right w:val="single" w:sz="4" w:space="0" w:color="auto"/>
            </w:tcBorders>
            <w:hideMark/>
          </w:tcPr>
          <w:p w14:paraId="0CCFD5B2" w14:textId="77777777" w:rsidR="00C82BCC" w:rsidRDefault="00C82BCC" w:rsidP="008E62D8">
            <w:pPr>
              <w:autoSpaceDE w:val="0"/>
              <w:autoSpaceDN w:val="0"/>
              <w:adjustRightInd w:val="0"/>
              <w:rPr>
                <w:rFonts w:cs="Times New Roman"/>
                <w:b/>
                <w:bCs/>
                <w:szCs w:val="24"/>
              </w:rPr>
            </w:pPr>
            <w:r>
              <w:rPr>
                <w:rFonts w:cs="Times New Roman"/>
                <w:b/>
                <w:bCs/>
                <w:szCs w:val="24"/>
              </w:rPr>
              <w:t xml:space="preserve">n </w:t>
            </w:r>
          </w:p>
        </w:tc>
        <w:tc>
          <w:tcPr>
            <w:tcW w:w="1817" w:type="dxa"/>
            <w:tcBorders>
              <w:top w:val="single" w:sz="4" w:space="0" w:color="auto"/>
              <w:left w:val="single" w:sz="4" w:space="0" w:color="auto"/>
              <w:bottom w:val="single" w:sz="4" w:space="0" w:color="auto"/>
              <w:right w:val="single" w:sz="4" w:space="0" w:color="auto"/>
            </w:tcBorders>
            <w:hideMark/>
          </w:tcPr>
          <w:p w14:paraId="1C45C650" w14:textId="77777777" w:rsidR="00C82BCC" w:rsidRDefault="00C82BCC" w:rsidP="008E62D8">
            <w:pPr>
              <w:autoSpaceDE w:val="0"/>
              <w:autoSpaceDN w:val="0"/>
              <w:adjustRightInd w:val="0"/>
              <w:rPr>
                <w:rFonts w:cs="Times New Roman"/>
                <w:b/>
                <w:bCs/>
                <w:szCs w:val="24"/>
              </w:rPr>
            </w:pPr>
            <w:r>
              <w:rPr>
                <w:rFonts w:eastAsia="Times New Roman" w:cs="Times New Roman"/>
                <w:b/>
                <w:bCs/>
                <w:color w:val="000000"/>
                <w:szCs w:val="24"/>
                <w:lang w:eastAsia="es-EC"/>
              </w:rPr>
              <w:t>Error estándar</w:t>
            </w:r>
          </w:p>
        </w:tc>
        <w:tc>
          <w:tcPr>
            <w:tcW w:w="612" w:type="dxa"/>
            <w:tcBorders>
              <w:top w:val="single" w:sz="4" w:space="0" w:color="auto"/>
              <w:left w:val="single" w:sz="4" w:space="0" w:color="auto"/>
              <w:bottom w:val="single" w:sz="4" w:space="0" w:color="auto"/>
              <w:right w:val="nil"/>
            </w:tcBorders>
            <w:hideMark/>
          </w:tcPr>
          <w:p w14:paraId="3BD5AAD4" w14:textId="77777777" w:rsidR="00C82BCC" w:rsidRDefault="00C82BCC" w:rsidP="008E62D8">
            <w:pPr>
              <w:autoSpaceDE w:val="0"/>
              <w:autoSpaceDN w:val="0"/>
              <w:adjustRightInd w:val="0"/>
              <w:rPr>
                <w:rFonts w:cs="Times New Roman"/>
                <w:szCs w:val="24"/>
                <w:u w:val="single"/>
              </w:rPr>
            </w:pPr>
            <w:r>
              <w:rPr>
                <w:rFonts w:cs="Times New Roman"/>
                <w:szCs w:val="24"/>
                <w:u w:val="single"/>
              </w:rPr>
              <w:t xml:space="preserve">  </w:t>
            </w:r>
          </w:p>
        </w:tc>
        <w:tc>
          <w:tcPr>
            <w:tcW w:w="1023" w:type="dxa"/>
            <w:tcBorders>
              <w:top w:val="single" w:sz="4" w:space="0" w:color="auto"/>
              <w:left w:val="nil"/>
              <w:bottom w:val="single" w:sz="4" w:space="0" w:color="auto"/>
              <w:right w:val="nil"/>
            </w:tcBorders>
            <w:hideMark/>
          </w:tcPr>
          <w:p w14:paraId="0F075099" w14:textId="77777777" w:rsidR="00C82BCC" w:rsidRDefault="00C82BCC" w:rsidP="008E62D8">
            <w:pPr>
              <w:autoSpaceDE w:val="0"/>
              <w:autoSpaceDN w:val="0"/>
              <w:adjustRightInd w:val="0"/>
              <w:rPr>
                <w:rFonts w:cs="Times New Roman"/>
                <w:b/>
                <w:bCs/>
                <w:szCs w:val="24"/>
              </w:rPr>
            </w:pPr>
            <w:r>
              <w:rPr>
                <w:rFonts w:cs="Times New Roman"/>
                <w:b/>
                <w:bCs/>
                <w:szCs w:val="24"/>
              </w:rPr>
              <w:t>Lsd0,05</w:t>
            </w:r>
          </w:p>
        </w:tc>
        <w:tc>
          <w:tcPr>
            <w:tcW w:w="768" w:type="dxa"/>
            <w:tcBorders>
              <w:top w:val="single" w:sz="4" w:space="0" w:color="auto"/>
              <w:left w:val="nil"/>
              <w:bottom w:val="single" w:sz="4" w:space="0" w:color="auto"/>
              <w:right w:val="single" w:sz="4" w:space="0" w:color="auto"/>
            </w:tcBorders>
            <w:hideMark/>
          </w:tcPr>
          <w:p w14:paraId="26ABBF4C" w14:textId="77777777" w:rsidR="00C82BCC" w:rsidRDefault="00C82BCC" w:rsidP="008E62D8">
            <w:pPr>
              <w:autoSpaceDE w:val="0"/>
              <w:autoSpaceDN w:val="0"/>
              <w:adjustRightInd w:val="0"/>
              <w:rPr>
                <w:rFonts w:cs="Times New Roman"/>
                <w:szCs w:val="24"/>
                <w:u w:val="single"/>
              </w:rPr>
            </w:pPr>
            <w:r>
              <w:rPr>
                <w:rFonts w:cs="Times New Roman"/>
                <w:szCs w:val="24"/>
                <w:u w:val="single"/>
              </w:rPr>
              <w:t xml:space="preserve">  </w:t>
            </w:r>
          </w:p>
        </w:tc>
      </w:tr>
      <w:tr w:rsidR="00C82BCC" w14:paraId="5C1B7354" w14:textId="77777777" w:rsidTr="00A734A7">
        <w:tc>
          <w:tcPr>
            <w:tcW w:w="2263" w:type="dxa"/>
            <w:tcBorders>
              <w:top w:val="single" w:sz="4" w:space="0" w:color="auto"/>
              <w:left w:val="single" w:sz="4" w:space="0" w:color="auto"/>
              <w:bottom w:val="single" w:sz="4" w:space="0" w:color="auto"/>
              <w:right w:val="single" w:sz="4" w:space="0" w:color="auto"/>
            </w:tcBorders>
            <w:hideMark/>
          </w:tcPr>
          <w:p w14:paraId="31CE3BE1" w14:textId="52C93665" w:rsidR="00C82BCC" w:rsidRDefault="00C82BCC" w:rsidP="008E62D8">
            <w:pPr>
              <w:autoSpaceDE w:val="0"/>
              <w:autoSpaceDN w:val="0"/>
              <w:adjustRightInd w:val="0"/>
              <w:jc w:val="center"/>
              <w:rPr>
                <w:rFonts w:cs="Times New Roman"/>
                <w:szCs w:val="24"/>
              </w:rPr>
            </w:pPr>
            <w:r>
              <w:rPr>
                <w:rFonts w:cs="Times New Roman"/>
                <w:szCs w:val="24"/>
              </w:rPr>
              <w:t>10</w:t>
            </w:r>
          </w:p>
        </w:tc>
        <w:tc>
          <w:tcPr>
            <w:tcW w:w="988" w:type="dxa"/>
            <w:tcBorders>
              <w:top w:val="single" w:sz="4" w:space="0" w:color="auto"/>
              <w:left w:val="single" w:sz="4" w:space="0" w:color="auto"/>
              <w:bottom w:val="single" w:sz="4" w:space="0" w:color="auto"/>
              <w:right w:val="single" w:sz="4" w:space="0" w:color="auto"/>
            </w:tcBorders>
            <w:hideMark/>
          </w:tcPr>
          <w:p w14:paraId="4FDBEF6B" w14:textId="77777777" w:rsidR="00C82BCC" w:rsidRDefault="00C82BCC" w:rsidP="008E62D8">
            <w:pPr>
              <w:autoSpaceDE w:val="0"/>
              <w:autoSpaceDN w:val="0"/>
              <w:adjustRightInd w:val="0"/>
              <w:rPr>
                <w:rFonts w:cs="Times New Roman"/>
                <w:szCs w:val="24"/>
              </w:rPr>
            </w:pPr>
            <w:r>
              <w:rPr>
                <w:rFonts w:cs="Times New Roman"/>
                <w:szCs w:val="24"/>
              </w:rPr>
              <w:t xml:space="preserve">  8,69</w:t>
            </w:r>
          </w:p>
        </w:tc>
        <w:tc>
          <w:tcPr>
            <w:tcW w:w="456" w:type="dxa"/>
            <w:tcBorders>
              <w:top w:val="single" w:sz="4" w:space="0" w:color="auto"/>
              <w:left w:val="single" w:sz="4" w:space="0" w:color="auto"/>
              <w:bottom w:val="single" w:sz="4" w:space="0" w:color="auto"/>
              <w:right w:val="single" w:sz="4" w:space="0" w:color="auto"/>
            </w:tcBorders>
            <w:hideMark/>
          </w:tcPr>
          <w:p w14:paraId="437CBD0E" w14:textId="77777777" w:rsidR="00C82BCC" w:rsidRDefault="00C82BCC" w:rsidP="008E62D8">
            <w:pPr>
              <w:autoSpaceDE w:val="0"/>
              <w:autoSpaceDN w:val="0"/>
              <w:adjustRightInd w:val="0"/>
              <w:rPr>
                <w:rFonts w:cs="Times New Roman"/>
                <w:szCs w:val="24"/>
              </w:rPr>
            </w:pPr>
            <w:r>
              <w:rPr>
                <w:rFonts w:cs="Times New Roman"/>
                <w:szCs w:val="24"/>
              </w:rPr>
              <w:t xml:space="preserve"> 5</w:t>
            </w:r>
          </w:p>
        </w:tc>
        <w:tc>
          <w:tcPr>
            <w:tcW w:w="1817" w:type="dxa"/>
            <w:tcBorders>
              <w:top w:val="single" w:sz="4" w:space="0" w:color="auto"/>
              <w:left w:val="single" w:sz="4" w:space="0" w:color="auto"/>
              <w:bottom w:val="single" w:sz="4" w:space="0" w:color="auto"/>
              <w:right w:val="single" w:sz="4" w:space="0" w:color="auto"/>
            </w:tcBorders>
            <w:hideMark/>
          </w:tcPr>
          <w:p w14:paraId="236D8C1E" w14:textId="77777777" w:rsidR="00C82BCC" w:rsidRDefault="00C82BCC" w:rsidP="008E62D8">
            <w:pPr>
              <w:autoSpaceDE w:val="0"/>
              <w:autoSpaceDN w:val="0"/>
              <w:adjustRightInd w:val="0"/>
              <w:jc w:val="center"/>
              <w:rPr>
                <w:rFonts w:cs="Times New Roman"/>
                <w:szCs w:val="24"/>
              </w:rPr>
            </w:pPr>
            <w:r>
              <w:rPr>
                <w:rFonts w:cs="Times New Roman"/>
                <w:szCs w:val="24"/>
              </w:rPr>
              <w:t>2,50</w:t>
            </w:r>
          </w:p>
        </w:tc>
        <w:tc>
          <w:tcPr>
            <w:tcW w:w="612" w:type="dxa"/>
            <w:tcBorders>
              <w:top w:val="single" w:sz="4" w:space="0" w:color="auto"/>
              <w:left w:val="single" w:sz="4" w:space="0" w:color="auto"/>
              <w:bottom w:val="single" w:sz="4" w:space="0" w:color="auto"/>
              <w:right w:val="single" w:sz="4" w:space="0" w:color="auto"/>
            </w:tcBorders>
            <w:hideMark/>
          </w:tcPr>
          <w:p w14:paraId="3CA5200F" w14:textId="77777777" w:rsidR="00C82BCC" w:rsidRDefault="00C82BCC" w:rsidP="008E62D8">
            <w:pPr>
              <w:autoSpaceDE w:val="0"/>
              <w:autoSpaceDN w:val="0"/>
              <w:adjustRightInd w:val="0"/>
              <w:rPr>
                <w:rFonts w:cs="Times New Roman"/>
                <w:szCs w:val="24"/>
              </w:rPr>
            </w:pPr>
            <w:r>
              <w:rPr>
                <w:rFonts w:cs="Times New Roman"/>
                <w:szCs w:val="24"/>
              </w:rPr>
              <w:t xml:space="preserve">A </w:t>
            </w:r>
          </w:p>
        </w:tc>
        <w:tc>
          <w:tcPr>
            <w:tcW w:w="1023" w:type="dxa"/>
            <w:tcBorders>
              <w:top w:val="single" w:sz="4" w:space="0" w:color="auto"/>
              <w:left w:val="single" w:sz="4" w:space="0" w:color="auto"/>
              <w:bottom w:val="single" w:sz="4" w:space="0" w:color="auto"/>
              <w:right w:val="single" w:sz="4" w:space="0" w:color="auto"/>
            </w:tcBorders>
            <w:hideMark/>
          </w:tcPr>
          <w:p w14:paraId="25CBAC07" w14:textId="77777777" w:rsidR="00C82BCC" w:rsidRDefault="00C82BCC" w:rsidP="008E62D8">
            <w:pPr>
              <w:autoSpaceDE w:val="0"/>
              <w:autoSpaceDN w:val="0"/>
              <w:adjustRightInd w:val="0"/>
              <w:rPr>
                <w:rFonts w:cs="Times New Roman"/>
                <w:szCs w:val="24"/>
              </w:rPr>
            </w:pPr>
            <w:r>
              <w:rPr>
                <w:rFonts w:cs="Times New Roman"/>
                <w:szCs w:val="24"/>
              </w:rPr>
              <w:t xml:space="preserve">  </w:t>
            </w:r>
          </w:p>
        </w:tc>
        <w:tc>
          <w:tcPr>
            <w:tcW w:w="768" w:type="dxa"/>
            <w:tcBorders>
              <w:top w:val="single" w:sz="4" w:space="0" w:color="auto"/>
              <w:left w:val="single" w:sz="4" w:space="0" w:color="auto"/>
              <w:bottom w:val="single" w:sz="4" w:space="0" w:color="auto"/>
              <w:right w:val="single" w:sz="4" w:space="0" w:color="auto"/>
            </w:tcBorders>
            <w:hideMark/>
          </w:tcPr>
          <w:p w14:paraId="11935473" w14:textId="77777777" w:rsidR="00C82BCC" w:rsidRDefault="00C82BCC" w:rsidP="008E62D8">
            <w:pPr>
              <w:autoSpaceDE w:val="0"/>
              <w:autoSpaceDN w:val="0"/>
              <w:adjustRightInd w:val="0"/>
              <w:rPr>
                <w:rFonts w:cs="Times New Roman"/>
                <w:szCs w:val="24"/>
              </w:rPr>
            </w:pPr>
            <w:r>
              <w:rPr>
                <w:rFonts w:cs="Times New Roman"/>
                <w:szCs w:val="24"/>
              </w:rPr>
              <w:t xml:space="preserve">  </w:t>
            </w:r>
          </w:p>
        </w:tc>
      </w:tr>
      <w:tr w:rsidR="00C82BCC" w14:paraId="0D88BDD9" w14:textId="77777777" w:rsidTr="00A734A7">
        <w:tc>
          <w:tcPr>
            <w:tcW w:w="2263" w:type="dxa"/>
            <w:tcBorders>
              <w:top w:val="single" w:sz="4" w:space="0" w:color="auto"/>
              <w:left w:val="single" w:sz="4" w:space="0" w:color="auto"/>
              <w:bottom w:val="single" w:sz="4" w:space="0" w:color="auto"/>
              <w:right w:val="single" w:sz="4" w:space="0" w:color="auto"/>
            </w:tcBorders>
            <w:hideMark/>
          </w:tcPr>
          <w:p w14:paraId="24243628" w14:textId="0C38AEEA" w:rsidR="00C82BCC" w:rsidRDefault="00C82BCC" w:rsidP="008E62D8">
            <w:pPr>
              <w:autoSpaceDE w:val="0"/>
              <w:autoSpaceDN w:val="0"/>
              <w:adjustRightInd w:val="0"/>
              <w:jc w:val="center"/>
              <w:rPr>
                <w:rFonts w:cs="Times New Roman"/>
                <w:szCs w:val="24"/>
              </w:rPr>
            </w:pPr>
            <w:r>
              <w:rPr>
                <w:rFonts w:cs="Times New Roman"/>
                <w:szCs w:val="24"/>
              </w:rPr>
              <w:t>20</w:t>
            </w:r>
          </w:p>
        </w:tc>
        <w:tc>
          <w:tcPr>
            <w:tcW w:w="988" w:type="dxa"/>
            <w:tcBorders>
              <w:top w:val="single" w:sz="4" w:space="0" w:color="auto"/>
              <w:left w:val="single" w:sz="4" w:space="0" w:color="auto"/>
              <w:bottom w:val="single" w:sz="4" w:space="0" w:color="auto"/>
              <w:right w:val="single" w:sz="4" w:space="0" w:color="auto"/>
            </w:tcBorders>
            <w:hideMark/>
          </w:tcPr>
          <w:p w14:paraId="1C3E71CD" w14:textId="77777777" w:rsidR="00C82BCC" w:rsidRDefault="00C82BCC" w:rsidP="008E62D8">
            <w:pPr>
              <w:autoSpaceDE w:val="0"/>
              <w:autoSpaceDN w:val="0"/>
              <w:adjustRightInd w:val="0"/>
              <w:rPr>
                <w:rFonts w:cs="Times New Roman"/>
                <w:szCs w:val="24"/>
              </w:rPr>
            </w:pPr>
            <w:r>
              <w:rPr>
                <w:rFonts w:cs="Times New Roman"/>
                <w:szCs w:val="24"/>
              </w:rPr>
              <w:t xml:space="preserve"> 36,48</w:t>
            </w:r>
          </w:p>
        </w:tc>
        <w:tc>
          <w:tcPr>
            <w:tcW w:w="456" w:type="dxa"/>
            <w:tcBorders>
              <w:top w:val="single" w:sz="4" w:space="0" w:color="auto"/>
              <w:left w:val="single" w:sz="4" w:space="0" w:color="auto"/>
              <w:bottom w:val="single" w:sz="4" w:space="0" w:color="auto"/>
              <w:right w:val="single" w:sz="4" w:space="0" w:color="auto"/>
            </w:tcBorders>
            <w:hideMark/>
          </w:tcPr>
          <w:p w14:paraId="22A09413" w14:textId="77777777" w:rsidR="00C82BCC" w:rsidRDefault="00C82BCC" w:rsidP="008E62D8">
            <w:pPr>
              <w:autoSpaceDE w:val="0"/>
              <w:autoSpaceDN w:val="0"/>
              <w:adjustRightInd w:val="0"/>
              <w:rPr>
                <w:rFonts w:cs="Times New Roman"/>
                <w:szCs w:val="24"/>
              </w:rPr>
            </w:pPr>
            <w:r>
              <w:rPr>
                <w:rFonts w:cs="Times New Roman"/>
                <w:szCs w:val="24"/>
              </w:rPr>
              <w:t>12</w:t>
            </w:r>
          </w:p>
        </w:tc>
        <w:tc>
          <w:tcPr>
            <w:tcW w:w="1817" w:type="dxa"/>
            <w:tcBorders>
              <w:top w:val="single" w:sz="4" w:space="0" w:color="auto"/>
              <w:left w:val="single" w:sz="4" w:space="0" w:color="auto"/>
              <w:bottom w:val="single" w:sz="4" w:space="0" w:color="auto"/>
              <w:right w:val="single" w:sz="4" w:space="0" w:color="auto"/>
            </w:tcBorders>
            <w:hideMark/>
          </w:tcPr>
          <w:p w14:paraId="055D6523" w14:textId="77777777" w:rsidR="00C82BCC" w:rsidRDefault="00C82BCC" w:rsidP="008E62D8">
            <w:pPr>
              <w:autoSpaceDE w:val="0"/>
              <w:autoSpaceDN w:val="0"/>
              <w:adjustRightInd w:val="0"/>
              <w:jc w:val="center"/>
              <w:rPr>
                <w:rFonts w:cs="Times New Roman"/>
                <w:szCs w:val="24"/>
              </w:rPr>
            </w:pPr>
            <w:r>
              <w:rPr>
                <w:rFonts w:cs="Times New Roman"/>
                <w:szCs w:val="24"/>
              </w:rPr>
              <w:t>1,66</w:t>
            </w:r>
          </w:p>
        </w:tc>
        <w:tc>
          <w:tcPr>
            <w:tcW w:w="612" w:type="dxa"/>
            <w:tcBorders>
              <w:top w:val="single" w:sz="4" w:space="0" w:color="auto"/>
              <w:left w:val="single" w:sz="4" w:space="0" w:color="auto"/>
              <w:bottom w:val="single" w:sz="4" w:space="0" w:color="auto"/>
              <w:right w:val="single" w:sz="4" w:space="0" w:color="auto"/>
            </w:tcBorders>
            <w:hideMark/>
          </w:tcPr>
          <w:p w14:paraId="6AFDA716" w14:textId="77777777" w:rsidR="00C82BCC" w:rsidRDefault="00C82BCC" w:rsidP="008E62D8">
            <w:pPr>
              <w:autoSpaceDE w:val="0"/>
              <w:autoSpaceDN w:val="0"/>
              <w:adjustRightInd w:val="0"/>
              <w:rPr>
                <w:rFonts w:cs="Times New Roman"/>
                <w:szCs w:val="24"/>
              </w:rPr>
            </w:pPr>
            <w:r>
              <w:rPr>
                <w:rFonts w:cs="Times New Roman"/>
                <w:szCs w:val="24"/>
              </w:rPr>
              <w:t xml:space="preserve">  </w:t>
            </w:r>
          </w:p>
        </w:tc>
        <w:tc>
          <w:tcPr>
            <w:tcW w:w="1023" w:type="dxa"/>
            <w:tcBorders>
              <w:top w:val="single" w:sz="4" w:space="0" w:color="auto"/>
              <w:left w:val="single" w:sz="4" w:space="0" w:color="auto"/>
              <w:bottom w:val="single" w:sz="4" w:space="0" w:color="auto"/>
              <w:right w:val="single" w:sz="4" w:space="0" w:color="auto"/>
            </w:tcBorders>
            <w:hideMark/>
          </w:tcPr>
          <w:p w14:paraId="1FFFD9C0" w14:textId="77777777" w:rsidR="00C82BCC" w:rsidRDefault="00C82BCC" w:rsidP="008E62D8">
            <w:pPr>
              <w:autoSpaceDE w:val="0"/>
              <w:autoSpaceDN w:val="0"/>
              <w:adjustRightInd w:val="0"/>
              <w:rPr>
                <w:rFonts w:cs="Times New Roman"/>
                <w:szCs w:val="24"/>
              </w:rPr>
            </w:pPr>
            <w:r>
              <w:rPr>
                <w:rFonts w:cs="Times New Roman"/>
                <w:szCs w:val="24"/>
              </w:rPr>
              <w:t xml:space="preserve">B </w:t>
            </w:r>
          </w:p>
        </w:tc>
        <w:tc>
          <w:tcPr>
            <w:tcW w:w="768" w:type="dxa"/>
            <w:tcBorders>
              <w:top w:val="single" w:sz="4" w:space="0" w:color="auto"/>
              <w:left w:val="single" w:sz="4" w:space="0" w:color="auto"/>
              <w:bottom w:val="single" w:sz="4" w:space="0" w:color="auto"/>
              <w:right w:val="single" w:sz="4" w:space="0" w:color="auto"/>
            </w:tcBorders>
            <w:hideMark/>
          </w:tcPr>
          <w:p w14:paraId="35515DD0" w14:textId="77777777" w:rsidR="00C82BCC" w:rsidRDefault="00C82BCC" w:rsidP="008E62D8">
            <w:pPr>
              <w:autoSpaceDE w:val="0"/>
              <w:autoSpaceDN w:val="0"/>
              <w:adjustRightInd w:val="0"/>
              <w:rPr>
                <w:rFonts w:cs="Times New Roman"/>
                <w:szCs w:val="24"/>
              </w:rPr>
            </w:pPr>
            <w:r>
              <w:rPr>
                <w:rFonts w:cs="Times New Roman"/>
                <w:szCs w:val="24"/>
              </w:rPr>
              <w:t xml:space="preserve">  </w:t>
            </w:r>
          </w:p>
        </w:tc>
      </w:tr>
      <w:tr w:rsidR="00C82BCC" w14:paraId="11D819E2" w14:textId="77777777" w:rsidTr="00A734A7">
        <w:tc>
          <w:tcPr>
            <w:tcW w:w="2263" w:type="dxa"/>
            <w:tcBorders>
              <w:top w:val="single" w:sz="4" w:space="0" w:color="auto"/>
              <w:left w:val="single" w:sz="4" w:space="0" w:color="auto"/>
              <w:bottom w:val="single" w:sz="4" w:space="0" w:color="auto"/>
              <w:right w:val="single" w:sz="4" w:space="0" w:color="auto"/>
            </w:tcBorders>
            <w:hideMark/>
          </w:tcPr>
          <w:p w14:paraId="51E7D3AC" w14:textId="759B01E6" w:rsidR="00C82BCC" w:rsidRDefault="00C82BCC" w:rsidP="008E62D8">
            <w:pPr>
              <w:autoSpaceDE w:val="0"/>
              <w:autoSpaceDN w:val="0"/>
              <w:adjustRightInd w:val="0"/>
              <w:jc w:val="center"/>
              <w:rPr>
                <w:rFonts w:cs="Times New Roman"/>
                <w:szCs w:val="24"/>
              </w:rPr>
            </w:pPr>
            <w:r>
              <w:rPr>
                <w:rFonts w:cs="Times New Roman"/>
                <w:szCs w:val="24"/>
              </w:rPr>
              <w:t>30</w:t>
            </w:r>
          </w:p>
        </w:tc>
        <w:tc>
          <w:tcPr>
            <w:tcW w:w="988" w:type="dxa"/>
            <w:tcBorders>
              <w:top w:val="single" w:sz="4" w:space="0" w:color="auto"/>
              <w:left w:val="single" w:sz="4" w:space="0" w:color="auto"/>
              <w:bottom w:val="single" w:sz="4" w:space="0" w:color="auto"/>
              <w:right w:val="single" w:sz="4" w:space="0" w:color="auto"/>
            </w:tcBorders>
            <w:hideMark/>
          </w:tcPr>
          <w:p w14:paraId="45B03CE9" w14:textId="77777777" w:rsidR="00C82BCC" w:rsidRDefault="00C82BCC" w:rsidP="008E62D8">
            <w:pPr>
              <w:autoSpaceDE w:val="0"/>
              <w:autoSpaceDN w:val="0"/>
              <w:adjustRightInd w:val="0"/>
              <w:rPr>
                <w:rFonts w:cs="Times New Roman"/>
                <w:szCs w:val="24"/>
              </w:rPr>
            </w:pPr>
            <w:r>
              <w:rPr>
                <w:rFonts w:cs="Times New Roman"/>
                <w:szCs w:val="24"/>
              </w:rPr>
              <w:t xml:space="preserve"> 37,55</w:t>
            </w:r>
          </w:p>
        </w:tc>
        <w:tc>
          <w:tcPr>
            <w:tcW w:w="456" w:type="dxa"/>
            <w:tcBorders>
              <w:top w:val="single" w:sz="4" w:space="0" w:color="auto"/>
              <w:left w:val="single" w:sz="4" w:space="0" w:color="auto"/>
              <w:bottom w:val="single" w:sz="4" w:space="0" w:color="auto"/>
              <w:right w:val="single" w:sz="4" w:space="0" w:color="auto"/>
            </w:tcBorders>
            <w:hideMark/>
          </w:tcPr>
          <w:p w14:paraId="151D7ECE" w14:textId="77777777" w:rsidR="00C82BCC" w:rsidRDefault="00C82BCC" w:rsidP="008E62D8">
            <w:pPr>
              <w:autoSpaceDE w:val="0"/>
              <w:autoSpaceDN w:val="0"/>
              <w:adjustRightInd w:val="0"/>
              <w:rPr>
                <w:rFonts w:cs="Times New Roman"/>
                <w:szCs w:val="24"/>
              </w:rPr>
            </w:pPr>
            <w:r>
              <w:rPr>
                <w:rFonts w:cs="Times New Roman"/>
                <w:szCs w:val="24"/>
              </w:rPr>
              <w:t xml:space="preserve"> 5</w:t>
            </w:r>
          </w:p>
        </w:tc>
        <w:tc>
          <w:tcPr>
            <w:tcW w:w="1817" w:type="dxa"/>
            <w:tcBorders>
              <w:top w:val="single" w:sz="4" w:space="0" w:color="auto"/>
              <w:left w:val="single" w:sz="4" w:space="0" w:color="auto"/>
              <w:bottom w:val="single" w:sz="4" w:space="0" w:color="auto"/>
              <w:right w:val="single" w:sz="4" w:space="0" w:color="auto"/>
            </w:tcBorders>
            <w:hideMark/>
          </w:tcPr>
          <w:p w14:paraId="2796553E" w14:textId="77777777" w:rsidR="00C82BCC" w:rsidRDefault="00C82BCC" w:rsidP="008E62D8">
            <w:pPr>
              <w:autoSpaceDE w:val="0"/>
              <w:autoSpaceDN w:val="0"/>
              <w:adjustRightInd w:val="0"/>
              <w:jc w:val="center"/>
              <w:rPr>
                <w:rFonts w:cs="Times New Roman"/>
                <w:szCs w:val="24"/>
              </w:rPr>
            </w:pPr>
            <w:r>
              <w:rPr>
                <w:rFonts w:cs="Times New Roman"/>
                <w:szCs w:val="24"/>
              </w:rPr>
              <w:t>2,50</w:t>
            </w:r>
          </w:p>
        </w:tc>
        <w:tc>
          <w:tcPr>
            <w:tcW w:w="612" w:type="dxa"/>
            <w:tcBorders>
              <w:top w:val="single" w:sz="4" w:space="0" w:color="auto"/>
              <w:left w:val="single" w:sz="4" w:space="0" w:color="auto"/>
              <w:bottom w:val="single" w:sz="4" w:space="0" w:color="auto"/>
              <w:right w:val="single" w:sz="4" w:space="0" w:color="auto"/>
            </w:tcBorders>
            <w:hideMark/>
          </w:tcPr>
          <w:p w14:paraId="4D50EC09" w14:textId="77777777" w:rsidR="00C82BCC" w:rsidRDefault="00C82BCC" w:rsidP="008E62D8">
            <w:pPr>
              <w:autoSpaceDE w:val="0"/>
              <w:autoSpaceDN w:val="0"/>
              <w:adjustRightInd w:val="0"/>
              <w:rPr>
                <w:rFonts w:cs="Times New Roman"/>
                <w:szCs w:val="24"/>
              </w:rPr>
            </w:pPr>
            <w:r>
              <w:rPr>
                <w:rFonts w:cs="Times New Roman"/>
                <w:szCs w:val="24"/>
              </w:rPr>
              <w:t xml:space="preserve">  </w:t>
            </w:r>
          </w:p>
        </w:tc>
        <w:tc>
          <w:tcPr>
            <w:tcW w:w="1023" w:type="dxa"/>
            <w:tcBorders>
              <w:top w:val="single" w:sz="4" w:space="0" w:color="auto"/>
              <w:left w:val="single" w:sz="4" w:space="0" w:color="auto"/>
              <w:bottom w:val="single" w:sz="4" w:space="0" w:color="auto"/>
              <w:right w:val="single" w:sz="4" w:space="0" w:color="auto"/>
            </w:tcBorders>
            <w:hideMark/>
          </w:tcPr>
          <w:p w14:paraId="347BFE2C" w14:textId="77777777" w:rsidR="00C82BCC" w:rsidRDefault="00C82BCC" w:rsidP="008E62D8">
            <w:pPr>
              <w:autoSpaceDE w:val="0"/>
              <w:autoSpaceDN w:val="0"/>
              <w:adjustRightInd w:val="0"/>
              <w:rPr>
                <w:rFonts w:cs="Times New Roman"/>
                <w:szCs w:val="24"/>
              </w:rPr>
            </w:pPr>
            <w:r>
              <w:rPr>
                <w:rFonts w:cs="Times New Roman"/>
                <w:szCs w:val="24"/>
              </w:rPr>
              <w:t xml:space="preserve">B </w:t>
            </w:r>
          </w:p>
        </w:tc>
        <w:tc>
          <w:tcPr>
            <w:tcW w:w="768" w:type="dxa"/>
            <w:tcBorders>
              <w:top w:val="single" w:sz="4" w:space="0" w:color="auto"/>
              <w:left w:val="single" w:sz="4" w:space="0" w:color="auto"/>
              <w:bottom w:val="single" w:sz="4" w:space="0" w:color="auto"/>
              <w:right w:val="single" w:sz="4" w:space="0" w:color="auto"/>
            </w:tcBorders>
            <w:hideMark/>
          </w:tcPr>
          <w:p w14:paraId="13D29CDA" w14:textId="77777777" w:rsidR="00C82BCC" w:rsidRDefault="00C82BCC" w:rsidP="008E62D8">
            <w:pPr>
              <w:autoSpaceDE w:val="0"/>
              <w:autoSpaceDN w:val="0"/>
              <w:adjustRightInd w:val="0"/>
              <w:rPr>
                <w:rFonts w:cs="Times New Roman"/>
                <w:szCs w:val="24"/>
              </w:rPr>
            </w:pPr>
            <w:r>
              <w:rPr>
                <w:rFonts w:cs="Times New Roman"/>
                <w:szCs w:val="24"/>
              </w:rPr>
              <w:t xml:space="preserve">C </w:t>
            </w:r>
          </w:p>
        </w:tc>
      </w:tr>
      <w:tr w:rsidR="00C82BCC" w14:paraId="51F973F6" w14:textId="77777777" w:rsidTr="00A734A7">
        <w:tc>
          <w:tcPr>
            <w:tcW w:w="2263" w:type="dxa"/>
            <w:tcBorders>
              <w:top w:val="single" w:sz="4" w:space="0" w:color="auto"/>
              <w:left w:val="single" w:sz="4" w:space="0" w:color="auto"/>
              <w:bottom w:val="single" w:sz="4" w:space="0" w:color="auto"/>
              <w:right w:val="single" w:sz="4" w:space="0" w:color="auto"/>
            </w:tcBorders>
            <w:hideMark/>
          </w:tcPr>
          <w:p w14:paraId="2A65BFE8" w14:textId="56A4CBEA" w:rsidR="00C82BCC" w:rsidRDefault="00C82BCC" w:rsidP="008E62D8">
            <w:pPr>
              <w:autoSpaceDE w:val="0"/>
              <w:autoSpaceDN w:val="0"/>
              <w:adjustRightInd w:val="0"/>
              <w:jc w:val="center"/>
              <w:rPr>
                <w:rFonts w:cs="Times New Roman"/>
                <w:szCs w:val="24"/>
                <w:u w:val="single"/>
              </w:rPr>
            </w:pPr>
            <w:r>
              <w:rPr>
                <w:rFonts w:cs="Times New Roman"/>
                <w:szCs w:val="24"/>
                <w:u w:val="single"/>
              </w:rPr>
              <w:t>0</w:t>
            </w:r>
          </w:p>
        </w:tc>
        <w:tc>
          <w:tcPr>
            <w:tcW w:w="988" w:type="dxa"/>
            <w:tcBorders>
              <w:top w:val="single" w:sz="4" w:space="0" w:color="auto"/>
              <w:left w:val="single" w:sz="4" w:space="0" w:color="auto"/>
              <w:bottom w:val="single" w:sz="4" w:space="0" w:color="auto"/>
              <w:right w:val="single" w:sz="4" w:space="0" w:color="auto"/>
            </w:tcBorders>
            <w:hideMark/>
          </w:tcPr>
          <w:p w14:paraId="1C7FE1BA" w14:textId="77777777" w:rsidR="00C82BCC" w:rsidRDefault="00C82BCC" w:rsidP="008E62D8">
            <w:pPr>
              <w:autoSpaceDE w:val="0"/>
              <w:autoSpaceDN w:val="0"/>
              <w:adjustRightInd w:val="0"/>
              <w:rPr>
                <w:rFonts w:cs="Times New Roman"/>
                <w:szCs w:val="24"/>
              </w:rPr>
            </w:pPr>
            <w:r>
              <w:rPr>
                <w:rFonts w:cs="Times New Roman"/>
                <w:szCs w:val="24"/>
              </w:rPr>
              <w:t xml:space="preserve"> 42,35</w:t>
            </w:r>
          </w:p>
        </w:tc>
        <w:tc>
          <w:tcPr>
            <w:tcW w:w="456" w:type="dxa"/>
            <w:tcBorders>
              <w:top w:val="single" w:sz="4" w:space="0" w:color="auto"/>
              <w:left w:val="single" w:sz="4" w:space="0" w:color="auto"/>
              <w:bottom w:val="single" w:sz="4" w:space="0" w:color="auto"/>
              <w:right w:val="single" w:sz="4" w:space="0" w:color="auto"/>
            </w:tcBorders>
            <w:hideMark/>
          </w:tcPr>
          <w:p w14:paraId="71036A1E" w14:textId="77777777" w:rsidR="00C82BCC" w:rsidRDefault="00C82BCC" w:rsidP="008E62D8">
            <w:pPr>
              <w:autoSpaceDE w:val="0"/>
              <w:autoSpaceDN w:val="0"/>
              <w:adjustRightInd w:val="0"/>
              <w:rPr>
                <w:rFonts w:cs="Times New Roman"/>
                <w:szCs w:val="24"/>
              </w:rPr>
            </w:pPr>
            <w:r>
              <w:rPr>
                <w:rFonts w:cs="Times New Roman"/>
                <w:szCs w:val="24"/>
              </w:rPr>
              <w:t>47</w:t>
            </w:r>
          </w:p>
        </w:tc>
        <w:tc>
          <w:tcPr>
            <w:tcW w:w="1817" w:type="dxa"/>
            <w:tcBorders>
              <w:top w:val="single" w:sz="4" w:space="0" w:color="auto"/>
              <w:left w:val="single" w:sz="4" w:space="0" w:color="auto"/>
              <w:bottom w:val="single" w:sz="4" w:space="0" w:color="auto"/>
              <w:right w:val="single" w:sz="4" w:space="0" w:color="auto"/>
            </w:tcBorders>
            <w:hideMark/>
          </w:tcPr>
          <w:p w14:paraId="2B0B0107" w14:textId="77777777" w:rsidR="00C82BCC" w:rsidRDefault="00C82BCC" w:rsidP="008E62D8">
            <w:pPr>
              <w:autoSpaceDE w:val="0"/>
              <w:autoSpaceDN w:val="0"/>
              <w:adjustRightInd w:val="0"/>
              <w:jc w:val="center"/>
              <w:rPr>
                <w:rFonts w:cs="Times New Roman"/>
                <w:szCs w:val="24"/>
              </w:rPr>
            </w:pPr>
            <w:r>
              <w:rPr>
                <w:rFonts w:cs="Times New Roman"/>
                <w:szCs w:val="24"/>
              </w:rPr>
              <w:t>0,84</w:t>
            </w:r>
          </w:p>
        </w:tc>
        <w:tc>
          <w:tcPr>
            <w:tcW w:w="612" w:type="dxa"/>
            <w:tcBorders>
              <w:top w:val="single" w:sz="4" w:space="0" w:color="auto"/>
              <w:left w:val="single" w:sz="4" w:space="0" w:color="auto"/>
              <w:bottom w:val="single" w:sz="4" w:space="0" w:color="auto"/>
              <w:right w:val="single" w:sz="4" w:space="0" w:color="auto"/>
            </w:tcBorders>
            <w:hideMark/>
          </w:tcPr>
          <w:p w14:paraId="60333465" w14:textId="77777777" w:rsidR="00C82BCC" w:rsidRDefault="00C82BCC" w:rsidP="008E62D8">
            <w:pPr>
              <w:autoSpaceDE w:val="0"/>
              <w:autoSpaceDN w:val="0"/>
              <w:adjustRightInd w:val="0"/>
              <w:rPr>
                <w:rFonts w:cs="Times New Roman"/>
                <w:szCs w:val="24"/>
              </w:rPr>
            </w:pPr>
            <w:r>
              <w:rPr>
                <w:rFonts w:cs="Times New Roman"/>
                <w:szCs w:val="24"/>
              </w:rPr>
              <w:t xml:space="preserve">  </w:t>
            </w:r>
          </w:p>
        </w:tc>
        <w:tc>
          <w:tcPr>
            <w:tcW w:w="1023" w:type="dxa"/>
            <w:tcBorders>
              <w:top w:val="single" w:sz="4" w:space="0" w:color="auto"/>
              <w:left w:val="single" w:sz="4" w:space="0" w:color="auto"/>
              <w:bottom w:val="single" w:sz="4" w:space="0" w:color="auto"/>
              <w:right w:val="single" w:sz="4" w:space="0" w:color="auto"/>
            </w:tcBorders>
            <w:hideMark/>
          </w:tcPr>
          <w:p w14:paraId="276DF224" w14:textId="77777777" w:rsidR="00C82BCC" w:rsidRDefault="00C82BCC" w:rsidP="008E62D8">
            <w:pPr>
              <w:autoSpaceDE w:val="0"/>
              <w:autoSpaceDN w:val="0"/>
              <w:adjustRightInd w:val="0"/>
              <w:rPr>
                <w:rFonts w:cs="Times New Roman"/>
                <w:szCs w:val="24"/>
              </w:rPr>
            </w:pPr>
            <w:r>
              <w:rPr>
                <w:rFonts w:cs="Times New Roman"/>
                <w:szCs w:val="24"/>
              </w:rPr>
              <w:t xml:space="preserve">  </w:t>
            </w:r>
          </w:p>
        </w:tc>
        <w:tc>
          <w:tcPr>
            <w:tcW w:w="768" w:type="dxa"/>
            <w:tcBorders>
              <w:top w:val="single" w:sz="4" w:space="0" w:color="auto"/>
              <w:left w:val="single" w:sz="4" w:space="0" w:color="auto"/>
              <w:bottom w:val="single" w:sz="4" w:space="0" w:color="auto"/>
              <w:right w:val="single" w:sz="4" w:space="0" w:color="auto"/>
            </w:tcBorders>
            <w:hideMark/>
          </w:tcPr>
          <w:p w14:paraId="3FEF14B0" w14:textId="77777777" w:rsidR="00C82BCC" w:rsidRDefault="00C82BCC" w:rsidP="008E62D8">
            <w:pPr>
              <w:autoSpaceDE w:val="0"/>
              <w:autoSpaceDN w:val="0"/>
              <w:adjustRightInd w:val="0"/>
              <w:rPr>
                <w:rFonts w:cs="Times New Roman"/>
                <w:szCs w:val="24"/>
              </w:rPr>
            </w:pPr>
            <w:r>
              <w:rPr>
                <w:rFonts w:cs="Times New Roman"/>
                <w:szCs w:val="24"/>
              </w:rPr>
              <w:t xml:space="preserve">C </w:t>
            </w:r>
          </w:p>
        </w:tc>
      </w:tr>
    </w:tbl>
    <w:p w14:paraId="31050972" w14:textId="3D6D4174" w:rsidR="00C82BCC" w:rsidRDefault="00C82BCC" w:rsidP="00C82BCC">
      <w:pPr>
        <w:autoSpaceDE w:val="0"/>
        <w:autoSpaceDN w:val="0"/>
        <w:adjustRightInd w:val="0"/>
        <w:spacing w:after="0" w:line="360" w:lineRule="auto"/>
        <w:rPr>
          <w:rFonts w:cs="Times New Roman"/>
          <w:bCs/>
          <w:szCs w:val="24"/>
        </w:rPr>
      </w:pPr>
      <w:r>
        <w:rPr>
          <w:rFonts w:cs="Times New Roman"/>
          <w:bCs/>
          <w:szCs w:val="24"/>
        </w:rPr>
        <w:lastRenderedPageBreak/>
        <w:t xml:space="preserve">El efecto </w:t>
      </w:r>
      <w:r w:rsidR="00C5768F">
        <w:rPr>
          <w:rFonts w:cs="Times New Roman"/>
          <w:bCs/>
          <w:szCs w:val="24"/>
        </w:rPr>
        <w:t xml:space="preserve">lineal y </w:t>
      </w:r>
      <w:r w:rsidR="00846087">
        <w:rPr>
          <w:rFonts w:cs="Times New Roman"/>
          <w:bCs/>
          <w:szCs w:val="24"/>
        </w:rPr>
        <w:t>cuadrático</w:t>
      </w:r>
      <w:r w:rsidR="00C5768F">
        <w:rPr>
          <w:rFonts w:cs="Times New Roman"/>
          <w:bCs/>
          <w:szCs w:val="24"/>
        </w:rPr>
        <w:t xml:space="preserve"> </w:t>
      </w:r>
      <w:r>
        <w:rPr>
          <w:rFonts w:cs="Times New Roman"/>
          <w:bCs/>
          <w:szCs w:val="24"/>
        </w:rPr>
        <w:t>de los nutrientes que fueron significativos</w:t>
      </w:r>
      <w:r w:rsidR="00FC53D5">
        <w:rPr>
          <w:rFonts w:cs="Times New Roman"/>
          <w:bCs/>
          <w:szCs w:val="24"/>
        </w:rPr>
        <w:t xml:space="preserve"> (p&lt;0,001)</w:t>
      </w:r>
      <w:r>
        <w:rPr>
          <w:rFonts w:cs="Times New Roman"/>
          <w:bCs/>
          <w:szCs w:val="24"/>
        </w:rPr>
        <w:t xml:space="preserve"> sobre la absorción de fósforo en la provincia de Imbabura se observa en </w:t>
      </w:r>
      <w:r w:rsidR="000D1A0C">
        <w:rPr>
          <w:rFonts w:cs="Times New Roman"/>
          <w:bCs/>
          <w:szCs w:val="24"/>
        </w:rPr>
        <w:t xml:space="preserve">la </w:t>
      </w:r>
      <w:r>
        <w:rPr>
          <w:rFonts w:cs="Times New Roman"/>
          <w:bCs/>
          <w:szCs w:val="24"/>
        </w:rPr>
        <w:t xml:space="preserve">siguiente </w:t>
      </w:r>
      <w:r w:rsidR="000D1A0C">
        <w:rPr>
          <w:rFonts w:cs="Times New Roman"/>
          <w:bCs/>
          <w:szCs w:val="24"/>
        </w:rPr>
        <w:t>f</w:t>
      </w:r>
      <w:r w:rsidR="00DE3747">
        <w:rPr>
          <w:rFonts w:cs="Times New Roman"/>
          <w:bCs/>
          <w:szCs w:val="24"/>
        </w:rPr>
        <w:t>igura</w:t>
      </w:r>
    </w:p>
    <w:p w14:paraId="066F6D20" w14:textId="070163C1" w:rsidR="00FB7078" w:rsidRPr="00BF2629" w:rsidRDefault="00FB7078" w:rsidP="0016654D">
      <w:pPr>
        <w:pStyle w:val="Ttulo1"/>
        <w:numPr>
          <w:ilvl w:val="0"/>
          <w:numId w:val="30"/>
        </w:numPr>
        <w:spacing w:before="360" w:after="360"/>
        <w:ind w:left="1077" w:hanging="357"/>
        <w:rPr>
          <w:b w:val="0"/>
          <w:bCs w:val="0"/>
        </w:rPr>
      </w:pPr>
      <w:bookmarkStart w:id="1829" w:name="_Toc72704654"/>
      <w:bookmarkStart w:id="1830" w:name="_Toc72706360"/>
      <w:bookmarkStart w:id="1831" w:name="_Toc72741310"/>
      <w:bookmarkStart w:id="1832" w:name="_Toc72742906"/>
      <w:bookmarkStart w:id="1833" w:name="_Toc72881263"/>
      <w:bookmarkStart w:id="1834" w:name="_Toc72881634"/>
      <w:bookmarkStart w:id="1835" w:name="_Toc75606503"/>
      <w:bookmarkStart w:id="1836" w:name="_Toc75611982"/>
      <w:bookmarkStart w:id="1837" w:name="_Toc75612828"/>
      <w:bookmarkStart w:id="1838" w:name="_Toc75679984"/>
      <w:bookmarkStart w:id="1839" w:name="_Toc75702592"/>
      <w:bookmarkStart w:id="1840" w:name="_Toc79313236"/>
      <w:bookmarkStart w:id="1841" w:name="_Toc80008448"/>
      <w:bookmarkStart w:id="1842" w:name="_Toc80312341"/>
      <w:r w:rsidRPr="00BF2629">
        <w:rPr>
          <w:b w:val="0"/>
          <w:bCs w:val="0"/>
        </w:rPr>
        <w:t>Nitrógeno</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r w:rsidRPr="00BF2629">
        <w:rPr>
          <w:b w:val="0"/>
          <w:bCs w:val="0"/>
        </w:rPr>
        <w:t xml:space="preserve"> </w:t>
      </w:r>
    </w:p>
    <w:p w14:paraId="4EB0D9D3" w14:textId="508941CC" w:rsidR="00C82BCC" w:rsidRDefault="00C82BCC" w:rsidP="00C82BCC">
      <w:pPr>
        <w:spacing w:line="360" w:lineRule="auto"/>
        <w:jc w:val="center"/>
        <w:rPr>
          <w:rFonts w:cs="Times New Roman"/>
          <w:szCs w:val="24"/>
        </w:rPr>
      </w:pPr>
      <w:r>
        <w:rPr>
          <w:rFonts w:cs="Times New Roman"/>
          <w:noProof/>
          <w:szCs w:val="24"/>
          <w:lang w:eastAsia="es-EC"/>
        </w:rPr>
        <w:drawing>
          <wp:inline distT="0" distB="0" distL="0" distR="0" wp14:anchorId="0E127A7A" wp14:editId="37694556">
            <wp:extent cx="4086225" cy="2000250"/>
            <wp:effectExtent l="0" t="0" r="9525" b="0"/>
            <wp:docPr id="81" name="Gráfico 81">
              <a:extLst xmlns:a="http://schemas.openxmlformats.org/drawingml/2006/main">
                <a:ext uri="{FF2B5EF4-FFF2-40B4-BE49-F238E27FC236}">
                  <a16:creationId xmlns:a16="http://schemas.microsoft.com/office/drawing/2014/main" id="{1CCE35F0-A7C9-4768-95A2-4F2A8E27C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329DEC" w14:textId="06A80FD7" w:rsidR="008F5BFA" w:rsidRPr="00DE3747" w:rsidRDefault="00846087" w:rsidP="0016654D">
      <w:pPr>
        <w:pStyle w:val="Ttulo1"/>
        <w:numPr>
          <w:ilvl w:val="0"/>
          <w:numId w:val="30"/>
        </w:numPr>
        <w:spacing w:before="360" w:after="360"/>
        <w:ind w:left="1077" w:hanging="357"/>
        <w:rPr>
          <w:b w:val="0"/>
          <w:bCs w:val="0"/>
        </w:rPr>
      </w:pPr>
      <w:bookmarkStart w:id="1843" w:name="_Toc72704655"/>
      <w:bookmarkStart w:id="1844" w:name="_Toc72706361"/>
      <w:bookmarkStart w:id="1845" w:name="_Toc72741311"/>
      <w:bookmarkStart w:id="1846" w:name="_Toc72742907"/>
      <w:bookmarkStart w:id="1847" w:name="_Toc72881264"/>
      <w:bookmarkStart w:id="1848" w:name="_Toc72881635"/>
      <w:bookmarkStart w:id="1849" w:name="_Toc75606504"/>
      <w:bookmarkStart w:id="1850" w:name="_Toc75611983"/>
      <w:bookmarkStart w:id="1851" w:name="_Toc75612829"/>
      <w:bookmarkStart w:id="1852" w:name="_Toc75679985"/>
      <w:bookmarkStart w:id="1853" w:name="_Toc75702593"/>
      <w:bookmarkStart w:id="1854" w:name="_Toc79313237"/>
      <w:bookmarkStart w:id="1855" w:name="_Toc80008449"/>
      <w:bookmarkStart w:id="1856" w:name="_Toc80312342"/>
      <w:r>
        <w:rPr>
          <w:b w:val="0"/>
          <w:bCs w:val="0"/>
        </w:rPr>
        <w:t>Fósforo</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71A14D7D" w14:textId="16C7D34D" w:rsidR="00C82BCC" w:rsidRDefault="00C82BCC" w:rsidP="00C82BCC">
      <w:pPr>
        <w:spacing w:line="360" w:lineRule="auto"/>
        <w:jc w:val="center"/>
        <w:rPr>
          <w:rFonts w:cs="Times New Roman"/>
          <w:szCs w:val="24"/>
        </w:rPr>
      </w:pPr>
      <w:r>
        <w:rPr>
          <w:rFonts w:cs="Times New Roman"/>
          <w:noProof/>
          <w:szCs w:val="24"/>
          <w:lang w:eastAsia="es-EC"/>
        </w:rPr>
        <w:drawing>
          <wp:inline distT="0" distB="0" distL="0" distR="0" wp14:anchorId="75F142EE" wp14:editId="56B2435C">
            <wp:extent cx="4152900" cy="2314575"/>
            <wp:effectExtent l="0" t="0" r="0" b="9525"/>
            <wp:docPr id="82" name="Gráfico 82">
              <a:extLst xmlns:a="http://schemas.openxmlformats.org/drawingml/2006/main">
                <a:ext uri="{FF2B5EF4-FFF2-40B4-BE49-F238E27FC236}">
                  <a16:creationId xmlns:a16="http://schemas.microsoft.com/office/drawing/2014/main" id="{47E5E57C-D694-4B79-87A4-29A4C149E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01F4F0" w14:textId="673E9383" w:rsidR="00BF2629" w:rsidRPr="00BF2629" w:rsidRDefault="00BF2629" w:rsidP="0016654D">
      <w:pPr>
        <w:pStyle w:val="Ttulo1"/>
        <w:numPr>
          <w:ilvl w:val="0"/>
          <w:numId w:val="30"/>
        </w:numPr>
        <w:spacing w:before="360" w:after="360"/>
        <w:ind w:left="1077" w:hanging="357"/>
        <w:rPr>
          <w:b w:val="0"/>
          <w:bCs w:val="0"/>
        </w:rPr>
      </w:pPr>
      <w:bookmarkStart w:id="1857" w:name="_Toc72704656"/>
      <w:bookmarkStart w:id="1858" w:name="_Toc72706362"/>
      <w:bookmarkStart w:id="1859" w:name="_Toc72741312"/>
      <w:bookmarkStart w:id="1860" w:name="_Toc72742908"/>
      <w:bookmarkStart w:id="1861" w:name="_Toc72881265"/>
      <w:bookmarkStart w:id="1862" w:name="_Toc72881636"/>
      <w:bookmarkStart w:id="1863" w:name="_Toc75606505"/>
      <w:bookmarkStart w:id="1864" w:name="_Toc75611984"/>
      <w:bookmarkStart w:id="1865" w:name="_Toc75612830"/>
      <w:bookmarkStart w:id="1866" w:name="_Toc75679986"/>
      <w:bookmarkStart w:id="1867" w:name="_Toc75702594"/>
      <w:bookmarkStart w:id="1868" w:name="_Toc79313238"/>
      <w:bookmarkStart w:id="1869" w:name="_Toc80008450"/>
      <w:bookmarkStart w:id="1870" w:name="_Toc80312343"/>
      <w:r>
        <w:rPr>
          <w:b w:val="0"/>
          <w:bCs w:val="0"/>
        </w:rPr>
        <w:lastRenderedPageBreak/>
        <w:t>Potasio</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5426AC72" w14:textId="2CDC73CB" w:rsidR="00C82BCC" w:rsidRDefault="00C82BCC" w:rsidP="00C82BCC">
      <w:pPr>
        <w:spacing w:line="360" w:lineRule="auto"/>
        <w:jc w:val="center"/>
        <w:rPr>
          <w:rFonts w:cs="Times New Roman"/>
          <w:szCs w:val="24"/>
        </w:rPr>
      </w:pPr>
      <w:r>
        <w:rPr>
          <w:rFonts w:cs="Times New Roman"/>
          <w:noProof/>
          <w:szCs w:val="24"/>
          <w:lang w:eastAsia="es-EC"/>
        </w:rPr>
        <w:drawing>
          <wp:inline distT="0" distB="0" distL="0" distR="0" wp14:anchorId="43A18F89" wp14:editId="01F30065">
            <wp:extent cx="4072538" cy="2043953"/>
            <wp:effectExtent l="0" t="0" r="4445" b="13970"/>
            <wp:docPr id="83" name="Gráfico 83">
              <a:extLst xmlns:a="http://schemas.openxmlformats.org/drawingml/2006/main">
                <a:ext uri="{FF2B5EF4-FFF2-40B4-BE49-F238E27FC236}">
                  <a16:creationId xmlns:a16="http://schemas.microsoft.com/office/drawing/2014/main" id="{1D4FB04C-0DB4-47AE-9C44-E5AAF3BEE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D5DB0F" w14:textId="546BE4A5" w:rsidR="00C82BCC" w:rsidRDefault="00C82BCC" w:rsidP="0016654D">
      <w:pPr>
        <w:pStyle w:val="Ttulo3"/>
        <w:numPr>
          <w:ilvl w:val="2"/>
          <w:numId w:val="52"/>
        </w:numPr>
        <w:spacing w:before="360" w:after="360"/>
      </w:pPr>
      <w:bookmarkStart w:id="1871" w:name="_Toc80312344"/>
      <w:r>
        <w:t>A</w:t>
      </w:r>
      <w:r w:rsidR="00241B4C">
        <w:t>b</w:t>
      </w:r>
      <w:r>
        <w:t>sorción de potasio (Kg</w:t>
      </w:r>
      <w:r w:rsidRPr="0016654D">
        <w:rPr>
          <w:rFonts w:eastAsia="Times New Roman"/>
          <w:lang w:eastAsia="es-EC"/>
        </w:rPr>
        <w:t>/</w:t>
      </w:r>
      <w:r>
        <w:t>ha</w:t>
      </w:r>
      <w:r w:rsidRPr="0016654D">
        <w:rPr>
          <w:vertAlign w:val="superscript"/>
        </w:rPr>
        <w:t>-1</w:t>
      </w:r>
      <w:r w:rsidRPr="0016654D">
        <w:rPr>
          <w:rFonts w:eastAsia="Times New Roman"/>
          <w:lang w:eastAsia="es-EC"/>
        </w:rPr>
        <w:t>)</w:t>
      </w:r>
      <w:bookmarkEnd w:id="1871"/>
    </w:p>
    <w:p w14:paraId="5C37B3B2" w14:textId="77777777" w:rsidR="0016654D" w:rsidRDefault="00C82BCC" w:rsidP="0016654D">
      <w:pPr>
        <w:autoSpaceDE w:val="0"/>
        <w:autoSpaceDN w:val="0"/>
        <w:adjustRightInd w:val="0"/>
        <w:spacing w:after="0" w:line="360" w:lineRule="auto"/>
        <w:rPr>
          <w:rFonts w:cs="Times New Roman"/>
          <w:b/>
          <w:bCs/>
          <w:color w:val="0000FF"/>
        </w:rPr>
      </w:pPr>
      <w:r>
        <w:rPr>
          <w:rFonts w:cs="Times New Roman"/>
          <w:szCs w:val="24"/>
        </w:rPr>
        <w:t>Al utilizar el modelo estadístico para la absorción total de potasio, se detectaron diferencias estadísticas significativas (p &lt;0,05) para las fuentes de variación de parroquia, nitrógeno, fósforo y potasio; mientras que no fueron significativos para dosis de azufre y magnesio (</w:t>
      </w:r>
      <w:r w:rsidR="00DE3747">
        <w:rPr>
          <w:rFonts w:cs="Times New Roman"/>
          <w:szCs w:val="24"/>
        </w:rPr>
        <w:t>Cuadro</w:t>
      </w:r>
      <w:r>
        <w:rPr>
          <w:rFonts w:cs="Times New Roman"/>
          <w:szCs w:val="24"/>
        </w:rPr>
        <w:t xml:space="preserve"> 12</w:t>
      </w:r>
      <w:r w:rsidR="0039325D">
        <w:rPr>
          <w:rFonts w:cs="Times New Roman"/>
          <w:szCs w:val="24"/>
        </w:rPr>
        <w:t>0</w:t>
      </w:r>
      <w:r>
        <w:rPr>
          <w:rFonts w:cs="Times New Roman"/>
          <w:szCs w:val="24"/>
        </w:rPr>
        <w:t>). Por lo tanto, las dosis de los fertilizantes con nitrógeno, fósforo y potasio afectaron a esta variable. El promedio general de la absorción total de potasio fue 137,69 Kg</w:t>
      </w:r>
      <w:r w:rsidR="00C5768F">
        <w:rPr>
          <w:rFonts w:cs="Times New Roman"/>
          <w:szCs w:val="24"/>
        </w:rPr>
        <w:t xml:space="preserve"> </w:t>
      </w:r>
      <w:r>
        <w:rPr>
          <w:rFonts w:cs="Times New Roman"/>
          <w:szCs w:val="24"/>
        </w:rPr>
        <w:t>ha</w:t>
      </w:r>
      <w:r w:rsidR="00C5768F" w:rsidRPr="00846087">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0,94y un coeficiente de variación fue de 14,38 %</w:t>
      </w:r>
      <w:r w:rsidR="006757B1">
        <w:rPr>
          <w:rFonts w:cs="Times New Roman"/>
          <w:b/>
          <w:bCs/>
          <w:color w:val="0000FF"/>
        </w:rPr>
        <w:t>.</w:t>
      </w:r>
      <w:bookmarkStart w:id="1872" w:name="_Toc79314113"/>
    </w:p>
    <w:p w14:paraId="1A7B1E8B" w14:textId="15B14A6C" w:rsidR="006757B1" w:rsidRPr="0016654D" w:rsidRDefault="006757B1" w:rsidP="0016654D">
      <w:pPr>
        <w:autoSpaceDE w:val="0"/>
        <w:autoSpaceDN w:val="0"/>
        <w:adjustRightInd w:val="0"/>
        <w:spacing w:before="360" w:after="0" w:line="360" w:lineRule="auto"/>
        <w:rPr>
          <w:rFonts w:cs="Times New Roman"/>
          <w:b/>
          <w:bCs/>
          <w:color w:val="0000FF"/>
        </w:rPr>
      </w:pPr>
      <w:r w:rsidRPr="006757B1">
        <w:rPr>
          <w:rFonts w:cs="Times New Roman"/>
          <w:b/>
          <w:szCs w:val="24"/>
        </w:rPr>
        <w:t xml:space="preserve">Cuadro </w:t>
      </w:r>
      <w:r w:rsidRPr="006757B1">
        <w:rPr>
          <w:rFonts w:cs="Times New Roman"/>
          <w:b/>
          <w:i/>
          <w:iCs/>
          <w:szCs w:val="24"/>
        </w:rPr>
        <w:fldChar w:fldCharType="begin"/>
      </w:r>
      <w:r w:rsidRPr="006757B1">
        <w:rPr>
          <w:rFonts w:cs="Times New Roman"/>
          <w:b/>
          <w:szCs w:val="24"/>
        </w:rPr>
        <w:instrText xml:space="preserve"> SEQ Cuadro \* ARABIC </w:instrText>
      </w:r>
      <w:r w:rsidRPr="006757B1">
        <w:rPr>
          <w:rFonts w:cs="Times New Roman"/>
          <w:b/>
          <w:i/>
          <w:iCs/>
          <w:szCs w:val="24"/>
        </w:rPr>
        <w:fldChar w:fldCharType="separate"/>
      </w:r>
      <w:r w:rsidR="000D1F55">
        <w:rPr>
          <w:rFonts w:cs="Times New Roman"/>
          <w:b/>
          <w:noProof/>
          <w:szCs w:val="24"/>
        </w:rPr>
        <w:t>121</w:t>
      </w:r>
      <w:r w:rsidRPr="006757B1">
        <w:rPr>
          <w:rFonts w:cs="Times New Roman"/>
          <w:b/>
          <w:i/>
          <w:iCs/>
          <w:szCs w:val="24"/>
        </w:rPr>
        <w:fldChar w:fldCharType="end"/>
      </w:r>
      <w:r w:rsidRPr="006757B1">
        <w:rPr>
          <w:rFonts w:cs="Times New Roman"/>
          <w:b/>
          <w:szCs w:val="24"/>
        </w:rPr>
        <w:t>.</w:t>
      </w:r>
      <w:r w:rsidRPr="006757B1">
        <w:rPr>
          <w:rFonts w:cs="Times New Roman"/>
          <w:szCs w:val="24"/>
        </w:rPr>
        <w:t xml:space="preserve"> Análisis de la Varianza (SC tipo I) y porcentaje de varianza para absorción de potasio de maíz suave, evaluado en la provincia de Imbabura (2010-2015).</w:t>
      </w:r>
      <w:bookmarkEnd w:id="1872"/>
    </w:p>
    <w:tbl>
      <w:tblPr>
        <w:tblW w:w="5000" w:type="pct"/>
        <w:tblCellMar>
          <w:left w:w="0" w:type="dxa"/>
          <w:right w:w="0" w:type="dxa"/>
        </w:tblCellMar>
        <w:tblLook w:val="04A0" w:firstRow="1" w:lastRow="0" w:firstColumn="1" w:lastColumn="0" w:noHBand="0" w:noVBand="1"/>
      </w:tblPr>
      <w:tblGrid>
        <w:gridCol w:w="1468"/>
        <w:gridCol w:w="1241"/>
        <w:gridCol w:w="679"/>
        <w:gridCol w:w="1135"/>
        <w:gridCol w:w="901"/>
        <w:gridCol w:w="1222"/>
        <w:gridCol w:w="1281"/>
      </w:tblGrid>
      <w:tr w:rsidR="00C82BCC" w:rsidRPr="0016654D" w14:paraId="7CC1E9D7" w14:textId="77777777" w:rsidTr="00C82BCC">
        <w:trPr>
          <w:trHeight w:val="300"/>
        </w:trPr>
        <w:tc>
          <w:tcPr>
            <w:tcW w:w="9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9E758FB"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F.V.   </w:t>
            </w:r>
          </w:p>
        </w:tc>
        <w:tc>
          <w:tcPr>
            <w:tcW w:w="78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B4D8368"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SC    </w:t>
            </w:r>
          </w:p>
        </w:tc>
        <w:tc>
          <w:tcPr>
            <w:tcW w:w="42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7B6E7A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gl</w:t>
            </w:r>
          </w:p>
        </w:tc>
        <w:tc>
          <w:tcPr>
            <w:tcW w:w="7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EE2A8D9"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CM   </w:t>
            </w:r>
          </w:p>
        </w:tc>
        <w:tc>
          <w:tcPr>
            <w:tcW w:w="56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8744DDF"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F    </w:t>
            </w:r>
          </w:p>
        </w:tc>
        <w:tc>
          <w:tcPr>
            <w:tcW w:w="77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0DC30F7"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p-valor</w:t>
            </w:r>
          </w:p>
        </w:tc>
        <w:tc>
          <w:tcPr>
            <w:tcW w:w="80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A4F3C1C"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Varianza %</w:t>
            </w:r>
          </w:p>
        </w:tc>
      </w:tr>
      <w:tr w:rsidR="00C82BCC" w:rsidRPr="0016654D" w14:paraId="0031844B"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34DDFC"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Modelo   </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34D036"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424934,99</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245BEA"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21</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E717F7"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20235</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8F5798"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51,59</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20153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&lt;0,0001</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DBE01D"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95,84</w:t>
            </w:r>
          </w:p>
        </w:tc>
      </w:tr>
      <w:tr w:rsidR="00C82BCC" w:rsidRPr="0016654D" w14:paraId="42B3694D"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ACD6DD"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Parroquia</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BB96CF"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388566,51</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953FBB"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4</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BAD0E5"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97141,63</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ECCF30"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247,67</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D530CA"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&lt;0,0001</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BD92B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87,64</w:t>
            </w:r>
          </w:p>
        </w:tc>
      </w:tr>
      <w:tr w:rsidR="00C82BCC" w:rsidRPr="0016654D" w14:paraId="57AAE8C2"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DB867C"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Dosis N  </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C3493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11804,05</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DDB5A6"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6</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8E913F"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1967,34</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6705F6"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5,02</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5C93AC"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0,0005</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99F724"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2,66</w:t>
            </w:r>
          </w:p>
        </w:tc>
      </w:tr>
      <w:tr w:rsidR="00C82BCC" w:rsidRPr="0016654D" w14:paraId="6009A983"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2B03BA8"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Dosis P  </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ED8C6C"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6934,64</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30F6C2"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4</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773D0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1733,66</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6E0DFD"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4,42</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1B7CD3"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0,0041</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90834B"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1,56</w:t>
            </w:r>
          </w:p>
        </w:tc>
      </w:tr>
      <w:tr w:rsidR="00C82BCC" w:rsidRPr="0016654D" w14:paraId="4F3D2F4F"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B8FB8D"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Dosis K  </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973ED0"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16185,27</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51B5AA"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3</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B2F73A"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5395,09</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C335F4"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13,76</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F99453"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&lt;0,0001</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BC2751"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3,65</w:t>
            </w:r>
          </w:p>
        </w:tc>
      </w:tr>
      <w:tr w:rsidR="00C82BCC" w:rsidRPr="0016654D" w14:paraId="53A11B17"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94CBE37"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Dosis S  </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2A3FFD"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800,35</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E59810"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2</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077EC5"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400,17</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97270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1,02</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C2159B"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0,3683</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C3CD20"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0,18</w:t>
            </w:r>
          </w:p>
        </w:tc>
      </w:tr>
      <w:tr w:rsidR="00C82BCC" w:rsidRPr="0016654D" w14:paraId="36B690C5"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9932B8"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Dosis Mg </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3BB63B"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644,18</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CAB2CC"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2</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3A333F"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322,09</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CCCA88"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0,82</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82AAA8"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0,4461</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D9D468"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0,15</w:t>
            </w:r>
          </w:p>
        </w:tc>
      </w:tr>
      <w:tr w:rsidR="00C82BCC" w:rsidRPr="0016654D" w14:paraId="476B8A17"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DC9A21"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Error    </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119F2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18434,23</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149495"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47</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94EF1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392,22</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A64DAD"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FEE8B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33CDCF"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4,16</w:t>
            </w:r>
          </w:p>
        </w:tc>
      </w:tr>
      <w:tr w:rsidR="00C82BCC" w:rsidRPr="0016654D" w14:paraId="19C6E097" w14:textId="77777777" w:rsidTr="00C82BCC">
        <w:trPr>
          <w:trHeight w:val="300"/>
        </w:trPr>
        <w:tc>
          <w:tcPr>
            <w:tcW w:w="92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9D72FE"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Total    </w:t>
            </w:r>
          </w:p>
        </w:tc>
        <w:tc>
          <w:tcPr>
            <w:tcW w:w="78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513D8F"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443369,23</w:t>
            </w:r>
          </w:p>
        </w:tc>
        <w:tc>
          <w:tcPr>
            <w:tcW w:w="4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B37523"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68</w:t>
            </w:r>
          </w:p>
        </w:tc>
        <w:tc>
          <w:tcPr>
            <w:tcW w:w="71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A17F8D"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w:t>
            </w:r>
          </w:p>
        </w:tc>
        <w:tc>
          <w:tcPr>
            <w:tcW w:w="56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A73B23"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w:t>
            </w:r>
          </w:p>
        </w:tc>
        <w:tc>
          <w:tcPr>
            <w:tcW w:w="7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946B4F"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w:t>
            </w:r>
          </w:p>
        </w:tc>
        <w:tc>
          <w:tcPr>
            <w:tcW w:w="8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E57503" w14:textId="77777777" w:rsidR="00C82BCC" w:rsidRPr="0016654D" w:rsidRDefault="00C82BCC" w:rsidP="0016654D">
            <w:pPr>
              <w:pStyle w:val="Sinespaciado"/>
              <w:rPr>
                <w:rFonts w:ascii="Times New Roman" w:hAnsi="Times New Roman" w:cs="Times New Roman"/>
                <w:sz w:val="24"/>
                <w:szCs w:val="24"/>
              </w:rPr>
            </w:pPr>
            <w:r w:rsidRPr="0016654D">
              <w:rPr>
                <w:rFonts w:ascii="Times New Roman" w:hAnsi="Times New Roman" w:cs="Times New Roman"/>
                <w:sz w:val="24"/>
                <w:szCs w:val="24"/>
              </w:rPr>
              <w:t xml:space="preserve">  </w:t>
            </w:r>
          </w:p>
        </w:tc>
      </w:tr>
    </w:tbl>
    <w:p w14:paraId="7C7B05B4" w14:textId="77777777" w:rsidR="00CC712A" w:rsidRDefault="00CC712A" w:rsidP="00C82BCC">
      <w:pPr>
        <w:autoSpaceDE w:val="0"/>
        <w:autoSpaceDN w:val="0"/>
        <w:adjustRightInd w:val="0"/>
        <w:spacing w:after="0" w:line="360" w:lineRule="auto"/>
        <w:rPr>
          <w:rFonts w:cs="Times New Roman"/>
          <w:bCs/>
          <w:szCs w:val="24"/>
        </w:rPr>
      </w:pPr>
    </w:p>
    <w:p w14:paraId="6603F184" w14:textId="1BEA097F" w:rsidR="00C82BCC" w:rsidRDefault="00C82BCC" w:rsidP="00C82BCC">
      <w:pPr>
        <w:autoSpaceDE w:val="0"/>
        <w:autoSpaceDN w:val="0"/>
        <w:adjustRightInd w:val="0"/>
        <w:spacing w:after="0" w:line="360" w:lineRule="auto"/>
        <w:rPr>
          <w:rFonts w:cs="Times New Roman"/>
          <w:bCs/>
          <w:szCs w:val="24"/>
        </w:rPr>
      </w:pPr>
      <w:r>
        <w:rPr>
          <w:rFonts w:cs="Times New Roman"/>
          <w:bCs/>
          <w:szCs w:val="24"/>
        </w:rPr>
        <w:lastRenderedPageBreak/>
        <w:t>El modelo estadístico establecido explica el 95,84 % de la variación observada en los datos; el potasio considera una variación del 3,65 %</w:t>
      </w:r>
      <w:r w:rsidR="003D75C6">
        <w:rPr>
          <w:rFonts w:cs="Times New Roman"/>
          <w:bCs/>
          <w:szCs w:val="24"/>
        </w:rPr>
        <w:t xml:space="preserve"> y</w:t>
      </w:r>
      <w:r>
        <w:rPr>
          <w:rFonts w:cs="Times New Roman"/>
          <w:bCs/>
          <w:szCs w:val="24"/>
        </w:rPr>
        <w:t xml:space="preserve"> el nitrógeno explicó el 2,66 % de la variación observada. Un 4,16 % de la variación se les atribuyó a efectos aleatorios que el modelo no pudo explicar (error). La parroquia y el fósforo </w:t>
      </w:r>
      <w:r w:rsidR="00846087">
        <w:rPr>
          <w:rFonts w:cs="Times New Roman"/>
          <w:bCs/>
          <w:szCs w:val="24"/>
        </w:rPr>
        <w:t>explicaron</w:t>
      </w:r>
      <w:r>
        <w:rPr>
          <w:rFonts w:cs="Times New Roman"/>
          <w:bCs/>
          <w:szCs w:val="24"/>
        </w:rPr>
        <w:t xml:space="preserve"> el 87,64% y 1,56% de a</w:t>
      </w:r>
      <w:r w:rsidR="0089298E">
        <w:rPr>
          <w:rFonts w:cs="Times New Roman"/>
          <w:bCs/>
          <w:szCs w:val="24"/>
        </w:rPr>
        <w:t>b</w:t>
      </w:r>
      <w:r>
        <w:rPr>
          <w:rFonts w:cs="Times New Roman"/>
          <w:bCs/>
          <w:szCs w:val="24"/>
        </w:rPr>
        <w:t xml:space="preserve">sorción total de potasio, respectivamente. El azufre y magnesio explico menos del 5% de la </w:t>
      </w:r>
      <w:r>
        <w:rPr>
          <w:rFonts w:cs="Times New Roman"/>
          <w:szCs w:val="24"/>
        </w:rPr>
        <w:t>absorción total de fósforo</w:t>
      </w:r>
      <w:r>
        <w:rPr>
          <w:rFonts w:cs="Times New Roman"/>
          <w:bCs/>
          <w:szCs w:val="24"/>
        </w:rPr>
        <w:t xml:space="preserve"> (</w:t>
      </w:r>
      <w:r w:rsidR="00F37524">
        <w:rPr>
          <w:rFonts w:cs="Times New Roman"/>
          <w:bCs/>
          <w:szCs w:val="24"/>
        </w:rPr>
        <w:t>Cuadro</w:t>
      </w:r>
      <w:r>
        <w:rPr>
          <w:rFonts w:cs="Times New Roman"/>
          <w:bCs/>
          <w:szCs w:val="24"/>
        </w:rPr>
        <w:t>12</w:t>
      </w:r>
      <w:r w:rsidR="0039325D">
        <w:rPr>
          <w:rFonts w:cs="Times New Roman"/>
          <w:bCs/>
          <w:szCs w:val="24"/>
        </w:rPr>
        <w:t>0</w:t>
      </w:r>
      <w:r>
        <w:rPr>
          <w:rFonts w:cs="Times New Roman"/>
          <w:bCs/>
          <w:szCs w:val="24"/>
        </w:rPr>
        <w:t xml:space="preserve">).  </w:t>
      </w:r>
    </w:p>
    <w:p w14:paraId="32BB2792" w14:textId="6673B8C8" w:rsidR="0016654D" w:rsidRDefault="00C82BCC" w:rsidP="0016654D">
      <w:pPr>
        <w:autoSpaceDE w:val="0"/>
        <w:autoSpaceDN w:val="0"/>
        <w:adjustRightInd w:val="0"/>
        <w:spacing w:before="360" w:after="360" w:line="360" w:lineRule="auto"/>
        <w:rPr>
          <w:rFonts w:cs="Times New Roman"/>
          <w:bCs/>
          <w:szCs w:val="24"/>
        </w:rPr>
      </w:pPr>
      <w:r>
        <w:rPr>
          <w:rFonts w:cs="Times New Roman"/>
          <w:bCs/>
          <w:szCs w:val="24"/>
        </w:rPr>
        <w:t xml:space="preserve">En </w:t>
      </w:r>
      <w:r w:rsidR="00F37524">
        <w:rPr>
          <w:rFonts w:cs="Times New Roman"/>
          <w:bCs/>
          <w:szCs w:val="24"/>
        </w:rPr>
        <w:t xml:space="preserve">los cuadros </w:t>
      </w:r>
      <w:r w:rsidR="0039325D">
        <w:rPr>
          <w:rFonts w:cs="Times New Roman"/>
          <w:bCs/>
          <w:szCs w:val="24"/>
        </w:rPr>
        <w:t xml:space="preserve">121, </w:t>
      </w:r>
      <w:r>
        <w:rPr>
          <w:rFonts w:cs="Times New Roman"/>
          <w:bCs/>
          <w:szCs w:val="24"/>
        </w:rPr>
        <w:t>122, 123, 124, 125</w:t>
      </w:r>
      <w:r w:rsidR="0039325D">
        <w:rPr>
          <w:rFonts w:cs="Times New Roman"/>
          <w:bCs/>
          <w:szCs w:val="24"/>
        </w:rPr>
        <w:t xml:space="preserve"> y</w:t>
      </w:r>
      <w:r w:rsidR="008E1214">
        <w:rPr>
          <w:rFonts w:cs="Times New Roman"/>
          <w:bCs/>
          <w:szCs w:val="24"/>
        </w:rPr>
        <w:t xml:space="preserve"> </w:t>
      </w:r>
      <w:r>
        <w:rPr>
          <w:rFonts w:cs="Times New Roman"/>
          <w:bCs/>
          <w:szCs w:val="24"/>
        </w:rPr>
        <w:t>126 se presentan los promedios y el error estándar de a</w:t>
      </w:r>
      <w:r w:rsidR="0089298E">
        <w:rPr>
          <w:rFonts w:cs="Times New Roman"/>
          <w:bCs/>
          <w:szCs w:val="24"/>
        </w:rPr>
        <w:t>b</w:t>
      </w:r>
      <w:r>
        <w:rPr>
          <w:rFonts w:cs="Times New Roman"/>
          <w:bCs/>
          <w:szCs w:val="24"/>
        </w:rPr>
        <w:t>sorción de potasio por efecto de las localidades (parroquia) y los niveles de nitrógeno, fósforo, potasio, azufre, magnesio con su respectiva prueba de Lsd Fisher (alfa=0,05).</w:t>
      </w:r>
      <w:bookmarkStart w:id="1873" w:name="_Toc79314114"/>
    </w:p>
    <w:p w14:paraId="0E7BA76F" w14:textId="54F2D5AB" w:rsidR="004175F6" w:rsidRPr="0016654D" w:rsidRDefault="004175F6" w:rsidP="0016654D">
      <w:pPr>
        <w:autoSpaceDE w:val="0"/>
        <w:autoSpaceDN w:val="0"/>
        <w:adjustRightInd w:val="0"/>
        <w:spacing w:before="360" w:after="0" w:line="360" w:lineRule="auto"/>
        <w:rPr>
          <w:rFonts w:cs="Times New Roman"/>
          <w:bCs/>
          <w:szCs w:val="24"/>
        </w:rPr>
      </w:pPr>
      <w:r w:rsidRPr="004175F6">
        <w:rPr>
          <w:rFonts w:cs="Times New Roman"/>
          <w:b/>
          <w:bCs/>
          <w:szCs w:val="24"/>
        </w:rPr>
        <w:t xml:space="preserve">Cuadro </w:t>
      </w:r>
      <w:r w:rsidRPr="004175F6">
        <w:rPr>
          <w:rFonts w:cs="Times New Roman"/>
          <w:b/>
          <w:bCs/>
          <w:i/>
          <w:iCs/>
          <w:szCs w:val="24"/>
        </w:rPr>
        <w:fldChar w:fldCharType="begin"/>
      </w:r>
      <w:r w:rsidRPr="004175F6">
        <w:rPr>
          <w:rFonts w:cs="Times New Roman"/>
          <w:b/>
          <w:bCs/>
          <w:szCs w:val="24"/>
        </w:rPr>
        <w:instrText xml:space="preserve"> SEQ Cuadro \* ARABIC </w:instrText>
      </w:r>
      <w:r w:rsidRPr="004175F6">
        <w:rPr>
          <w:rFonts w:cs="Times New Roman"/>
          <w:b/>
          <w:bCs/>
          <w:i/>
          <w:iCs/>
          <w:szCs w:val="24"/>
        </w:rPr>
        <w:fldChar w:fldCharType="separate"/>
      </w:r>
      <w:r w:rsidR="000D1F55">
        <w:rPr>
          <w:rFonts w:cs="Times New Roman"/>
          <w:b/>
          <w:bCs/>
          <w:noProof/>
          <w:szCs w:val="24"/>
        </w:rPr>
        <w:t>122</w:t>
      </w:r>
      <w:r w:rsidRPr="004175F6">
        <w:rPr>
          <w:rFonts w:cs="Times New Roman"/>
          <w:b/>
          <w:bCs/>
          <w:i/>
          <w:iCs/>
          <w:szCs w:val="24"/>
        </w:rPr>
        <w:fldChar w:fldCharType="end"/>
      </w:r>
      <w:r w:rsidRPr="004175F6">
        <w:rPr>
          <w:rFonts w:cs="Times New Roman"/>
          <w:bCs/>
          <w:szCs w:val="24"/>
        </w:rPr>
        <w:t>. Absorción total de potasio de plantas de maíz suave, evaluado por localidades (parroquia) en la provincia de Imbabura 2010-2015.</w:t>
      </w:r>
      <w:bookmarkEnd w:id="1873"/>
    </w:p>
    <w:tbl>
      <w:tblPr>
        <w:tblW w:w="7927" w:type="dxa"/>
        <w:jc w:val="center"/>
        <w:tblCellMar>
          <w:left w:w="70" w:type="dxa"/>
          <w:right w:w="70" w:type="dxa"/>
        </w:tblCellMar>
        <w:tblLook w:val="04A0" w:firstRow="1" w:lastRow="0" w:firstColumn="1" w:lastColumn="0" w:noHBand="0" w:noVBand="1"/>
      </w:tblPr>
      <w:tblGrid>
        <w:gridCol w:w="1432"/>
        <w:gridCol w:w="973"/>
        <w:gridCol w:w="425"/>
        <w:gridCol w:w="1985"/>
        <w:gridCol w:w="503"/>
        <w:gridCol w:w="914"/>
        <w:gridCol w:w="913"/>
        <w:gridCol w:w="782"/>
      </w:tblGrid>
      <w:tr w:rsidR="00C82BCC" w14:paraId="2F07290C" w14:textId="77777777" w:rsidTr="000D1088">
        <w:trPr>
          <w:trHeight w:val="283"/>
          <w:jc w:val="center"/>
        </w:trPr>
        <w:tc>
          <w:tcPr>
            <w:tcW w:w="1432" w:type="dxa"/>
            <w:tcBorders>
              <w:top w:val="single" w:sz="4" w:space="0" w:color="auto"/>
              <w:left w:val="single" w:sz="4" w:space="0" w:color="auto"/>
              <w:bottom w:val="single" w:sz="4" w:space="0" w:color="auto"/>
              <w:right w:val="single" w:sz="4" w:space="0" w:color="auto"/>
            </w:tcBorders>
            <w:noWrap/>
            <w:vAlign w:val="bottom"/>
            <w:hideMark/>
          </w:tcPr>
          <w:p w14:paraId="71E55846"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Parroquia </w:t>
            </w:r>
          </w:p>
        </w:tc>
        <w:tc>
          <w:tcPr>
            <w:tcW w:w="973" w:type="dxa"/>
            <w:tcBorders>
              <w:top w:val="single" w:sz="4" w:space="0" w:color="auto"/>
              <w:left w:val="nil"/>
              <w:bottom w:val="single" w:sz="4" w:space="0" w:color="auto"/>
              <w:right w:val="single" w:sz="4" w:space="0" w:color="auto"/>
            </w:tcBorders>
            <w:noWrap/>
            <w:vAlign w:val="bottom"/>
            <w:hideMark/>
          </w:tcPr>
          <w:p w14:paraId="06786647"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425" w:type="dxa"/>
            <w:tcBorders>
              <w:top w:val="single" w:sz="4" w:space="0" w:color="auto"/>
              <w:left w:val="nil"/>
              <w:bottom w:val="single" w:sz="4" w:space="0" w:color="auto"/>
              <w:right w:val="single" w:sz="4" w:space="0" w:color="auto"/>
            </w:tcBorders>
            <w:noWrap/>
            <w:vAlign w:val="bottom"/>
            <w:hideMark/>
          </w:tcPr>
          <w:p w14:paraId="53F8542F"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85" w:type="dxa"/>
            <w:tcBorders>
              <w:top w:val="single" w:sz="4" w:space="0" w:color="auto"/>
              <w:left w:val="nil"/>
              <w:bottom w:val="single" w:sz="4" w:space="0" w:color="auto"/>
              <w:right w:val="single" w:sz="4" w:space="0" w:color="auto"/>
            </w:tcBorders>
            <w:noWrap/>
            <w:vAlign w:val="bottom"/>
            <w:hideMark/>
          </w:tcPr>
          <w:p w14:paraId="78C27739"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503" w:type="dxa"/>
            <w:tcBorders>
              <w:top w:val="single" w:sz="4" w:space="0" w:color="auto"/>
              <w:left w:val="single" w:sz="4" w:space="0" w:color="auto"/>
              <w:bottom w:val="single" w:sz="4" w:space="0" w:color="auto"/>
              <w:right w:val="nil"/>
            </w:tcBorders>
            <w:noWrap/>
            <w:vAlign w:val="bottom"/>
            <w:hideMark/>
          </w:tcPr>
          <w:p w14:paraId="5764B1FA"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914" w:type="dxa"/>
            <w:tcBorders>
              <w:top w:val="single" w:sz="4" w:space="0" w:color="auto"/>
              <w:left w:val="nil"/>
              <w:bottom w:val="single" w:sz="4" w:space="0" w:color="auto"/>
              <w:right w:val="nil"/>
            </w:tcBorders>
            <w:noWrap/>
            <w:vAlign w:val="bottom"/>
            <w:hideMark/>
          </w:tcPr>
          <w:p w14:paraId="4D0CAFCB" w14:textId="77777777" w:rsidR="00C82BCC" w:rsidRDefault="00C82BCC" w:rsidP="0016654D">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913" w:type="dxa"/>
            <w:tcBorders>
              <w:top w:val="single" w:sz="4" w:space="0" w:color="auto"/>
              <w:left w:val="nil"/>
              <w:bottom w:val="single" w:sz="4" w:space="0" w:color="auto"/>
              <w:right w:val="nil"/>
            </w:tcBorders>
            <w:noWrap/>
            <w:vAlign w:val="bottom"/>
            <w:hideMark/>
          </w:tcPr>
          <w:p w14:paraId="7AC0CEC4" w14:textId="77777777" w:rsidR="00C82BCC" w:rsidRDefault="00C82BCC" w:rsidP="0016654D">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c>
          <w:tcPr>
            <w:tcW w:w="782" w:type="dxa"/>
            <w:tcBorders>
              <w:top w:val="single" w:sz="4" w:space="0" w:color="auto"/>
              <w:left w:val="nil"/>
              <w:bottom w:val="single" w:sz="4" w:space="0" w:color="auto"/>
              <w:right w:val="single" w:sz="4" w:space="0" w:color="auto"/>
            </w:tcBorders>
            <w:noWrap/>
            <w:vAlign w:val="bottom"/>
            <w:hideMark/>
          </w:tcPr>
          <w:p w14:paraId="51C9351B"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0142F35A" w14:textId="77777777" w:rsidTr="000D1088">
        <w:trPr>
          <w:trHeight w:val="283"/>
          <w:jc w:val="center"/>
        </w:trPr>
        <w:tc>
          <w:tcPr>
            <w:tcW w:w="1432" w:type="dxa"/>
            <w:tcBorders>
              <w:top w:val="nil"/>
              <w:left w:val="single" w:sz="4" w:space="0" w:color="auto"/>
              <w:bottom w:val="single" w:sz="4" w:space="0" w:color="auto"/>
              <w:right w:val="single" w:sz="4" w:space="0" w:color="auto"/>
            </w:tcBorders>
            <w:noWrap/>
            <w:vAlign w:val="bottom"/>
            <w:hideMark/>
          </w:tcPr>
          <w:p w14:paraId="40BE7BD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Imantag    </w:t>
            </w:r>
          </w:p>
        </w:tc>
        <w:tc>
          <w:tcPr>
            <w:tcW w:w="973" w:type="dxa"/>
            <w:tcBorders>
              <w:top w:val="nil"/>
              <w:left w:val="nil"/>
              <w:bottom w:val="single" w:sz="4" w:space="0" w:color="auto"/>
              <w:right w:val="single" w:sz="4" w:space="0" w:color="auto"/>
            </w:tcBorders>
            <w:noWrap/>
            <w:vAlign w:val="bottom"/>
            <w:hideMark/>
          </w:tcPr>
          <w:p w14:paraId="66A1AFB5"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69,77</w:t>
            </w:r>
          </w:p>
        </w:tc>
        <w:tc>
          <w:tcPr>
            <w:tcW w:w="425" w:type="dxa"/>
            <w:tcBorders>
              <w:top w:val="nil"/>
              <w:left w:val="nil"/>
              <w:bottom w:val="single" w:sz="4" w:space="0" w:color="auto"/>
              <w:right w:val="single" w:sz="4" w:space="0" w:color="auto"/>
            </w:tcBorders>
            <w:noWrap/>
            <w:vAlign w:val="bottom"/>
            <w:hideMark/>
          </w:tcPr>
          <w:p w14:paraId="63DEB35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985" w:type="dxa"/>
            <w:tcBorders>
              <w:top w:val="nil"/>
              <w:left w:val="nil"/>
              <w:bottom w:val="single" w:sz="4" w:space="0" w:color="auto"/>
              <w:right w:val="single" w:sz="4" w:space="0" w:color="auto"/>
            </w:tcBorders>
            <w:noWrap/>
            <w:vAlign w:val="bottom"/>
            <w:hideMark/>
          </w:tcPr>
          <w:p w14:paraId="7192920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4,98</w:t>
            </w:r>
          </w:p>
        </w:tc>
        <w:tc>
          <w:tcPr>
            <w:tcW w:w="503" w:type="dxa"/>
            <w:tcBorders>
              <w:top w:val="single" w:sz="4" w:space="0" w:color="auto"/>
              <w:left w:val="nil"/>
              <w:bottom w:val="single" w:sz="4" w:space="0" w:color="auto"/>
              <w:right w:val="single" w:sz="4" w:space="0" w:color="auto"/>
            </w:tcBorders>
            <w:noWrap/>
            <w:vAlign w:val="bottom"/>
            <w:hideMark/>
          </w:tcPr>
          <w:p w14:paraId="1EF901B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914" w:type="dxa"/>
            <w:tcBorders>
              <w:top w:val="single" w:sz="4" w:space="0" w:color="auto"/>
              <w:left w:val="nil"/>
              <w:bottom w:val="single" w:sz="4" w:space="0" w:color="auto"/>
              <w:right w:val="single" w:sz="4" w:space="0" w:color="auto"/>
            </w:tcBorders>
            <w:noWrap/>
            <w:vAlign w:val="bottom"/>
            <w:hideMark/>
          </w:tcPr>
          <w:p w14:paraId="51C2B38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13" w:type="dxa"/>
            <w:tcBorders>
              <w:top w:val="single" w:sz="4" w:space="0" w:color="auto"/>
              <w:left w:val="nil"/>
              <w:bottom w:val="single" w:sz="4" w:space="0" w:color="auto"/>
              <w:right w:val="single" w:sz="4" w:space="0" w:color="auto"/>
            </w:tcBorders>
            <w:noWrap/>
            <w:vAlign w:val="bottom"/>
            <w:hideMark/>
          </w:tcPr>
          <w:p w14:paraId="356EF04E"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2" w:type="dxa"/>
            <w:tcBorders>
              <w:top w:val="single" w:sz="4" w:space="0" w:color="auto"/>
              <w:left w:val="nil"/>
              <w:bottom w:val="single" w:sz="4" w:space="0" w:color="auto"/>
              <w:right w:val="single" w:sz="4" w:space="0" w:color="auto"/>
            </w:tcBorders>
            <w:noWrap/>
            <w:vAlign w:val="bottom"/>
            <w:hideMark/>
          </w:tcPr>
          <w:p w14:paraId="7C05B02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FC4CF11" w14:textId="77777777" w:rsidTr="000D1088">
        <w:trPr>
          <w:trHeight w:val="283"/>
          <w:jc w:val="center"/>
        </w:trPr>
        <w:tc>
          <w:tcPr>
            <w:tcW w:w="1432" w:type="dxa"/>
            <w:tcBorders>
              <w:top w:val="nil"/>
              <w:left w:val="single" w:sz="4" w:space="0" w:color="auto"/>
              <w:bottom w:val="single" w:sz="4" w:space="0" w:color="auto"/>
              <w:right w:val="single" w:sz="4" w:space="0" w:color="auto"/>
            </w:tcBorders>
            <w:noWrap/>
            <w:vAlign w:val="bottom"/>
            <w:hideMark/>
          </w:tcPr>
          <w:p w14:paraId="007E85D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Miguel Egas</w:t>
            </w:r>
          </w:p>
        </w:tc>
        <w:tc>
          <w:tcPr>
            <w:tcW w:w="973" w:type="dxa"/>
            <w:tcBorders>
              <w:top w:val="nil"/>
              <w:left w:val="nil"/>
              <w:bottom w:val="single" w:sz="4" w:space="0" w:color="auto"/>
              <w:right w:val="single" w:sz="4" w:space="0" w:color="auto"/>
            </w:tcBorders>
            <w:noWrap/>
            <w:vAlign w:val="bottom"/>
            <w:hideMark/>
          </w:tcPr>
          <w:p w14:paraId="10E20B5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87,15</w:t>
            </w:r>
          </w:p>
        </w:tc>
        <w:tc>
          <w:tcPr>
            <w:tcW w:w="425" w:type="dxa"/>
            <w:tcBorders>
              <w:top w:val="nil"/>
              <w:left w:val="nil"/>
              <w:bottom w:val="single" w:sz="4" w:space="0" w:color="auto"/>
              <w:right w:val="single" w:sz="4" w:space="0" w:color="auto"/>
            </w:tcBorders>
            <w:noWrap/>
            <w:vAlign w:val="bottom"/>
            <w:hideMark/>
          </w:tcPr>
          <w:p w14:paraId="4AD8B87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1985" w:type="dxa"/>
            <w:tcBorders>
              <w:top w:val="nil"/>
              <w:left w:val="nil"/>
              <w:bottom w:val="single" w:sz="4" w:space="0" w:color="auto"/>
              <w:right w:val="single" w:sz="4" w:space="0" w:color="auto"/>
            </w:tcBorders>
            <w:noWrap/>
            <w:vAlign w:val="bottom"/>
            <w:hideMark/>
          </w:tcPr>
          <w:p w14:paraId="772A7C58"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4,72</w:t>
            </w:r>
          </w:p>
        </w:tc>
        <w:tc>
          <w:tcPr>
            <w:tcW w:w="503" w:type="dxa"/>
            <w:tcBorders>
              <w:top w:val="nil"/>
              <w:left w:val="nil"/>
              <w:bottom w:val="single" w:sz="4" w:space="0" w:color="auto"/>
              <w:right w:val="single" w:sz="4" w:space="0" w:color="auto"/>
            </w:tcBorders>
            <w:noWrap/>
            <w:vAlign w:val="bottom"/>
            <w:hideMark/>
          </w:tcPr>
          <w:p w14:paraId="33F137E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14" w:type="dxa"/>
            <w:tcBorders>
              <w:top w:val="nil"/>
              <w:left w:val="nil"/>
              <w:bottom w:val="single" w:sz="4" w:space="0" w:color="auto"/>
              <w:right w:val="single" w:sz="4" w:space="0" w:color="auto"/>
            </w:tcBorders>
            <w:noWrap/>
            <w:vAlign w:val="bottom"/>
            <w:hideMark/>
          </w:tcPr>
          <w:p w14:paraId="47FA5D2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913" w:type="dxa"/>
            <w:tcBorders>
              <w:top w:val="nil"/>
              <w:left w:val="nil"/>
              <w:bottom w:val="single" w:sz="4" w:space="0" w:color="auto"/>
              <w:right w:val="single" w:sz="4" w:space="0" w:color="auto"/>
            </w:tcBorders>
            <w:noWrap/>
            <w:vAlign w:val="bottom"/>
            <w:hideMark/>
          </w:tcPr>
          <w:p w14:paraId="6AD5736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2" w:type="dxa"/>
            <w:tcBorders>
              <w:top w:val="nil"/>
              <w:left w:val="nil"/>
              <w:bottom w:val="single" w:sz="4" w:space="0" w:color="auto"/>
              <w:right w:val="single" w:sz="4" w:space="0" w:color="auto"/>
            </w:tcBorders>
            <w:noWrap/>
            <w:vAlign w:val="bottom"/>
            <w:hideMark/>
          </w:tcPr>
          <w:p w14:paraId="19B8C0B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4A3033A" w14:textId="77777777" w:rsidTr="000D1088">
        <w:trPr>
          <w:trHeight w:val="283"/>
          <w:jc w:val="center"/>
        </w:trPr>
        <w:tc>
          <w:tcPr>
            <w:tcW w:w="1432" w:type="dxa"/>
            <w:tcBorders>
              <w:top w:val="nil"/>
              <w:left w:val="single" w:sz="4" w:space="0" w:color="auto"/>
              <w:bottom w:val="single" w:sz="4" w:space="0" w:color="auto"/>
              <w:right w:val="single" w:sz="4" w:space="0" w:color="auto"/>
            </w:tcBorders>
            <w:noWrap/>
            <w:vAlign w:val="bottom"/>
            <w:hideMark/>
          </w:tcPr>
          <w:p w14:paraId="1C48A2AF"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Paztavi    </w:t>
            </w:r>
          </w:p>
        </w:tc>
        <w:tc>
          <w:tcPr>
            <w:tcW w:w="973" w:type="dxa"/>
            <w:tcBorders>
              <w:top w:val="nil"/>
              <w:left w:val="nil"/>
              <w:bottom w:val="single" w:sz="4" w:space="0" w:color="auto"/>
              <w:right w:val="single" w:sz="4" w:space="0" w:color="auto"/>
            </w:tcBorders>
            <w:noWrap/>
            <w:vAlign w:val="bottom"/>
            <w:hideMark/>
          </w:tcPr>
          <w:p w14:paraId="2995CF7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146,15</w:t>
            </w:r>
          </w:p>
        </w:tc>
        <w:tc>
          <w:tcPr>
            <w:tcW w:w="425" w:type="dxa"/>
            <w:tcBorders>
              <w:top w:val="nil"/>
              <w:left w:val="nil"/>
              <w:bottom w:val="single" w:sz="4" w:space="0" w:color="auto"/>
              <w:right w:val="single" w:sz="4" w:space="0" w:color="auto"/>
            </w:tcBorders>
            <w:noWrap/>
            <w:vAlign w:val="bottom"/>
            <w:hideMark/>
          </w:tcPr>
          <w:p w14:paraId="734400E8"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985" w:type="dxa"/>
            <w:tcBorders>
              <w:top w:val="nil"/>
              <w:left w:val="nil"/>
              <w:bottom w:val="single" w:sz="4" w:space="0" w:color="auto"/>
              <w:right w:val="single" w:sz="4" w:space="0" w:color="auto"/>
            </w:tcBorders>
            <w:noWrap/>
            <w:vAlign w:val="bottom"/>
            <w:hideMark/>
          </w:tcPr>
          <w:p w14:paraId="12E3C2D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8,36</w:t>
            </w:r>
          </w:p>
        </w:tc>
        <w:tc>
          <w:tcPr>
            <w:tcW w:w="503" w:type="dxa"/>
            <w:tcBorders>
              <w:top w:val="nil"/>
              <w:left w:val="nil"/>
              <w:bottom w:val="single" w:sz="4" w:space="0" w:color="auto"/>
              <w:right w:val="single" w:sz="4" w:space="0" w:color="auto"/>
            </w:tcBorders>
            <w:noWrap/>
            <w:vAlign w:val="bottom"/>
            <w:hideMark/>
          </w:tcPr>
          <w:p w14:paraId="46B65DA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14" w:type="dxa"/>
            <w:tcBorders>
              <w:top w:val="nil"/>
              <w:left w:val="nil"/>
              <w:bottom w:val="single" w:sz="4" w:space="0" w:color="auto"/>
              <w:right w:val="single" w:sz="4" w:space="0" w:color="auto"/>
            </w:tcBorders>
            <w:noWrap/>
            <w:vAlign w:val="bottom"/>
            <w:hideMark/>
          </w:tcPr>
          <w:p w14:paraId="5D33248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13" w:type="dxa"/>
            <w:tcBorders>
              <w:top w:val="nil"/>
              <w:left w:val="nil"/>
              <w:bottom w:val="single" w:sz="4" w:space="0" w:color="auto"/>
              <w:right w:val="single" w:sz="4" w:space="0" w:color="auto"/>
            </w:tcBorders>
            <w:noWrap/>
            <w:vAlign w:val="bottom"/>
            <w:hideMark/>
          </w:tcPr>
          <w:p w14:paraId="0E0C7775"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782" w:type="dxa"/>
            <w:tcBorders>
              <w:top w:val="nil"/>
              <w:left w:val="nil"/>
              <w:bottom w:val="single" w:sz="4" w:space="0" w:color="auto"/>
              <w:right w:val="single" w:sz="4" w:space="0" w:color="auto"/>
            </w:tcBorders>
            <w:noWrap/>
            <w:vAlign w:val="bottom"/>
            <w:hideMark/>
          </w:tcPr>
          <w:p w14:paraId="0F4F6A05"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B0460FA" w14:textId="77777777" w:rsidTr="000D1088">
        <w:trPr>
          <w:trHeight w:val="283"/>
          <w:jc w:val="center"/>
        </w:trPr>
        <w:tc>
          <w:tcPr>
            <w:tcW w:w="1432" w:type="dxa"/>
            <w:tcBorders>
              <w:top w:val="nil"/>
              <w:left w:val="single" w:sz="4" w:space="0" w:color="auto"/>
              <w:bottom w:val="single" w:sz="4" w:space="0" w:color="auto"/>
              <w:right w:val="single" w:sz="4" w:space="0" w:color="auto"/>
            </w:tcBorders>
            <w:noWrap/>
            <w:vAlign w:val="bottom"/>
            <w:hideMark/>
          </w:tcPr>
          <w:p w14:paraId="2CBFB7D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Ilumán     </w:t>
            </w:r>
          </w:p>
        </w:tc>
        <w:tc>
          <w:tcPr>
            <w:tcW w:w="973" w:type="dxa"/>
            <w:tcBorders>
              <w:top w:val="nil"/>
              <w:left w:val="nil"/>
              <w:bottom w:val="single" w:sz="4" w:space="0" w:color="auto"/>
              <w:right w:val="single" w:sz="4" w:space="0" w:color="auto"/>
            </w:tcBorders>
            <w:noWrap/>
            <w:vAlign w:val="bottom"/>
            <w:hideMark/>
          </w:tcPr>
          <w:p w14:paraId="51FD736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158,06</w:t>
            </w:r>
          </w:p>
        </w:tc>
        <w:tc>
          <w:tcPr>
            <w:tcW w:w="425" w:type="dxa"/>
            <w:tcBorders>
              <w:top w:val="nil"/>
              <w:left w:val="nil"/>
              <w:bottom w:val="single" w:sz="4" w:space="0" w:color="auto"/>
              <w:right w:val="single" w:sz="4" w:space="0" w:color="auto"/>
            </w:tcBorders>
            <w:noWrap/>
            <w:vAlign w:val="bottom"/>
            <w:hideMark/>
          </w:tcPr>
          <w:p w14:paraId="0341E3C9"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985" w:type="dxa"/>
            <w:tcBorders>
              <w:top w:val="nil"/>
              <w:left w:val="nil"/>
              <w:bottom w:val="single" w:sz="4" w:space="0" w:color="auto"/>
              <w:right w:val="single" w:sz="4" w:space="0" w:color="auto"/>
            </w:tcBorders>
            <w:noWrap/>
            <w:vAlign w:val="bottom"/>
            <w:hideMark/>
          </w:tcPr>
          <w:p w14:paraId="11CC389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5,51</w:t>
            </w:r>
          </w:p>
        </w:tc>
        <w:tc>
          <w:tcPr>
            <w:tcW w:w="503" w:type="dxa"/>
            <w:tcBorders>
              <w:top w:val="nil"/>
              <w:left w:val="nil"/>
              <w:bottom w:val="single" w:sz="4" w:space="0" w:color="auto"/>
              <w:right w:val="single" w:sz="4" w:space="0" w:color="auto"/>
            </w:tcBorders>
            <w:noWrap/>
            <w:vAlign w:val="bottom"/>
            <w:hideMark/>
          </w:tcPr>
          <w:p w14:paraId="62A2BC09"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14" w:type="dxa"/>
            <w:tcBorders>
              <w:top w:val="nil"/>
              <w:left w:val="nil"/>
              <w:bottom w:val="single" w:sz="4" w:space="0" w:color="auto"/>
              <w:right w:val="single" w:sz="4" w:space="0" w:color="auto"/>
            </w:tcBorders>
            <w:noWrap/>
            <w:vAlign w:val="bottom"/>
            <w:hideMark/>
          </w:tcPr>
          <w:p w14:paraId="1814A04E"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13" w:type="dxa"/>
            <w:tcBorders>
              <w:top w:val="nil"/>
              <w:left w:val="nil"/>
              <w:bottom w:val="single" w:sz="4" w:space="0" w:color="auto"/>
              <w:right w:val="single" w:sz="4" w:space="0" w:color="auto"/>
            </w:tcBorders>
            <w:noWrap/>
            <w:vAlign w:val="bottom"/>
            <w:hideMark/>
          </w:tcPr>
          <w:p w14:paraId="6A568D8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782" w:type="dxa"/>
            <w:tcBorders>
              <w:top w:val="nil"/>
              <w:left w:val="nil"/>
              <w:bottom w:val="single" w:sz="4" w:space="0" w:color="auto"/>
              <w:right w:val="single" w:sz="4" w:space="0" w:color="auto"/>
            </w:tcBorders>
            <w:noWrap/>
            <w:vAlign w:val="bottom"/>
            <w:hideMark/>
          </w:tcPr>
          <w:p w14:paraId="1581436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0AB1BA9" w14:textId="77777777" w:rsidTr="000D1088">
        <w:trPr>
          <w:trHeight w:val="283"/>
          <w:jc w:val="center"/>
        </w:trPr>
        <w:tc>
          <w:tcPr>
            <w:tcW w:w="1432" w:type="dxa"/>
            <w:tcBorders>
              <w:top w:val="nil"/>
              <w:left w:val="single" w:sz="4" w:space="0" w:color="auto"/>
              <w:bottom w:val="single" w:sz="4" w:space="0" w:color="auto"/>
              <w:right w:val="single" w:sz="4" w:space="0" w:color="auto"/>
            </w:tcBorders>
            <w:noWrap/>
            <w:vAlign w:val="bottom"/>
            <w:hideMark/>
          </w:tcPr>
          <w:p w14:paraId="1209090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El Sagrario</w:t>
            </w:r>
          </w:p>
        </w:tc>
        <w:tc>
          <w:tcPr>
            <w:tcW w:w="973" w:type="dxa"/>
            <w:tcBorders>
              <w:top w:val="nil"/>
              <w:left w:val="nil"/>
              <w:bottom w:val="single" w:sz="4" w:space="0" w:color="auto"/>
              <w:right w:val="single" w:sz="4" w:space="0" w:color="auto"/>
            </w:tcBorders>
            <w:noWrap/>
            <w:vAlign w:val="bottom"/>
            <w:hideMark/>
          </w:tcPr>
          <w:p w14:paraId="7FABF97A"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299,14</w:t>
            </w:r>
          </w:p>
        </w:tc>
        <w:tc>
          <w:tcPr>
            <w:tcW w:w="425" w:type="dxa"/>
            <w:tcBorders>
              <w:top w:val="nil"/>
              <w:left w:val="nil"/>
              <w:bottom w:val="single" w:sz="4" w:space="0" w:color="auto"/>
              <w:right w:val="single" w:sz="4" w:space="0" w:color="auto"/>
            </w:tcBorders>
            <w:noWrap/>
            <w:vAlign w:val="bottom"/>
            <w:hideMark/>
          </w:tcPr>
          <w:p w14:paraId="038EB669"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1985" w:type="dxa"/>
            <w:tcBorders>
              <w:top w:val="nil"/>
              <w:left w:val="nil"/>
              <w:bottom w:val="single" w:sz="4" w:space="0" w:color="auto"/>
              <w:right w:val="single" w:sz="4" w:space="0" w:color="auto"/>
            </w:tcBorders>
            <w:noWrap/>
            <w:vAlign w:val="bottom"/>
            <w:hideMark/>
          </w:tcPr>
          <w:p w14:paraId="14F87BA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6,47</w:t>
            </w:r>
          </w:p>
        </w:tc>
        <w:tc>
          <w:tcPr>
            <w:tcW w:w="503" w:type="dxa"/>
            <w:tcBorders>
              <w:top w:val="nil"/>
              <w:left w:val="nil"/>
              <w:bottom w:val="single" w:sz="4" w:space="0" w:color="auto"/>
              <w:right w:val="single" w:sz="4" w:space="0" w:color="auto"/>
            </w:tcBorders>
            <w:noWrap/>
            <w:vAlign w:val="bottom"/>
            <w:hideMark/>
          </w:tcPr>
          <w:p w14:paraId="1BABFD79"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14" w:type="dxa"/>
            <w:tcBorders>
              <w:top w:val="nil"/>
              <w:left w:val="nil"/>
              <w:bottom w:val="single" w:sz="4" w:space="0" w:color="auto"/>
              <w:right w:val="single" w:sz="4" w:space="0" w:color="auto"/>
            </w:tcBorders>
            <w:noWrap/>
            <w:vAlign w:val="bottom"/>
            <w:hideMark/>
          </w:tcPr>
          <w:p w14:paraId="3027DBF5"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13" w:type="dxa"/>
            <w:tcBorders>
              <w:top w:val="nil"/>
              <w:left w:val="nil"/>
              <w:bottom w:val="single" w:sz="4" w:space="0" w:color="auto"/>
              <w:right w:val="single" w:sz="4" w:space="0" w:color="auto"/>
            </w:tcBorders>
            <w:noWrap/>
            <w:vAlign w:val="bottom"/>
            <w:hideMark/>
          </w:tcPr>
          <w:p w14:paraId="042E070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2" w:type="dxa"/>
            <w:tcBorders>
              <w:top w:val="nil"/>
              <w:left w:val="nil"/>
              <w:bottom w:val="single" w:sz="4" w:space="0" w:color="auto"/>
              <w:right w:val="single" w:sz="4" w:space="0" w:color="auto"/>
            </w:tcBorders>
            <w:noWrap/>
            <w:vAlign w:val="bottom"/>
            <w:hideMark/>
          </w:tcPr>
          <w:p w14:paraId="74D0FDF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bl>
    <w:p w14:paraId="589661B9" w14:textId="417A184C" w:rsidR="00C82BCC" w:rsidRDefault="00C82BCC" w:rsidP="004175F6">
      <w:pPr>
        <w:autoSpaceDE w:val="0"/>
        <w:autoSpaceDN w:val="0"/>
        <w:adjustRightInd w:val="0"/>
        <w:spacing w:after="0" w:line="360" w:lineRule="auto"/>
        <w:rPr>
          <w:rFonts w:cs="Times New Roman"/>
          <w:szCs w:val="24"/>
        </w:rPr>
      </w:pPr>
      <w:r>
        <w:rPr>
          <w:rFonts w:cs="Times New Roman"/>
          <w:szCs w:val="24"/>
        </w:rPr>
        <w:t>Medias con una letra común no son significa</w:t>
      </w:r>
      <w:r w:rsidR="004175F6">
        <w:rPr>
          <w:rFonts w:cs="Times New Roman"/>
          <w:szCs w:val="24"/>
        </w:rPr>
        <w:t>tivamente diferentes (p &gt; 0,05)</w:t>
      </w:r>
    </w:p>
    <w:p w14:paraId="6542E3F9" w14:textId="504AC8E6" w:rsidR="004175F6" w:rsidRPr="004175F6" w:rsidRDefault="004175F6" w:rsidP="0016654D">
      <w:pPr>
        <w:autoSpaceDE w:val="0"/>
        <w:autoSpaceDN w:val="0"/>
        <w:adjustRightInd w:val="0"/>
        <w:spacing w:before="360" w:after="0" w:line="360" w:lineRule="auto"/>
        <w:rPr>
          <w:rFonts w:cs="Times New Roman"/>
          <w:szCs w:val="24"/>
        </w:rPr>
      </w:pPr>
      <w:bookmarkStart w:id="1874" w:name="_Toc79314115"/>
      <w:r w:rsidRPr="004175F6">
        <w:rPr>
          <w:rFonts w:cs="Times New Roman"/>
          <w:b/>
          <w:szCs w:val="24"/>
        </w:rPr>
        <w:t xml:space="preserve">Cuadro </w:t>
      </w:r>
      <w:r w:rsidRPr="004175F6">
        <w:rPr>
          <w:rFonts w:cs="Times New Roman"/>
          <w:b/>
          <w:szCs w:val="24"/>
        </w:rPr>
        <w:fldChar w:fldCharType="begin"/>
      </w:r>
      <w:r w:rsidRPr="004175F6">
        <w:rPr>
          <w:rFonts w:cs="Times New Roman"/>
          <w:b/>
          <w:szCs w:val="24"/>
        </w:rPr>
        <w:instrText xml:space="preserve"> SEQ Cuadro \* ARABIC </w:instrText>
      </w:r>
      <w:r w:rsidRPr="004175F6">
        <w:rPr>
          <w:rFonts w:cs="Times New Roman"/>
          <w:b/>
          <w:szCs w:val="24"/>
        </w:rPr>
        <w:fldChar w:fldCharType="separate"/>
      </w:r>
      <w:r w:rsidR="000D1F55">
        <w:rPr>
          <w:rFonts w:cs="Times New Roman"/>
          <w:b/>
          <w:noProof/>
          <w:szCs w:val="24"/>
        </w:rPr>
        <w:t>123</w:t>
      </w:r>
      <w:r w:rsidRPr="004175F6">
        <w:rPr>
          <w:rFonts w:cs="Times New Roman"/>
          <w:b/>
          <w:szCs w:val="24"/>
        </w:rPr>
        <w:fldChar w:fldCharType="end"/>
      </w:r>
      <w:r w:rsidRPr="004175F6">
        <w:rPr>
          <w:rFonts w:cs="Times New Roman"/>
          <w:b/>
          <w:szCs w:val="24"/>
        </w:rPr>
        <w:t>.</w:t>
      </w:r>
      <w:r w:rsidRPr="004175F6">
        <w:rPr>
          <w:rFonts w:cs="Times New Roman"/>
          <w:szCs w:val="24"/>
        </w:rPr>
        <w:t xml:space="preserve"> Absorción total de potasio de maíz suave para diversas dosis de nitrógeno evaluadas en la provincia de Imbabura 2010-2015.</w:t>
      </w:r>
      <w:bookmarkEnd w:id="1874"/>
    </w:p>
    <w:tbl>
      <w:tblPr>
        <w:tblW w:w="7933" w:type="dxa"/>
        <w:tblCellMar>
          <w:left w:w="70" w:type="dxa"/>
          <w:right w:w="70" w:type="dxa"/>
        </w:tblCellMar>
        <w:tblLook w:val="04A0" w:firstRow="1" w:lastRow="0" w:firstColumn="1" w:lastColumn="0" w:noHBand="0" w:noVBand="1"/>
      </w:tblPr>
      <w:tblGrid>
        <w:gridCol w:w="1980"/>
        <w:gridCol w:w="887"/>
        <w:gridCol w:w="530"/>
        <w:gridCol w:w="1750"/>
        <w:gridCol w:w="802"/>
        <w:gridCol w:w="1276"/>
        <w:gridCol w:w="708"/>
      </w:tblGrid>
      <w:tr w:rsidR="00F619ED" w14:paraId="129AD084" w14:textId="77777777" w:rsidTr="00F619ED">
        <w:trPr>
          <w:trHeight w:val="296"/>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1C2FD19F" w14:textId="77777777" w:rsidR="00F619ED" w:rsidRDefault="00F619ED" w:rsidP="00F619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center"/>
            <w:hideMark/>
          </w:tcPr>
          <w:p w14:paraId="71898B50" w14:textId="77777777" w:rsidR="00F619ED" w:rsidRDefault="00F619ED" w:rsidP="00F619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noWrap/>
            <w:vAlign w:val="center"/>
            <w:hideMark/>
          </w:tcPr>
          <w:p w14:paraId="44B27200" w14:textId="5BD662E5" w:rsidR="00F619ED" w:rsidRDefault="00F619ED" w:rsidP="00F619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750" w:type="dxa"/>
            <w:tcBorders>
              <w:top w:val="single" w:sz="4" w:space="0" w:color="auto"/>
              <w:left w:val="nil"/>
              <w:bottom w:val="single" w:sz="4" w:space="0" w:color="auto"/>
              <w:right w:val="single" w:sz="4" w:space="0" w:color="auto"/>
            </w:tcBorders>
            <w:noWrap/>
            <w:vAlign w:val="center"/>
            <w:hideMark/>
          </w:tcPr>
          <w:p w14:paraId="0CCC403F" w14:textId="77777777" w:rsidR="00F619ED" w:rsidRDefault="00F619ED" w:rsidP="00F619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2786" w:type="dxa"/>
            <w:gridSpan w:val="3"/>
            <w:tcBorders>
              <w:top w:val="single" w:sz="4" w:space="0" w:color="auto"/>
              <w:left w:val="single" w:sz="4" w:space="0" w:color="auto"/>
              <w:bottom w:val="single" w:sz="4" w:space="0" w:color="auto"/>
              <w:right w:val="single" w:sz="4" w:space="0" w:color="auto"/>
            </w:tcBorders>
            <w:noWrap/>
            <w:vAlign w:val="center"/>
            <w:hideMark/>
          </w:tcPr>
          <w:p w14:paraId="0EC7B85C" w14:textId="7F0849FE" w:rsidR="00F619ED" w:rsidRDefault="00F619ED" w:rsidP="00F619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Lsd 0,05</w:t>
            </w:r>
          </w:p>
          <w:p w14:paraId="0B107D12" w14:textId="7C0B8D4E" w:rsidR="00F619ED" w:rsidRDefault="00F619ED" w:rsidP="00F619ED">
            <w:pPr>
              <w:spacing w:after="0" w:line="240" w:lineRule="auto"/>
              <w:jc w:val="center"/>
              <w:rPr>
                <w:rFonts w:eastAsia="Times New Roman" w:cs="Times New Roman"/>
                <w:b/>
                <w:bCs/>
                <w:color w:val="000000"/>
                <w:szCs w:val="24"/>
                <w:lang w:eastAsia="es-EC"/>
              </w:rPr>
            </w:pPr>
          </w:p>
        </w:tc>
      </w:tr>
      <w:tr w:rsidR="00C82BCC" w14:paraId="1BB849E6" w14:textId="77777777" w:rsidTr="00F619ED">
        <w:trPr>
          <w:trHeight w:val="296"/>
        </w:trPr>
        <w:tc>
          <w:tcPr>
            <w:tcW w:w="1980" w:type="dxa"/>
            <w:tcBorders>
              <w:top w:val="nil"/>
              <w:left w:val="single" w:sz="4" w:space="0" w:color="auto"/>
              <w:bottom w:val="single" w:sz="4" w:space="0" w:color="auto"/>
              <w:right w:val="single" w:sz="4" w:space="0" w:color="auto"/>
            </w:tcBorders>
            <w:noWrap/>
            <w:vAlign w:val="bottom"/>
            <w:hideMark/>
          </w:tcPr>
          <w:p w14:paraId="583E1B8A"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61B350D3"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114,89</w:t>
            </w:r>
          </w:p>
        </w:tc>
        <w:tc>
          <w:tcPr>
            <w:tcW w:w="530" w:type="dxa"/>
            <w:tcBorders>
              <w:top w:val="nil"/>
              <w:left w:val="nil"/>
              <w:bottom w:val="single" w:sz="4" w:space="0" w:color="auto"/>
              <w:right w:val="single" w:sz="4" w:space="0" w:color="auto"/>
            </w:tcBorders>
            <w:noWrap/>
            <w:vAlign w:val="bottom"/>
            <w:hideMark/>
          </w:tcPr>
          <w:p w14:paraId="3730AAB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750" w:type="dxa"/>
            <w:tcBorders>
              <w:top w:val="nil"/>
              <w:left w:val="nil"/>
              <w:bottom w:val="single" w:sz="4" w:space="0" w:color="auto"/>
              <w:right w:val="single" w:sz="4" w:space="0" w:color="auto"/>
            </w:tcBorders>
            <w:noWrap/>
            <w:vAlign w:val="bottom"/>
            <w:hideMark/>
          </w:tcPr>
          <w:p w14:paraId="6112C05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4,38</w:t>
            </w:r>
          </w:p>
        </w:tc>
        <w:tc>
          <w:tcPr>
            <w:tcW w:w="802" w:type="dxa"/>
            <w:tcBorders>
              <w:top w:val="single" w:sz="4" w:space="0" w:color="auto"/>
              <w:left w:val="nil"/>
              <w:bottom w:val="single" w:sz="4" w:space="0" w:color="auto"/>
              <w:right w:val="single" w:sz="4" w:space="0" w:color="auto"/>
            </w:tcBorders>
            <w:noWrap/>
            <w:vAlign w:val="bottom"/>
            <w:hideMark/>
          </w:tcPr>
          <w:p w14:paraId="2769C5D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76" w:type="dxa"/>
            <w:tcBorders>
              <w:top w:val="single" w:sz="4" w:space="0" w:color="auto"/>
              <w:left w:val="nil"/>
              <w:bottom w:val="single" w:sz="4" w:space="0" w:color="auto"/>
              <w:right w:val="single" w:sz="4" w:space="0" w:color="auto"/>
            </w:tcBorders>
            <w:noWrap/>
            <w:vAlign w:val="bottom"/>
            <w:hideMark/>
          </w:tcPr>
          <w:p w14:paraId="1FD782BA"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8" w:type="dxa"/>
            <w:tcBorders>
              <w:top w:val="single" w:sz="4" w:space="0" w:color="auto"/>
              <w:left w:val="nil"/>
              <w:bottom w:val="single" w:sz="4" w:space="0" w:color="auto"/>
              <w:right w:val="single" w:sz="4" w:space="0" w:color="auto"/>
            </w:tcBorders>
            <w:noWrap/>
            <w:vAlign w:val="bottom"/>
            <w:hideMark/>
          </w:tcPr>
          <w:p w14:paraId="29BEE733"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1315575" w14:textId="77777777" w:rsidTr="00F619ED">
        <w:trPr>
          <w:trHeight w:val="296"/>
        </w:trPr>
        <w:tc>
          <w:tcPr>
            <w:tcW w:w="1980" w:type="dxa"/>
            <w:tcBorders>
              <w:top w:val="nil"/>
              <w:left w:val="single" w:sz="4" w:space="0" w:color="auto"/>
              <w:bottom w:val="single" w:sz="4" w:space="0" w:color="auto"/>
              <w:right w:val="single" w:sz="4" w:space="0" w:color="auto"/>
            </w:tcBorders>
            <w:noWrap/>
            <w:vAlign w:val="bottom"/>
            <w:hideMark/>
          </w:tcPr>
          <w:p w14:paraId="07F7C32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887" w:type="dxa"/>
            <w:tcBorders>
              <w:top w:val="nil"/>
              <w:left w:val="nil"/>
              <w:bottom w:val="single" w:sz="4" w:space="0" w:color="auto"/>
              <w:right w:val="single" w:sz="4" w:space="0" w:color="auto"/>
            </w:tcBorders>
            <w:noWrap/>
            <w:vAlign w:val="bottom"/>
            <w:hideMark/>
          </w:tcPr>
          <w:p w14:paraId="4705F39A"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134,41</w:t>
            </w:r>
          </w:p>
        </w:tc>
        <w:tc>
          <w:tcPr>
            <w:tcW w:w="530" w:type="dxa"/>
            <w:tcBorders>
              <w:top w:val="nil"/>
              <w:left w:val="nil"/>
              <w:bottom w:val="single" w:sz="4" w:space="0" w:color="auto"/>
              <w:right w:val="single" w:sz="4" w:space="0" w:color="auto"/>
            </w:tcBorders>
            <w:noWrap/>
            <w:vAlign w:val="bottom"/>
            <w:hideMark/>
          </w:tcPr>
          <w:p w14:paraId="4A5F2546"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750" w:type="dxa"/>
            <w:tcBorders>
              <w:top w:val="nil"/>
              <w:left w:val="nil"/>
              <w:bottom w:val="single" w:sz="4" w:space="0" w:color="auto"/>
              <w:right w:val="single" w:sz="4" w:space="0" w:color="auto"/>
            </w:tcBorders>
            <w:noWrap/>
            <w:vAlign w:val="bottom"/>
            <w:hideMark/>
          </w:tcPr>
          <w:p w14:paraId="3F25CF76"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4,82</w:t>
            </w:r>
          </w:p>
        </w:tc>
        <w:tc>
          <w:tcPr>
            <w:tcW w:w="802" w:type="dxa"/>
            <w:tcBorders>
              <w:top w:val="nil"/>
              <w:left w:val="nil"/>
              <w:bottom w:val="single" w:sz="4" w:space="0" w:color="auto"/>
              <w:right w:val="single" w:sz="4" w:space="0" w:color="auto"/>
            </w:tcBorders>
            <w:noWrap/>
            <w:vAlign w:val="bottom"/>
            <w:hideMark/>
          </w:tcPr>
          <w:p w14:paraId="2894C453"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76" w:type="dxa"/>
            <w:tcBorders>
              <w:top w:val="nil"/>
              <w:left w:val="nil"/>
              <w:bottom w:val="single" w:sz="4" w:space="0" w:color="auto"/>
              <w:right w:val="single" w:sz="4" w:space="0" w:color="auto"/>
            </w:tcBorders>
            <w:noWrap/>
            <w:vAlign w:val="bottom"/>
            <w:hideMark/>
          </w:tcPr>
          <w:p w14:paraId="6E3C718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08" w:type="dxa"/>
            <w:tcBorders>
              <w:top w:val="nil"/>
              <w:left w:val="nil"/>
              <w:bottom w:val="single" w:sz="4" w:space="0" w:color="auto"/>
              <w:right w:val="single" w:sz="4" w:space="0" w:color="auto"/>
            </w:tcBorders>
            <w:noWrap/>
            <w:vAlign w:val="bottom"/>
            <w:hideMark/>
          </w:tcPr>
          <w:p w14:paraId="1FDD206A"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9B3176D" w14:textId="77777777" w:rsidTr="00F619ED">
        <w:trPr>
          <w:trHeight w:val="296"/>
        </w:trPr>
        <w:tc>
          <w:tcPr>
            <w:tcW w:w="1980" w:type="dxa"/>
            <w:tcBorders>
              <w:top w:val="nil"/>
              <w:left w:val="single" w:sz="4" w:space="0" w:color="auto"/>
              <w:bottom w:val="single" w:sz="4" w:space="0" w:color="auto"/>
              <w:right w:val="single" w:sz="4" w:space="0" w:color="auto"/>
            </w:tcBorders>
            <w:noWrap/>
            <w:vAlign w:val="bottom"/>
            <w:hideMark/>
          </w:tcPr>
          <w:p w14:paraId="5CA81FE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38DCB5D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140,3</w:t>
            </w:r>
          </w:p>
        </w:tc>
        <w:tc>
          <w:tcPr>
            <w:tcW w:w="530" w:type="dxa"/>
            <w:tcBorders>
              <w:top w:val="nil"/>
              <w:left w:val="nil"/>
              <w:bottom w:val="single" w:sz="4" w:space="0" w:color="auto"/>
              <w:right w:val="single" w:sz="4" w:space="0" w:color="auto"/>
            </w:tcBorders>
            <w:noWrap/>
            <w:vAlign w:val="bottom"/>
            <w:hideMark/>
          </w:tcPr>
          <w:p w14:paraId="0637CA2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50" w:type="dxa"/>
            <w:tcBorders>
              <w:top w:val="nil"/>
              <w:left w:val="nil"/>
              <w:bottom w:val="single" w:sz="4" w:space="0" w:color="auto"/>
              <w:right w:val="single" w:sz="4" w:space="0" w:color="auto"/>
            </w:tcBorders>
            <w:noWrap/>
            <w:vAlign w:val="bottom"/>
            <w:hideMark/>
          </w:tcPr>
          <w:p w14:paraId="2552E8A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20,47</w:t>
            </w:r>
          </w:p>
        </w:tc>
        <w:tc>
          <w:tcPr>
            <w:tcW w:w="802" w:type="dxa"/>
            <w:tcBorders>
              <w:top w:val="nil"/>
              <w:left w:val="nil"/>
              <w:bottom w:val="single" w:sz="4" w:space="0" w:color="auto"/>
              <w:right w:val="single" w:sz="4" w:space="0" w:color="auto"/>
            </w:tcBorders>
            <w:noWrap/>
            <w:vAlign w:val="bottom"/>
            <w:hideMark/>
          </w:tcPr>
          <w:p w14:paraId="78B30D46"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76" w:type="dxa"/>
            <w:tcBorders>
              <w:top w:val="nil"/>
              <w:left w:val="nil"/>
              <w:bottom w:val="single" w:sz="4" w:space="0" w:color="auto"/>
              <w:right w:val="single" w:sz="4" w:space="0" w:color="auto"/>
            </w:tcBorders>
            <w:noWrap/>
            <w:vAlign w:val="bottom"/>
            <w:hideMark/>
          </w:tcPr>
          <w:p w14:paraId="08113DC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08" w:type="dxa"/>
            <w:tcBorders>
              <w:top w:val="nil"/>
              <w:left w:val="nil"/>
              <w:bottom w:val="single" w:sz="4" w:space="0" w:color="auto"/>
              <w:right w:val="single" w:sz="4" w:space="0" w:color="auto"/>
            </w:tcBorders>
            <w:noWrap/>
            <w:vAlign w:val="bottom"/>
            <w:hideMark/>
          </w:tcPr>
          <w:p w14:paraId="187ACA6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C82BCC" w14:paraId="1B24F130" w14:textId="77777777" w:rsidTr="00F619ED">
        <w:trPr>
          <w:trHeight w:val="296"/>
        </w:trPr>
        <w:tc>
          <w:tcPr>
            <w:tcW w:w="1980" w:type="dxa"/>
            <w:tcBorders>
              <w:top w:val="nil"/>
              <w:left w:val="single" w:sz="4" w:space="0" w:color="auto"/>
              <w:bottom w:val="single" w:sz="4" w:space="0" w:color="auto"/>
              <w:right w:val="single" w:sz="4" w:space="0" w:color="auto"/>
            </w:tcBorders>
            <w:noWrap/>
            <w:vAlign w:val="bottom"/>
            <w:hideMark/>
          </w:tcPr>
          <w:p w14:paraId="269673CF"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887" w:type="dxa"/>
            <w:tcBorders>
              <w:top w:val="nil"/>
              <w:left w:val="nil"/>
              <w:bottom w:val="single" w:sz="4" w:space="0" w:color="auto"/>
              <w:right w:val="single" w:sz="4" w:space="0" w:color="auto"/>
            </w:tcBorders>
            <w:noWrap/>
            <w:vAlign w:val="bottom"/>
            <w:hideMark/>
          </w:tcPr>
          <w:p w14:paraId="74E5A36A"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154,01</w:t>
            </w:r>
          </w:p>
        </w:tc>
        <w:tc>
          <w:tcPr>
            <w:tcW w:w="530" w:type="dxa"/>
            <w:tcBorders>
              <w:top w:val="nil"/>
              <w:left w:val="nil"/>
              <w:bottom w:val="single" w:sz="4" w:space="0" w:color="auto"/>
              <w:right w:val="single" w:sz="4" w:space="0" w:color="auto"/>
            </w:tcBorders>
            <w:noWrap/>
            <w:vAlign w:val="bottom"/>
            <w:hideMark/>
          </w:tcPr>
          <w:p w14:paraId="28BB03D5"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750" w:type="dxa"/>
            <w:tcBorders>
              <w:top w:val="nil"/>
              <w:left w:val="nil"/>
              <w:bottom w:val="single" w:sz="4" w:space="0" w:color="auto"/>
              <w:right w:val="single" w:sz="4" w:space="0" w:color="auto"/>
            </w:tcBorders>
            <w:noWrap/>
            <w:vAlign w:val="bottom"/>
            <w:hideMark/>
          </w:tcPr>
          <w:p w14:paraId="298ED2A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11,82</w:t>
            </w:r>
          </w:p>
        </w:tc>
        <w:tc>
          <w:tcPr>
            <w:tcW w:w="802" w:type="dxa"/>
            <w:tcBorders>
              <w:top w:val="nil"/>
              <w:left w:val="nil"/>
              <w:bottom w:val="single" w:sz="4" w:space="0" w:color="auto"/>
              <w:right w:val="single" w:sz="4" w:space="0" w:color="auto"/>
            </w:tcBorders>
            <w:noWrap/>
            <w:vAlign w:val="bottom"/>
            <w:hideMark/>
          </w:tcPr>
          <w:p w14:paraId="6733329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76" w:type="dxa"/>
            <w:tcBorders>
              <w:top w:val="nil"/>
              <w:left w:val="nil"/>
              <w:bottom w:val="single" w:sz="4" w:space="0" w:color="auto"/>
              <w:right w:val="single" w:sz="4" w:space="0" w:color="auto"/>
            </w:tcBorders>
            <w:noWrap/>
            <w:vAlign w:val="bottom"/>
            <w:hideMark/>
          </w:tcPr>
          <w:p w14:paraId="3227DAD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08" w:type="dxa"/>
            <w:tcBorders>
              <w:top w:val="nil"/>
              <w:left w:val="nil"/>
              <w:bottom w:val="single" w:sz="4" w:space="0" w:color="auto"/>
              <w:right w:val="single" w:sz="4" w:space="0" w:color="auto"/>
            </w:tcBorders>
            <w:noWrap/>
            <w:vAlign w:val="bottom"/>
            <w:hideMark/>
          </w:tcPr>
          <w:p w14:paraId="3E032EB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C82BCC" w14:paraId="4D5F6A34" w14:textId="77777777" w:rsidTr="00F619ED">
        <w:trPr>
          <w:trHeight w:val="296"/>
        </w:trPr>
        <w:tc>
          <w:tcPr>
            <w:tcW w:w="1980" w:type="dxa"/>
            <w:tcBorders>
              <w:top w:val="nil"/>
              <w:left w:val="single" w:sz="4" w:space="0" w:color="auto"/>
              <w:bottom w:val="single" w:sz="4" w:space="0" w:color="auto"/>
              <w:right w:val="single" w:sz="4" w:space="0" w:color="auto"/>
            </w:tcBorders>
            <w:noWrap/>
            <w:vAlign w:val="bottom"/>
            <w:hideMark/>
          </w:tcPr>
          <w:p w14:paraId="734580D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887" w:type="dxa"/>
            <w:tcBorders>
              <w:top w:val="nil"/>
              <w:left w:val="nil"/>
              <w:bottom w:val="single" w:sz="4" w:space="0" w:color="auto"/>
              <w:right w:val="single" w:sz="4" w:space="0" w:color="auto"/>
            </w:tcBorders>
            <w:noWrap/>
            <w:vAlign w:val="bottom"/>
            <w:hideMark/>
          </w:tcPr>
          <w:p w14:paraId="4C6BF5F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160,98</w:t>
            </w:r>
          </w:p>
        </w:tc>
        <w:tc>
          <w:tcPr>
            <w:tcW w:w="530" w:type="dxa"/>
            <w:tcBorders>
              <w:top w:val="nil"/>
              <w:left w:val="nil"/>
              <w:bottom w:val="single" w:sz="4" w:space="0" w:color="auto"/>
              <w:right w:val="single" w:sz="4" w:space="0" w:color="auto"/>
            </w:tcBorders>
            <w:noWrap/>
            <w:vAlign w:val="bottom"/>
            <w:hideMark/>
          </w:tcPr>
          <w:p w14:paraId="64C70FEA"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750" w:type="dxa"/>
            <w:tcBorders>
              <w:top w:val="nil"/>
              <w:left w:val="nil"/>
              <w:bottom w:val="single" w:sz="4" w:space="0" w:color="auto"/>
              <w:right w:val="single" w:sz="4" w:space="0" w:color="auto"/>
            </w:tcBorders>
            <w:noWrap/>
            <w:vAlign w:val="bottom"/>
            <w:hideMark/>
          </w:tcPr>
          <w:p w14:paraId="43BA7D6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11,82</w:t>
            </w:r>
          </w:p>
        </w:tc>
        <w:tc>
          <w:tcPr>
            <w:tcW w:w="802" w:type="dxa"/>
            <w:tcBorders>
              <w:top w:val="nil"/>
              <w:left w:val="nil"/>
              <w:bottom w:val="single" w:sz="4" w:space="0" w:color="auto"/>
              <w:right w:val="single" w:sz="4" w:space="0" w:color="auto"/>
            </w:tcBorders>
            <w:noWrap/>
            <w:vAlign w:val="bottom"/>
            <w:hideMark/>
          </w:tcPr>
          <w:p w14:paraId="6469490E"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76" w:type="dxa"/>
            <w:tcBorders>
              <w:top w:val="nil"/>
              <w:left w:val="nil"/>
              <w:bottom w:val="single" w:sz="4" w:space="0" w:color="auto"/>
              <w:right w:val="single" w:sz="4" w:space="0" w:color="auto"/>
            </w:tcBorders>
            <w:noWrap/>
            <w:vAlign w:val="bottom"/>
            <w:hideMark/>
          </w:tcPr>
          <w:p w14:paraId="36249539"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8" w:type="dxa"/>
            <w:tcBorders>
              <w:top w:val="nil"/>
              <w:left w:val="nil"/>
              <w:bottom w:val="single" w:sz="4" w:space="0" w:color="auto"/>
              <w:right w:val="single" w:sz="4" w:space="0" w:color="auto"/>
            </w:tcBorders>
            <w:noWrap/>
            <w:vAlign w:val="bottom"/>
            <w:hideMark/>
          </w:tcPr>
          <w:p w14:paraId="347D7E3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C82BCC" w14:paraId="2E936372" w14:textId="77777777" w:rsidTr="00F619ED">
        <w:trPr>
          <w:trHeight w:val="296"/>
        </w:trPr>
        <w:tc>
          <w:tcPr>
            <w:tcW w:w="1980" w:type="dxa"/>
            <w:tcBorders>
              <w:top w:val="nil"/>
              <w:left w:val="single" w:sz="4" w:space="0" w:color="auto"/>
              <w:bottom w:val="single" w:sz="4" w:space="0" w:color="auto"/>
              <w:right w:val="single" w:sz="4" w:space="0" w:color="auto"/>
            </w:tcBorders>
            <w:noWrap/>
            <w:vAlign w:val="bottom"/>
            <w:hideMark/>
          </w:tcPr>
          <w:p w14:paraId="607A3A8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noWrap/>
            <w:vAlign w:val="bottom"/>
            <w:hideMark/>
          </w:tcPr>
          <w:p w14:paraId="4C23837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165,12</w:t>
            </w:r>
          </w:p>
        </w:tc>
        <w:tc>
          <w:tcPr>
            <w:tcW w:w="530" w:type="dxa"/>
            <w:tcBorders>
              <w:top w:val="nil"/>
              <w:left w:val="nil"/>
              <w:bottom w:val="single" w:sz="4" w:space="0" w:color="auto"/>
              <w:right w:val="single" w:sz="4" w:space="0" w:color="auto"/>
            </w:tcBorders>
            <w:noWrap/>
            <w:vAlign w:val="bottom"/>
            <w:hideMark/>
          </w:tcPr>
          <w:p w14:paraId="097737D6"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750" w:type="dxa"/>
            <w:tcBorders>
              <w:top w:val="nil"/>
              <w:left w:val="nil"/>
              <w:bottom w:val="single" w:sz="4" w:space="0" w:color="auto"/>
              <w:right w:val="single" w:sz="4" w:space="0" w:color="auto"/>
            </w:tcBorders>
            <w:noWrap/>
            <w:vAlign w:val="bottom"/>
            <w:hideMark/>
          </w:tcPr>
          <w:p w14:paraId="3DA5CAC9"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5,33</w:t>
            </w:r>
          </w:p>
        </w:tc>
        <w:tc>
          <w:tcPr>
            <w:tcW w:w="802" w:type="dxa"/>
            <w:tcBorders>
              <w:top w:val="nil"/>
              <w:left w:val="nil"/>
              <w:bottom w:val="single" w:sz="4" w:space="0" w:color="auto"/>
              <w:right w:val="single" w:sz="4" w:space="0" w:color="auto"/>
            </w:tcBorders>
            <w:noWrap/>
            <w:vAlign w:val="bottom"/>
            <w:hideMark/>
          </w:tcPr>
          <w:p w14:paraId="1C6143C8"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76" w:type="dxa"/>
            <w:tcBorders>
              <w:top w:val="nil"/>
              <w:left w:val="nil"/>
              <w:bottom w:val="single" w:sz="4" w:space="0" w:color="auto"/>
              <w:right w:val="single" w:sz="4" w:space="0" w:color="auto"/>
            </w:tcBorders>
            <w:noWrap/>
            <w:vAlign w:val="bottom"/>
            <w:hideMark/>
          </w:tcPr>
          <w:p w14:paraId="5A72236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8" w:type="dxa"/>
            <w:tcBorders>
              <w:top w:val="nil"/>
              <w:left w:val="nil"/>
              <w:bottom w:val="single" w:sz="4" w:space="0" w:color="auto"/>
              <w:right w:val="single" w:sz="4" w:space="0" w:color="auto"/>
            </w:tcBorders>
            <w:noWrap/>
            <w:vAlign w:val="bottom"/>
            <w:hideMark/>
          </w:tcPr>
          <w:p w14:paraId="67C5E948"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C82BCC" w14:paraId="5802B36E" w14:textId="77777777" w:rsidTr="00F619ED">
        <w:trPr>
          <w:trHeight w:val="296"/>
        </w:trPr>
        <w:tc>
          <w:tcPr>
            <w:tcW w:w="1980" w:type="dxa"/>
            <w:tcBorders>
              <w:top w:val="nil"/>
              <w:left w:val="single" w:sz="4" w:space="0" w:color="auto"/>
              <w:bottom w:val="single" w:sz="4" w:space="0" w:color="auto"/>
              <w:right w:val="single" w:sz="4" w:space="0" w:color="auto"/>
            </w:tcBorders>
            <w:noWrap/>
            <w:vAlign w:val="bottom"/>
            <w:hideMark/>
          </w:tcPr>
          <w:p w14:paraId="675AE2A8"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24B6237F"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176,29</w:t>
            </w:r>
          </w:p>
        </w:tc>
        <w:tc>
          <w:tcPr>
            <w:tcW w:w="530" w:type="dxa"/>
            <w:tcBorders>
              <w:top w:val="nil"/>
              <w:left w:val="nil"/>
              <w:bottom w:val="single" w:sz="4" w:space="0" w:color="auto"/>
              <w:right w:val="single" w:sz="4" w:space="0" w:color="auto"/>
            </w:tcBorders>
            <w:noWrap/>
            <w:vAlign w:val="bottom"/>
            <w:hideMark/>
          </w:tcPr>
          <w:p w14:paraId="7A7C782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750" w:type="dxa"/>
            <w:tcBorders>
              <w:top w:val="nil"/>
              <w:left w:val="nil"/>
              <w:bottom w:val="single" w:sz="4" w:space="0" w:color="auto"/>
              <w:right w:val="single" w:sz="4" w:space="0" w:color="auto"/>
            </w:tcBorders>
            <w:noWrap/>
            <w:vAlign w:val="bottom"/>
            <w:hideMark/>
          </w:tcPr>
          <w:p w14:paraId="141A792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10,23</w:t>
            </w:r>
          </w:p>
        </w:tc>
        <w:tc>
          <w:tcPr>
            <w:tcW w:w="802" w:type="dxa"/>
            <w:tcBorders>
              <w:top w:val="nil"/>
              <w:left w:val="nil"/>
              <w:bottom w:val="single" w:sz="4" w:space="0" w:color="auto"/>
              <w:right w:val="single" w:sz="4" w:space="0" w:color="auto"/>
            </w:tcBorders>
            <w:noWrap/>
            <w:vAlign w:val="bottom"/>
            <w:hideMark/>
          </w:tcPr>
          <w:p w14:paraId="56A60F0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76" w:type="dxa"/>
            <w:tcBorders>
              <w:top w:val="nil"/>
              <w:left w:val="nil"/>
              <w:bottom w:val="single" w:sz="4" w:space="0" w:color="auto"/>
              <w:right w:val="single" w:sz="4" w:space="0" w:color="auto"/>
            </w:tcBorders>
            <w:noWrap/>
            <w:vAlign w:val="bottom"/>
            <w:hideMark/>
          </w:tcPr>
          <w:p w14:paraId="3B9C4FA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8" w:type="dxa"/>
            <w:tcBorders>
              <w:top w:val="nil"/>
              <w:left w:val="nil"/>
              <w:bottom w:val="single" w:sz="4" w:space="0" w:color="auto"/>
              <w:right w:val="single" w:sz="4" w:space="0" w:color="auto"/>
            </w:tcBorders>
            <w:noWrap/>
            <w:vAlign w:val="bottom"/>
            <w:hideMark/>
          </w:tcPr>
          <w:p w14:paraId="76A94D2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3EE7FD0C" w14:textId="2A25F92B" w:rsidR="00F81D6B" w:rsidRDefault="00C82BCC" w:rsidP="004175F6">
      <w:pPr>
        <w:autoSpaceDE w:val="0"/>
        <w:autoSpaceDN w:val="0"/>
        <w:adjustRightInd w:val="0"/>
        <w:spacing w:after="0" w:line="360" w:lineRule="auto"/>
        <w:rPr>
          <w:rFonts w:cs="Times New Roman"/>
          <w:szCs w:val="24"/>
        </w:rPr>
      </w:pPr>
      <w:r>
        <w:rPr>
          <w:rFonts w:cs="Times New Roman"/>
          <w:szCs w:val="24"/>
        </w:rPr>
        <w:t>Medias con una letra común no son significativamente</w:t>
      </w:r>
      <w:bookmarkStart w:id="1875" w:name="_Toc72704661"/>
      <w:bookmarkStart w:id="1876" w:name="_Toc72706367"/>
      <w:bookmarkStart w:id="1877" w:name="_Toc72741317"/>
      <w:bookmarkStart w:id="1878" w:name="_Toc72742115"/>
      <w:bookmarkStart w:id="1879" w:name="_Toc72881269"/>
      <w:bookmarkStart w:id="1880" w:name="_Toc72882722"/>
      <w:bookmarkStart w:id="1881" w:name="_Toc75606509"/>
      <w:bookmarkStart w:id="1882" w:name="_Toc75612834"/>
      <w:bookmarkStart w:id="1883" w:name="_Toc75679990"/>
      <w:bookmarkStart w:id="1884" w:name="_Toc75702598"/>
      <w:r w:rsidR="004175F6">
        <w:rPr>
          <w:rFonts w:cs="Times New Roman"/>
          <w:szCs w:val="24"/>
        </w:rPr>
        <w:t xml:space="preserve"> diferentes (p &gt; 0,05)</w:t>
      </w:r>
    </w:p>
    <w:p w14:paraId="5BEC0913" w14:textId="77777777" w:rsidR="0016654D" w:rsidRDefault="0016654D" w:rsidP="0016654D">
      <w:pPr>
        <w:autoSpaceDE w:val="0"/>
        <w:autoSpaceDN w:val="0"/>
        <w:adjustRightInd w:val="0"/>
        <w:spacing w:before="360" w:after="0" w:line="360" w:lineRule="auto"/>
        <w:rPr>
          <w:rFonts w:cs="Times New Roman"/>
          <w:b/>
          <w:iCs/>
          <w:szCs w:val="24"/>
        </w:rPr>
      </w:pPr>
      <w:bookmarkStart w:id="1885" w:name="_Toc79314116"/>
      <w:bookmarkEnd w:id="1875"/>
      <w:bookmarkEnd w:id="1876"/>
      <w:bookmarkEnd w:id="1877"/>
      <w:bookmarkEnd w:id="1878"/>
      <w:bookmarkEnd w:id="1879"/>
      <w:bookmarkEnd w:id="1880"/>
      <w:bookmarkEnd w:id="1881"/>
      <w:bookmarkEnd w:id="1882"/>
      <w:bookmarkEnd w:id="1883"/>
      <w:bookmarkEnd w:id="1884"/>
      <w:r>
        <w:rPr>
          <w:rFonts w:cs="Times New Roman"/>
          <w:b/>
          <w:iCs/>
          <w:szCs w:val="24"/>
        </w:rPr>
        <w:br w:type="page"/>
      </w:r>
    </w:p>
    <w:p w14:paraId="3DF880D5" w14:textId="24F8BABE" w:rsidR="004175F6" w:rsidRPr="004175F6" w:rsidRDefault="004175F6" w:rsidP="0016654D">
      <w:pPr>
        <w:autoSpaceDE w:val="0"/>
        <w:autoSpaceDN w:val="0"/>
        <w:adjustRightInd w:val="0"/>
        <w:spacing w:before="360" w:after="0" w:line="360" w:lineRule="auto"/>
        <w:rPr>
          <w:rFonts w:cs="Times New Roman"/>
          <w:iCs/>
          <w:szCs w:val="24"/>
        </w:rPr>
      </w:pPr>
      <w:r w:rsidRPr="004175F6">
        <w:rPr>
          <w:rFonts w:cs="Times New Roman"/>
          <w:b/>
          <w:iCs/>
          <w:szCs w:val="24"/>
        </w:rPr>
        <w:lastRenderedPageBreak/>
        <w:t xml:space="preserve">Cuadro </w:t>
      </w:r>
      <w:r w:rsidRPr="004175F6">
        <w:rPr>
          <w:rFonts w:cs="Times New Roman"/>
          <w:b/>
          <w:iCs/>
          <w:szCs w:val="24"/>
        </w:rPr>
        <w:fldChar w:fldCharType="begin"/>
      </w:r>
      <w:r w:rsidRPr="004175F6">
        <w:rPr>
          <w:rFonts w:cs="Times New Roman"/>
          <w:b/>
          <w:iCs/>
          <w:szCs w:val="24"/>
        </w:rPr>
        <w:instrText xml:space="preserve"> SEQ Cuadro \* ARABIC </w:instrText>
      </w:r>
      <w:r w:rsidRPr="004175F6">
        <w:rPr>
          <w:rFonts w:cs="Times New Roman"/>
          <w:b/>
          <w:iCs/>
          <w:szCs w:val="24"/>
        </w:rPr>
        <w:fldChar w:fldCharType="separate"/>
      </w:r>
      <w:r w:rsidR="000D1F55">
        <w:rPr>
          <w:rFonts w:cs="Times New Roman"/>
          <w:b/>
          <w:iCs/>
          <w:noProof/>
          <w:szCs w:val="24"/>
        </w:rPr>
        <w:t>124</w:t>
      </w:r>
      <w:r w:rsidRPr="004175F6">
        <w:rPr>
          <w:rFonts w:cs="Times New Roman"/>
          <w:b/>
          <w:iCs/>
          <w:szCs w:val="24"/>
        </w:rPr>
        <w:fldChar w:fldCharType="end"/>
      </w:r>
      <w:r w:rsidRPr="004175F6">
        <w:rPr>
          <w:rFonts w:cs="Times New Roman"/>
          <w:b/>
          <w:iCs/>
          <w:szCs w:val="24"/>
        </w:rPr>
        <w:t xml:space="preserve">. </w:t>
      </w:r>
      <w:r w:rsidRPr="004175F6">
        <w:rPr>
          <w:rFonts w:cs="Times New Roman"/>
          <w:iCs/>
          <w:szCs w:val="24"/>
        </w:rPr>
        <w:t>Absorción total de potasio de maíz suave para diversas dosis de nitrógeno evaluadas en la provincia de Imbabura 2010-2015.</w:t>
      </w:r>
      <w:bookmarkEnd w:id="1885"/>
    </w:p>
    <w:tbl>
      <w:tblPr>
        <w:tblW w:w="5000" w:type="pct"/>
        <w:tblCellMar>
          <w:left w:w="0" w:type="dxa"/>
          <w:right w:w="0" w:type="dxa"/>
        </w:tblCellMar>
        <w:tblLook w:val="04A0" w:firstRow="1" w:lastRow="0" w:firstColumn="1" w:lastColumn="0" w:noHBand="0" w:noVBand="1"/>
      </w:tblPr>
      <w:tblGrid>
        <w:gridCol w:w="1754"/>
        <w:gridCol w:w="777"/>
        <w:gridCol w:w="937"/>
        <w:gridCol w:w="1583"/>
        <w:gridCol w:w="509"/>
        <w:gridCol w:w="495"/>
        <w:gridCol w:w="624"/>
        <w:gridCol w:w="624"/>
        <w:gridCol w:w="624"/>
      </w:tblGrid>
      <w:tr w:rsidR="00C82BCC" w14:paraId="180406FC" w14:textId="77777777" w:rsidTr="004175F6">
        <w:trPr>
          <w:trHeight w:val="300"/>
        </w:trPr>
        <w:tc>
          <w:tcPr>
            <w:tcW w:w="111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5FD5E56"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 xml:space="preserve">Dosis P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45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418C257"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Medias</w:t>
            </w:r>
          </w:p>
        </w:tc>
        <w:tc>
          <w:tcPr>
            <w:tcW w:w="6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4E446D1"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 xml:space="preserve">n </w:t>
            </w:r>
          </w:p>
        </w:tc>
        <w:tc>
          <w:tcPr>
            <w:tcW w:w="95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47D9725" w14:textId="77777777" w:rsidR="00C82BCC" w:rsidRDefault="00C82BCC" w:rsidP="0016654D">
            <w:pPr>
              <w:spacing w:after="0" w:line="240" w:lineRule="auto"/>
              <w:jc w:val="center"/>
              <w:rPr>
                <w:rFonts w:cs="Times New Roman"/>
                <w:b/>
                <w:bCs/>
                <w:color w:val="000000"/>
                <w:szCs w:val="24"/>
              </w:rPr>
            </w:pPr>
            <w:r>
              <w:rPr>
                <w:rFonts w:eastAsia="Times New Roman" w:cs="Times New Roman"/>
                <w:b/>
                <w:bCs/>
                <w:color w:val="000000"/>
                <w:szCs w:val="24"/>
                <w:lang w:eastAsia="es-EC"/>
              </w:rPr>
              <w:t>Error estándar</w:t>
            </w:r>
          </w:p>
        </w:tc>
        <w:tc>
          <w:tcPr>
            <w:tcW w:w="332"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511C2A67"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 xml:space="preserve">  </w:t>
            </w:r>
          </w:p>
        </w:tc>
        <w:tc>
          <w:tcPr>
            <w:tcW w:w="323"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40938197"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 xml:space="preserve">  </w:t>
            </w:r>
          </w:p>
        </w:tc>
        <w:tc>
          <w:tcPr>
            <w:tcW w:w="404"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5DF6554"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 xml:space="preserve">Lsd  </w:t>
            </w:r>
          </w:p>
        </w:tc>
        <w:tc>
          <w:tcPr>
            <w:tcW w:w="404"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63F41CD" w14:textId="77777777" w:rsidR="00C82BCC" w:rsidRDefault="00C82BCC" w:rsidP="0016654D">
            <w:pPr>
              <w:spacing w:after="0" w:line="240" w:lineRule="auto"/>
              <w:rPr>
                <w:rFonts w:cs="Times New Roman"/>
                <w:b/>
                <w:bCs/>
                <w:color w:val="000000"/>
                <w:szCs w:val="24"/>
              </w:rPr>
            </w:pPr>
            <w:r>
              <w:rPr>
                <w:rFonts w:cs="Times New Roman"/>
                <w:b/>
                <w:bCs/>
                <w:color w:val="000000"/>
                <w:szCs w:val="24"/>
              </w:rPr>
              <w:t xml:space="preserve">0,05  </w:t>
            </w:r>
          </w:p>
        </w:tc>
        <w:tc>
          <w:tcPr>
            <w:tcW w:w="40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3CC19BC"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 xml:space="preserve">  </w:t>
            </w:r>
          </w:p>
        </w:tc>
      </w:tr>
      <w:tr w:rsidR="00C82BCC" w14:paraId="105A96D7" w14:textId="77777777" w:rsidTr="004175F6">
        <w:trPr>
          <w:trHeight w:val="300"/>
        </w:trPr>
        <w:tc>
          <w:tcPr>
            <w:tcW w:w="111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8CA22C" w14:textId="77777777" w:rsidR="00C82BCC" w:rsidRDefault="00C82BCC" w:rsidP="0016654D">
            <w:pPr>
              <w:spacing w:after="0" w:line="240" w:lineRule="auto"/>
              <w:jc w:val="center"/>
              <w:rPr>
                <w:rFonts w:cs="Times New Roman"/>
                <w:color w:val="000000"/>
                <w:szCs w:val="24"/>
              </w:rPr>
            </w:pPr>
            <w:r>
              <w:rPr>
                <w:rFonts w:cs="Times New Roman"/>
                <w:color w:val="000000"/>
                <w:szCs w:val="24"/>
              </w:rPr>
              <w:t>50</w:t>
            </w:r>
          </w:p>
        </w:tc>
        <w:tc>
          <w:tcPr>
            <w:tcW w:w="4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366DC4" w14:textId="77777777" w:rsidR="00C82BCC" w:rsidRDefault="00C82BCC" w:rsidP="0016654D">
            <w:pPr>
              <w:spacing w:after="0" w:line="240" w:lineRule="auto"/>
              <w:jc w:val="center"/>
              <w:rPr>
                <w:rFonts w:cs="Times New Roman"/>
                <w:color w:val="000000"/>
                <w:szCs w:val="24"/>
              </w:rPr>
            </w:pPr>
            <w:r>
              <w:rPr>
                <w:rFonts w:cs="Times New Roman"/>
                <w:color w:val="000000"/>
                <w:szCs w:val="24"/>
              </w:rPr>
              <w:t>98,22</w:t>
            </w:r>
          </w:p>
        </w:tc>
        <w:tc>
          <w:tcPr>
            <w:tcW w:w="6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1DD4BE" w14:textId="77777777" w:rsidR="00C82BCC" w:rsidRDefault="00C82BCC" w:rsidP="0016654D">
            <w:pPr>
              <w:spacing w:after="0" w:line="240" w:lineRule="auto"/>
              <w:jc w:val="center"/>
              <w:rPr>
                <w:rFonts w:cs="Times New Roman"/>
                <w:color w:val="000000"/>
                <w:szCs w:val="24"/>
              </w:rPr>
            </w:pPr>
            <w:r>
              <w:rPr>
                <w:rFonts w:cs="Times New Roman"/>
                <w:color w:val="000000"/>
                <w:szCs w:val="24"/>
              </w:rPr>
              <w:t>12</w:t>
            </w:r>
          </w:p>
        </w:tc>
        <w:tc>
          <w:tcPr>
            <w:tcW w:w="9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773D04" w14:textId="77777777" w:rsidR="00C82BCC" w:rsidRDefault="00C82BCC" w:rsidP="0016654D">
            <w:pPr>
              <w:spacing w:after="0" w:line="240" w:lineRule="auto"/>
              <w:jc w:val="center"/>
              <w:rPr>
                <w:rFonts w:cs="Times New Roman"/>
                <w:color w:val="000000"/>
                <w:szCs w:val="24"/>
              </w:rPr>
            </w:pPr>
            <w:r>
              <w:rPr>
                <w:rFonts w:cs="Times New Roman"/>
                <w:color w:val="000000"/>
                <w:szCs w:val="24"/>
              </w:rPr>
              <w:t>6,06</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E6C7A93"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A </w:t>
            </w:r>
          </w:p>
        </w:tc>
        <w:tc>
          <w:tcPr>
            <w:tcW w:w="3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2A7351E"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3AD7FF6"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212E5D3"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A0797E1"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r>
      <w:tr w:rsidR="00C82BCC" w14:paraId="52921323" w14:textId="77777777" w:rsidTr="004175F6">
        <w:trPr>
          <w:trHeight w:val="300"/>
        </w:trPr>
        <w:tc>
          <w:tcPr>
            <w:tcW w:w="111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597292" w14:textId="77777777" w:rsidR="00C82BCC" w:rsidRDefault="00C82BCC" w:rsidP="0016654D">
            <w:pPr>
              <w:spacing w:after="0" w:line="240" w:lineRule="auto"/>
              <w:jc w:val="center"/>
              <w:rPr>
                <w:rFonts w:cs="Times New Roman"/>
                <w:color w:val="000000"/>
                <w:szCs w:val="24"/>
              </w:rPr>
            </w:pPr>
            <w:r>
              <w:rPr>
                <w:rFonts w:cs="Times New Roman"/>
                <w:color w:val="000000"/>
                <w:szCs w:val="24"/>
              </w:rPr>
              <w:t>0</w:t>
            </w:r>
          </w:p>
        </w:tc>
        <w:tc>
          <w:tcPr>
            <w:tcW w:w="4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8D3B48" w14:textId="77777777" w:rsidR="00C82BCC" w:rsidRDefault="00C82BCC" w:rsidP="0016654D">
            <w:pPr>
              <w:spacing w:after="0" w:line="240" w:lineRule="auto"/>
              <w:jc w:val="center"/>
              <w:rPr>
                <w:rFonts w:cs="Times New Roman"/>
                <w:color w:val="000000"/>
                <w:szCs w:val="24"/>
              </w:rPr>
            </w:pPr>
            <w:r>
              <w:rPr>
                <w:rFonts w:cs="Times New Roman"/>
                <w:color w:val="000000"/>
                <w:szCs w:val="24"/>
              </w:rPr>
              <w:t>126,49</w:t>
            </w:r>
          </w:p>
        </w:tc>
        <w:tc>
          <w:tcPr>
            <w:tcW w:w="6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2816E4" w14:textId="77777777" w:rsidR="00C82BCC" w:rsidRDefault="00C82BCC" w:rsidP="0016654D">
            <w:pPr>
              <w:spacing w:after="0" w:line="240" w:lineRule="auto"/>
              <w:jc w:val="center"/>
              <w:rPr>
                <w:rFonts w:cs="Times New Roman"/>
                <w:color w:val="000000"/>
                <w:szCs w:val="24"/>
              </w:rPr>
            </w:pPr>
            <w:r>
              <w:rPr>
                <w:rFonts w:cs="Times New Roman"/>
                <w:color w:val="000000"/>
                <w:szCs w:val="24"/>
              </w:rPr>
              <w:t>22</w:t>
            </w:r>
          </w:p>
        </w:tc>
        <w:tc>
          <w:tcPr>
            <w:tcW w:w="9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030B96" w14:textId="77777777" w:rsidR="00C82BCC" w:rsidRDefault="00C82BCC" w:rsidP="0016654D">
            <w:pPr>
              <w:spacing w:after="0" w:line="240" w:lineRule="auto"/>
              <w:jc w:val="center"/>
              <w:rPr>
                <w:rFonts w:cs="Times New Roman"/>
                <w:color w:val="000000"/>
                <w:szCs w:val="24"/>
              </w:rPr>
            </w:pPr>
            <w:r>
              <w:rPr>
                <w:rFonts w:cs="Times New Roman"/>
                <w:color w:val="000000"/>
                <w:szCs w:val="24"/>
              </w:rPr>
              <w:t>4,49</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E03C8E"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32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7FDCDF"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B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48FCD9"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19069F"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1FC9EC"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r>
      <w:tr w:rsidR="00C82BCC" w14:paraId="639207C2" w14:textId="77777777" w:rsidTr="004175F6">
        <w:trPr>
          <w:trHeight w:val="300"/>
        </w:trPr>
        <w:tc>
          <w:tcPr>
            <w:tcW w:w="111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F50C97" w14:textId="77777777" w:rsidR="00C82BCC" w:rsidRDefault="00C82BCC" w:rsidP="0016654D">
            <w:pPr>
              <w:spacing w:after="0" w:line="240" w:lineRule="auto"/>
              <w:jc w:val="center"/>
              <w:rPr>
                <w:rFonts w:cs="Times New Roman"/>
                <w:color w:val="000000"/>
                <w:szCs w:val="24"/>
              </w:rPr>
            </w:pPr>
            <w:r>
              <w:rPr>
                <w:rFonts w:cs="Times New Roman"/>
                <w:color w:val="000000"/>
                <w:szCs w:val="24"/>
              </w:rPr>
              <w:t>30</w:t>
            </w:r>
          </w:p>
        </w:tc>
        <w:tc>
          <w:tcPr>
            <w:tcW w:w="4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F0E5C0" w14:textId="77777777" w:rsidR="00C82BCC" w:rsidRDefault="00C82BCC" w:rsidP="0016654D">
            <w:pPr>
              <w:spacing w:after="0" w:line="240" w:lineRule="auto"/>
              <w:jc w:val="center"/>
              <w:rPr>
                <w:rFonts w:cs="Times New Roman"/>
                <w:color w:val="000000"/>
                <w:szCs w:val="24"/>
              </w:rPr>
            </w:pPr>
            <w:r>
              <w:rPr>
                <w:rFonts w:cs="Times New Roman"/>
                <w:color w:val="000000"/>
                <w:szCs w:val="24"/>
              </w:rPr>
              <w:t>140,3</w:t>
            </w:r>
          </w:p>
        </w:tc>
        <w:tc>
          <w:tcPr>
            <w:tcW w:w="6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AB0257" w14:textId="77777777" w:rsidR="00C82BCC" w:rsidRDefault="00C82BCC" w:rsidP="0016654D">
            <w:pPr>
              <w:spacing w:after="0" w:line="240" w:lineRule="auto"/>
              <w:jc w:val="center"/>
              <w:rPr>
                <w:rFonts w:cs="Times New Roman"/>
                <w:color w:val="000000"/>
                <w:szCs w:val="24"/>
              </w:rPr>
            </w:pPr>
            <w:r>
              <w:rPr>
                <w:rFonts w:cs="Times New Roman"/>
                <w:color w:val="000000"/>
                <w:szCs w:val="24"/>
              </w:rPr>
              <w:t>1</w:t>
            </w:r>
          </w:p>
        </w:tc>
        <w:tc>
          <w:tcPr>
            <w:tcW w:w="9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85ACBB" w14:textId="77777777" w:rsidR="00C82BCC" w:rsidRDefault="00C82BCC" w:rsidP="0016654D">
            <w:pPr>
              <w:spacing w:after="0" w:line="240" w:lineRule="auto"/>
              <w:jc w:val="center"/>
              <w:rPr>
                <w:rFonts w:cs="Times New Roman"/>
                <w:color w:val="000000"/>
                <w:szCs w:val="24"/>
              </w:rPr>
            </w:pPr>
            <w:r>
              <w:rPr>
                <w:rFonts w:cs="Times New Roman"/>
                <w:color w:val="000000"/>
                <w:szCs w:val="24"/>
              </w:rPr>
              <w:t>20,47</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4055B4"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32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24B714"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B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904830"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C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2E560C"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A7C088"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r>
      <w:tr w:rsidR="00C82BCC" w14:paraId="4754165D" w14:textId="77777777" w:rsidTr="004175F6">
        <w:trPr>
          <w:trHeight w:val="300"/>
        </w:trPr>
        <w:tc>
          <w:tcPr>
            <w:tcW w:w="111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40876C" w14:textId="77777777" w:rsidR="00C82BCC" w:rsidRDefault="00C82BCC" w:rsidP="0016654D">
            <w:pPr>
              <w:spacing w:after="0" w:line="240" w:lineRule="auto"/>
              <w:jc w:val="center"/>
              <w:rPr>
                <w:rFonts w:cs="Times New Roman"/>
                <w:color w:val="000000"/>
                <w:szCs w:val="24"/>
              </w:rPr>
            </w:pPr>
            <w:r>
              <w:rPr>
                <w:rFonts w:cs="Times New Roman"/>
                <w:color w:val="000000"/>
                <w:szCs w:val="24"/>
              </w:rPr>
              <w:t>60</w:t>
            </w:r>
          </w:p>
        </w:tc>
        <w:tc>
          <w:tcPr>
            <w:tcW w:w="4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98344A" w14:textId="77777777" w:rsidR="00C82BCC" w:rsidRDefault="00C82BCC" w:rsidP="0016654D">
            <w:pPr>
              <w:spacing w:after="0" w:line="240" w:lineRule="auto"/>
              <w:jc w:val="center"/>
              <w:rPr>
                <w:rFonts w:cs="Times New Roman"/>
                <w:color w:val="000000"/>
                <w:szCs w:val="24"/>
              </w:rPr>
            </w:pPr>
            <w:r>
              <w:rPr>
                <w:rFonts w:cs="Times New Roman"/>
                <w:color w:val="000000"/>
                <w:szCs w:val="24"/>
              </w:rPr>
              <w:t>152,06</w:t>
            </w:r>
          </w:p>
        </w:tc>
        <w:tc>
          <w:tcPr>
            <w:tcW w:w="6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1AF709" w14:textId="77777777" w:rsidR="00C82BCC" w:rsidRDefault="00C82BCC" w:rsidP="0016654D">
            <w:pPr>
              <w:spacing w:after="0" w:line="240" w:lineRule="auto"/>
              <w:jc w:val="center"/>
              <w:rPr>
                <w:rFonts w:cs="Times New Roman"/>
                <w:color w:val="000000"/>
                <w:szCs w:val="24"/>
              </w:rPr>
            </w:pPr>
            <w:r>
              <w:rPr>
                <w:rFonts w:cs="Times New Roman"/>
                <w:color w:val="000000"/>
                <w:szCs w:val="24"/>
              </w:rPr>
              <w:t>31</w:t>
            </w:r>
          </w:p>
        </w:tc>
        <w:tc>
          <w:tcPr>
            <w:tcW w:w="9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8413A5" w14:textId="77777777" w:rsidR="00C82BCC" w:rsidRDefault="00C82BCC" w:rsidP="0016654D">
            <w:pPr>
              <w:spacing w:after="0" w:line="240" w:lineRule="auto"/>
              <w:jc w:val="center"/>
              <w:rPr>
                <w:rFonts w:cs="Times New Roman"/>
                <w:color w:val="000000"/>
                <w:szCs w:val="24"/>
              </w:rPr>
            </w:pPr>
            <w:r>
              <w:rPr>
                <w:rFonts w:cs="Times New Roman"/>
                <w:color w:val="000000"/>
                <w:szCs w:val="24"/>
              </w:rPr>
              <w:t>3,77</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F2990E"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32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E66814"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33B7BB"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C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1C736D"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84E50E"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r>
      <w:tr w:rsidR="00C82BCC" w14:paraId="7FBED015" w14:textId="77777777" w:rsidTr="004175F6">
        <w:trPr>
          <w:trHeight w:val="300"/>
        </w:trPr>
        <w:tc>
          <w:tcPr>
            <w:tcW w:w="111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EAC42D" w14:textId="77777777" w:rsidR="00C82BCC" w:rsidRDefault="00C82BCC" w:rsidP="0016654D">
            <w:pPr>
              <w:spacing w:after="0" w:line="240" w:lineRule="auto"/>
              <w:jc w:val="center"/>
              <w:rPr>
                <w:rFonts w:cs="Times New Roman"/>
                <w:color w:val="000000"/>
                <w:szCs w:val="24"/>
              </w:rPr>
            </w:pPr>
            <w:r>
              <w:rPr>
                <w:rFonts w:cs="Times New Roman"/>
                <w:color w:val="000000"/>
                <w:szCs w:val="24"/>
              </w:rPr>
              <w:t>40</w:t>
            </w:r>
          </w:p>
        </w:tc>
        <w:tc>
          <w:tcPr>
            <w:tcW w:w="4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74DCBE" w14:textId="77777777" w:rsidR="00C82BCC" w:rsidRDefault="00C82BCC" w:rsidP="0016654D">
            <w:pPr>
              <w:spacing w:after="0" w:line="240" w:lineRule="auto"/>
              <w:jc w:val="center"/>
              <w:rPr>
                <w:rFonts w:cs="Times New Roman"/>
                <w:color w:val="000000"/>
                <w:szCs w:val="24"/>
              </w:rPr>
            </w:pPr>
            <w:r>
              <w:rPr>
                <w:rFonts w:cs="Times New Roman"/>
                <w:color w:val="000000"/>
                <w:szCs w:val="24"/>
              </w:rPr>
              <w:t>193,42</w:t>
            </w:r>
          </w:p>
        </w:tc>
        <w:tc>
          <w:tcPr>
            <w:tcW w:w="6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456287" w14:textId="77777777" w:rsidR="00C82BCC" w:rsidRDefault="00C82BCC" w:rsidP="0016654D">
            <w:pPr>
              <w:spacing w:after="0" w:line="240" w:lineRule="auto"/>
              <w:jc w:val="center"/>
              <w:rPr>
                <w:rFonts w:cs="Times New Roman"/>
                <w:color w:val="000000"/>
                <w:szCs w:val="24"/>
              </w:rPr>
            </w:pPr>
            <w:r>
              <w:rPr>
                <w:rFonts w:cs="Times New Roman"/>
                <w:color w:val="000000"/>
                <w:szCs w:val="24"/>
              </w:rPr>
              <w:t>2</w:t>
            </w:r>
          </w:p>
        </w:tc>
        <w:tc>
          <w:tcPr>
            <w:tcW w:w="9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E1B879" w14:textId="77777777" w:rsidR="00C82BCC" w:rsidRDefault="00C82BCC" w:rsidP="0016654D">
            <w:pPr>
              <w:spacing w:after="0" w:line="240" w:lineRule="auto"/>
              <w:jc w:val="center"/>
              <w:rPr>
                <w:rFonts w:cs="Times New Roman"/>
                <w:color w:val="000000"/>
                <w:szCs w:val="24"/>
              </w:rPr>
            </w:pPr>
            <w:r>
              <w:rPr>
                <w:rFonts w:cs="Times New Roman"/>
                <w:color w:val="000000"/>
                <w:szCs w:val="24"/>
              </w:rPr>
              <w:t>14,47</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6ED539"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32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F6A852"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A44FF9"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9CB270"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D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764842"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r>
      <w:tr w:rsidR="00C82BCC" w14:paraId="3809370E" w14:textId="77777777" w:rsidTr="004175F6">
        <w:trPr>
          <w:trHeight w:val="300"/>
        </w:trPr>
        <w:tc>
          <w:tcPr>
            <w:tcW w:w="111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41BA1A" w14:textId="77777777" w:rsidR="00C82BCC" w:rsidRDefault="00C82BCC" w:rsidP="0016654D">
            <w:pPr>
              <w:spacing w:after="0" w:line="240" w:lineRule="auto"/>
              <w:jc w:val="center"/>
              <w:rPr>
                <w:rFonts w:cs="Times New Roman"/>
                <w:color w:val="000000"/>
                <w:szCs w:val="24"/>
              </w:rPr>
            </w:pPr>
            <w:r>
              <w:rPr>
                <w:rFonts w:cs="Times New Roman"/>
                <w:color w:val="000000"/>
                <w:szCs w:val="24"/>
              </w:rPr>
              <w:t>46</w:t>
            </w:r>
          </w:p>
        </w:tc>
        <w:tc>
          <w:tcPr>
            <w:tcW w:w="4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8D56AE" w14:textId="77777777" w:rsidR="00C82BCC" w:rsidRDefault="00C82BCC" w:rsidP="0016654D">
            <w:pPr>
              <w:spacing w:after="0" w:line="240" w:lineRule="auto"/>
              <w:jc w:val="center"/>
              <w:rPr>
                <w:rFonts w:cs="Times New Roman"/>
                <w:color w:val="000000"/>
                <w:szCs w:val="24"/>
              </w:rPr>
            </w:pPr>
            <w:r>
              <w:rPr>
                <w:rFonts w:cs="Times New Roman"/>
                <w:color w:val="000000"/>
                <w:szCs w:val="24"/>
              </w:rPr>
              <w:t>287,12</w:t>
            </w:r>
          </w:p>
        </w:tc>
        <w:tc>
          <w:tcPr>
            <w:tcW w:w="6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4325E1" w14:textId="77777777" w:rsidR="00C82BCC" w:rsidRDefault="00C82BCC" w:rsidP="0016654D">
            <w:pPr>
              <w:spacing w:after="0" w:line="240" w:lineRule="auto"/>
              <w:jc w:val="center"/>
              <w:rPr>
                <w:rFonts w:cs="Times New Roman"/>
                <w:color w:val="000000"/>
                <w:szCs w:val="24"/>
              </w:rPr>
            </w:pPr>
            <w:r>
              <w:rPr>
                <w:rFonts w:cs="Times New Roman"/>
                <w:color w:val="000000"/>
                <w:szCs w:val="24"/>
              </w:rPr>
              <w:t>1</w:t>
            </w:r>
          </w:p>
        </w:tc>
        <w:tc>
          <w:tcPr>
            <w:tcW w:w="95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110C51" w14:textId="77777777" w:rsidR="00C82BCC" w:rsidRDefault="00C82BCC" w:rsidP="0016654D">
            <w:pPr>
              <w:spacing w:after="0" w:line="240" w:lineRule="auto"/>
              <w:jc w:val="center"/>
              <w:rPr>
                <w:rFonts w:cs="Times New Roman"/>
                <w:color w:val="000000"/>
                <w:szCs w:val="24"/>
              </w:rPr>
            </w:pPr>
            <w:r>
              <w:rPr>
                <w:rFonts w:cs="Times New Roman"/>
                <w:color w:val="000000"/>
                <w:szCs w:val="24"/>
              </w:rPr>
              <w:t>20,47</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1268B4"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32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477CCF"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8BEC9E"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010D96"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  </w:t>
            </w:r>
          </w:p>
        </w:tc>
        <w:tc>
          <w:tcPr>
            <w:tcW w:w="40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73296F" w14:textId="77777777" w:rsidR="00C82BCC" w:rsidRDefault="00C82BCC" w:rsidP="0016654D">
            <w:pPr>
              <w:spacing w:after="0" w:line="240" w:lineRule="auto"/>
              <w:jc w:val="center"/>
              <w:rPr>
                <w:rFonts w:cs="Times New Roman"/>
                <w:color w:val="000000"/>
                <w:szCs w:val="24"/>
              </w:rPr>
            </w:pPr>
            <w:r>
              <w:rPr>
                <w:rFonts w:cs="Times New Roman"/>
                <w:color w:val="000000"/>
                <w:szCs w:val="24"/>
              </w:rPr>
              <w:t xml:space="preserve">E </w:t>
            </w:r>
          </w:p>
        </w:tc>
      </w:tr>
    </w:tbl>
    <w:p w14:paraId="7679D288" w14:textId="77777777" w:rsidR="0016654D" w:rsidRDefault="00C82BCC" w:rsidP="0016654D">
      <w:pPr>
        <w:autoSpaceDE w:val="0"/>
        <w:autoSpaceDN w:val="0"/>
        <w:adjustRightInd w:val="0"/>
        <w:spacing w:after="0" w:line="360" w:lineRule="auto"/>
        <w:rPr>
          <w:rFonts w:cs="Times New Roman"/>
          <w:szCs w:val="24"/>
        </w:rPr>
      </w:pPr>
      <w:r>
        <w:rPr>
          <w:rFonts w:cs="Times New Roman"/>
          <w:szCs w:val="24"/>
        </w:rPr>
        <w:t xml:space="preserve"> Medias con una letra común no son significa</w:t>
      </w:r>
      <w:bookmarkStart w:id="1886" w:name="_Toc72704662"/>
      <w:bookmarkStart w:id="1887" w:name="_Toc72706368"/>
      <w:bookmarkStart w:id="1888" w:name="_Toc72741318"/>
      <w:bookmarkStart w:id="1889" w:name="_Toc72742116"/>
      <w:bookmarkStart w:id="1890" w:name="_Toc72881270"/>
      <w:bookmarkStart w:id="1891" w:name="_Toc72882723"/>
      <w:bookmarkStart w:id="1892" w:name="_Toc75606510"/>
      <w:bookmarkStart w:id="1893" w:name="_Toc75612835"/>
      <w:bookmarkStart w:id="1894" w:name="_Toc75679991"/>
      <w:bookmarkStart w:id="1895" w:name="_Toc75702599"/>
      <w:r w:rsidR="004175F6">
        <w:rPr>
          <w:rFonts w:cs="Times New Roman"/>
          <w:szCs w:val="24"/>
        </w:rPr>
        <w:t>tivamente diferentes (p &gt; 0,05)</w:t>
      </w:r>
      <w:bookmarkStart w:id="1896" w:name="_Toc79314117"/>
      <w:bookmarkEnd w:id="1886"/>
      <w:bookmarkEnd w:id="1887"/>
      <w:bookmarkEnd w:id="1888"/>
      <w:bookmarkEnd w:id="1889"/>
      <w:bookmarkEnd w:id="1890"/>
      <w:bookmarkEnd w:id="1891"/>
      <w:bookmarkEnd w:id="1892"/>
      <w:bookmarkEnd w:id="1893"/>
      <w:bookmarkEnd w:id="1894"/>
      <w:bookmarkEnd w:id="1895"/>
    </w:p>
    <w:p w14:paraId="13645AC5" w14:textId="1DDCB308" w:rsidR="004175F6" w:rsidRPr="0016654D" w:rsidRDefault="004175F6" w:rsidP="0016654D">
      <w:pPr>
        <w:autoSpaceDE w:val="0"/>
        <w:autoSpaceDN w:val="0"/>
        <w:adjustRightInd w:val="0"/>
        <w:spacing w:before="360" w:after="0" w:line="360" w:lineRule="auto"/>
        <w:rPr>
          <w:rFonts w:cs="Times New Roman"/>
          <w:szCs w:val="24"/>
        </w:rPr>
      </w:pPr>
      <w:r w:rsidRPr="004175F6">
        <w:rPr>
          <w:rFonts w:cs="Times New Roman"/>
          <w:b/>
          <w:szCs w:val="24"/>
        </w:rPr>
        <w:t xml:space="preserve">Cuadro </w:t>
      </w:r>
      <w:r w:rsidRPr="004175F6">
        <w:rPr>
          <w:rFonts w:cs="Times New Roman"/>
          <w:b/>
          <w:i/>
          <w:iCs/>
          <w:szCs w:val="24"/>
        </w:rPr>
        <w:fldChar w:fldCharType="begin"/>
      </w:r>
      <w:r w:rsidRPr="004175F6">
        <w:rPr>
          <w:rFonts w:cs="Times New Roman"/>
          <w:b/>
          <w:szCs w:val="24"/>
        </w:rPr>
        <w:instrText xml:space="preserve"> SEQ Cuadro \* ARABIC </w:instrText>
      </w:r>
      <w:r w:rsidRPr="004175F6">
        <w:rPr>
          <w:rFonts w:cs="Times New Roman"/>
          <w:b/>
          <w:i/>
          <w:iCs/>
          <w:szCs w:val="24"/>
        </w:rPr>
        <w:fldChar w:fldCharType="separate"/>
      </w:r>
      <w:r w:rsidR="000D1F55">
        <w:rPr>
          <w:rFonts w:cs="Times New Roman"/>
          <w:b/>
          <w:noProof/>
          <w:szCs w:val="24"/>
        </w:rPr>
        <w:t>125</w:t>
      </w:r>
      <w:r w:rsidRPr="004175F6">
        <w:rPr>
          <w:rFonts w:cs="Times New Roman"/>
          <w:b/>
          <w:i/>
          <w:iCs/>
          <w:szCs w:val="24"/>
        </w:rPr>
        <w:fldChar w:fldCharType="end"/>
      </w:r>
      <w:r w:rsidRPr="004175F6">
        <w:rPr>
          <w:rFonts w:cs="Times New Roman"/>
          <w:b/>
          <w:szCs w:val="24"/>
        </w:rPr>
        <w:t>.</w:t>
      </w:r>
      <w:r w:rsidRPr="004175F6">
        <w:rPr>
          <w:rFonts w:cs="Times New Roman"/>
          <w:szCs w:val="24"/>
        </w:rPr>
        <w:t xml:space="preserve"> Dosis de potasio empleada en el ensayo</w:t>
      </w:r>
      <w:bookmarkEnd w:id="1896"/>
    </w:p>
    <w:tbl>
      <w:tblPr>
        <w:tblW w:w="5000" w:type="pct"/>
        <w:jc w:val="center"/>
        <w:tblCellMar>
          <w:left w:w="70" w:type="dxa"/>
          <w:right w:w="70" w:type="dxa"/>
        </w:tblCellMar>
        <w:tblLook w:val="04A0" w:firstRow="1" w:lastRow="0" w:firstColumn="1" w:lastColumn="0" w:noHBand="0" w:noVBand="1"/>
      </w:tblPr>
      <w:tblGrid>
        <w:gridCol w:w="1975"/>
        <w:gridCol w:w="887"/>
        <w:gridCol w:w="534"/>
        <w:gridCol w:w="2128"/>
        <w:gridCol w:w="379"/>
        <w:gridCol w:w="1127"/>
        <w:gridCol w:w="897"/>
      </w:tblGrid>
      <w:tr w:rsidR="00C82BCC" w14:paraId="37E3B1F7" w14:textId="77777777" w:rsidTr="000D1088">
        <w:trPr>
          <w:trHeight w:val="300"/>
          <w:jc w:val="center"/>
        </w:trPr>
        <w:tc>
          <w:tcPr>
            <w:tcW w:w="1246" w:type="pct"/>
            <w:tcBorders>
              <w:top w:val="single" w:sz="4" w:space="0" w:color="auto"/>
              <w:left w:val="single" w:sz="4" w:space="0" w:color="auto"/>
              <w:bottom w:val="single" w:sz="4" w:space="0" w:color="auto"/>
              <w:right w:val="single" w:sz="4" w:space="0" w:color="auto"/>
            </w:tcBorders>
            <w:noWrap/>
            <w:vAlign w:val="bottom"/>
            <w:hideMark/>
          </w:tcPr>
          <w:p w14:paraId="433BBAC3"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59" w:type="pct"/>
            <w:tcBorders>
              <w:top w:val="single" w:sz="4" w:space="0" w:color="auto"/>
              <w:left w:val="nil"/>
              <w:bottom w:val="single" w:sz="4" w:space="0" w:color="auto"/>
              <w:right w:val="single" w:sz="4" w:space="0" w:color="auto"/>
            </w:tcBorders>
            <w:noWrap/>
            <w:vAlign w:val="bottom"/>
            <w:hideMark/>
          </w:tcPr>
          <w:p w14:paraId="65789F35"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337" w:type="pct"/>
            <w:tcBorders>
              <w:top w:val="single" w:sz="4" w:space="0" w:color="auto"/>
              <w:left w:val="nil"/>
              <w:bottom w:val="single" w:sz="4" w:space="0" w:color="auto"/>
              <w:right w:val="single" w:sz="4" w:space="0" w:color="auto"/>
            </w:tcBorders>
            <w:noWrap/>
            <w:vAlign w:val="bottom"/>
            <w:hideMark/>
          </w:tcPr>
          <w:p w14:paraId="5F80A252"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342" w:type="pct"/>
            <w:tcBorders>
              <w:top w:val="single" w:sz="4" w:space="0" w:color="auto"/>
              <w:left w:val="nil"/>
              <w:bottom w:val="single" w:sz="4" w:space="0" w:color="auto"/>
              <w:right w:val="single" w:sz="4" w:space="0" w:color="auto"/>
            </w:tcBorders>
            <w:noWrap/>
            <w:vAlign w:val="bottom"/>
            <w:hideMark/>
          </w:tcPr>
          <w:p w14:paraId="64E01D78"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239" w:type="pct"/>
            <w:tcBorders>
              <w:top w:val="single" w:sz="4" w:space="0" w:color="auto"/>
              <w:left w:val="single" w:sz="4" w:space="0" w:color="auto"/>
              <w:bottom w:val="single" w:sz="4" w:space="0" w:color="auto"/>
              <w:right w:val="nil"/>
            </w:tcBorders>
            <w:noWrap/>
            <w:vAlign w:val="bottom"/>
            <w:hideMark/>
          </w:tcPr>
          <w:p w14:paraId="04D78433"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711" w:type="pct"/>
            <w:tcBorders>
              <w:top w:val="single" w:sz="4" w:space="0" w:color="auto"/>
              <w:left w:val="nil"/>
              <w:bottom w:val="single" w:sz="4" w:space="0" w:color="auto"/>
              <w:right w:val="nil"/>
            </w:tcBorders>
            <w:noWrap/>
            <w:vAlign w:val="bottom"/>
            <w:hideMark/>
          </w:tcPr>
          <w:p w14:paraId="5AF758D1"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Lsd 0,05</w:t>
            </w:r>
          </w:p>
        </w:tc>
        <w:tc>
          <w:tcPr>
            <w:tcW w:w="566" w:type="pct"/>
            <w:tcBorders>
              <w:top w:val="single" w:sz="4" w:space="0" w:color="auto"/>
              <w:left w:val="nil"/>
              <w:bottom w:val="single" w:sz="4" w:space="0" w:color="auto"/>
              <w:right w:val="single" w:sz="4" w:space="0" w:color="auto"/>
            </w:tcBorders>
            <w:noWrap/>
            <w:vAlign w:val="bottom"/>
            <w:hideMark/>
          </w:tcPr>
          <w:p w14:paraId="5E171DEB"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5E64280F" w14:textId="77777777" w:rsidTr="000D1088">
        <w:trPr>
          <w:trHeight w:val="300"/>
          <w:jc w:val="center"/>
        </w:trPr>
        <w:tc>
          <w:tcPr>
            <w:tcW w:w="1246" w:type="pct"/>
            <w:tcBorders>
              <w:top w:val="nil"/>
              <w:left w:val="single" w:sz="4" w:space="0" w:color="auto"/>
              <w:bottom w:val="single" w:sz="4" w:space="0" w:color="auto"/>
              <w:right w:val="single" w:sz="4" w:space="0" w:color="auto"/>
            </w:tcBorders>
            <w:noWrap/>
            <w:vAlign w:val="bottom"/>
            <w:hideMark/>
          </w:tcPr>
          <w:p w14:paraId="352F124B"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559" w:type="pct"/>
            <w:tcBorders>
              <w:top w:val="nil"/>
              <w:left w:val="nil"/>
              <w:bottom w:val="single" w:sz="4" w:space="0" w:color="auto"/>
              <w:right w:val="single" w:sz="4" w:space="0" w:color="auto"/>
            </w:tcBorders>
            <w:noWrap/>
            <w:vAlign w:val="bottom"/>
            <w:hideMark/>
          </w:tcPr>
          <w:p w14:paraId="69DD9E9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86,71</w:t>
            </w:r>
          </w:p>
        </w:tc>
        <w:tc>
          <w:tcPr>
            <w:tcW w:w="337" w:type="pct"/>
            <w:tcBorders>
              <w:top w:val="nil"/>
              <w:left w:val="nil"/>
              <w:bottom w:val="single" w:sz="4" w:space="0" w:color="auto"/>
              <w:right w:val="single" w:sz="4" w:space="0" w:color="auto"/>
            </w:tcBorders>
            <w:noWrap/>
            <w:vAlign w:val="bottom"/>
            <w:hideMark/>
          </w:tcPr>
          <w:p w14:paraId="761ABEEE"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342" w:type="pct"/>
            <w:tcBorders>
              <w:top w:val="nil"/>
              <w:left w:val="nil"/>
              <w:bottom w:val="single" w:sz="4" w:space="0" w:color="auto"/>
              <w:right w:val="single" w:sz="4" w:space="0" w:color="auto"/>
            </w:tcBorders>
            <w:noWrap/>
            <w:vAlign w:val="bottom"/>
            <w:hideMark/>
          </w:tcPr>
          <w:p w14:paraId="7B1B9EC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8,36</w:t>
            </w:r>
          </w:p>
        </w:tc>
        <w:tc>
          <w:tcPr>
            <w:tcW w:w="239" w:type="pct"/>
            <w:tcBorders>
              <w:top w:val="single" w:sz="4" w:space="0" w:color="auto"/>
              <w:left w:val="nil"/>
              <w:bottom w:val="single" w:sz="4" w:space="0" w:color="auto"/>
              <w:right w:val="single" w:sz="4" w:space="0" w:color="auto"/>
            </w:tcBorders>
            <w:noWrap/>
            <w:vAlign w:val="bottom"/>
            <w:hideMark/>
          </w:tcPr>
          <w:p w14:paraId="6DA63A56"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711" w:type="pct"/>
            <w:tcBorders>
              <w:top w:val="single" w:sz="4" w:space="0" w:color="auto"/>
              <w:left w:val="nil"/>
              <w:bottom w:val="single" w:sz="4" w:space="0" w:color="auto"/>
              <w:right w:val="single" w:sz="4" w:space="0" w:color="auto"/>
            </w:tcBorders>
            <w:noWrap/>
            <w:vAlign w:val="bottom"/>
            <w:hideMark/>
          </w:tcPr>
          <w:p w14:paraId="1D18E88F"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6" w:type="pct"/>
            <w:tcBorders>
              <w:top w:val="single" w:sz="4" w:space="0" w:color="auto"/>
              <w:left w:val="nil"/>
              <w:bottom w:val="single" w:sz="4" w:space="0" w:color="auto"/>
              <w:right w:val="single" w:sz="4" w:space="0" w:color="auto"/>
            </w:tcBorders>
            <w:noWrap/>
            <w:vAlign w:val="bottom"/>
            <w:hideMark/>
          </w:tcPr>
          <w:p w14:paraId="5F9E7E6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3E72C04" w14:textId="77777777" w:rsidTr="000D1088">
        <w:trPr>
          <w:trHeight w:val="300"/>
          <w:jc w:val="center"/>
        </w:trPr>
        <w:tc>
          <w:tcPr>
            <w:tcW w:w="1246" w:type="pct"/>
            <w:tcBorders>
              <w:top w:val="nil"/>
              <w:left w:val="single" w:sz="4" w:space="0" w:color="auto"/>
              <w:bottom w:val="single" w:sz="4" w:space="0" w:color="auto"/>
              <w:right w:val="single" w:sz="4" w:space="0" w:color="auto"/>
            </w:tcBorders>
            <w:noWrap/>
            <w:vAlign w:val="bottom"/>
            <w:hideMark/>
          </w:tcPr>
          <w:p w14:paraId="43619DD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59" w:type="pct"/>
            <w:tcBorders>
              <w:top w:val="nil"/>
              <w:left w:val="nil"/>
              <w:bottom w:val="single" w:sz="4" w:space="0" w:color="auto"/>
              <w:right w:val="single" w:sz="4" w:space="0" w:color="auto"/>
            </w:tcBorders>
            <w:noWrap/>
            <w:vAlign w:val="bottom"/>
            <w:hideMark/>
          </w:tcPr>
          <w:p w14:paraId="12F12B8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121,32</w:t>
            </w:r>
          </w:p>
        </w:tc>
        <w:tc>
          <w:tcPr>
            <w:tcW w:w="337" w:type="pct"/>
            <w:tcBorders>
              <w:top w:val="nil"/>
              <w:left w:val="nil"/>
              <w:bottom w:val="single" w:sz="4" w:space="0" w:color="auto"/>
              <w:right w:val="single" w:sz="4" w:space="0" w:color="auto"/>
            </w:tcBorders>
            <w:noWrap/>
            <w:vAlign w:val="bottom"/>
            <w:hideMark/>
          </w:tcPr>
          <w:p w14:paraId="491ECB0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342" w:type="pct"/>
            <w:tcBorders>
              <w:top w:val="nil"/>
              <w:left w:val="nil"/>
              <w:bottom w:val="single" w:sz="4" w:space="0" w:color="auto"/>
              <w:right w:val="single" w:sz="4" w:space="0" w:color="auto"/>
            </w:tcBorders>
            <w:noWrap/>
            <w:vAlign w:val="bottom"/>
            <w:hideMark/>
          </w:tcPr>
          <w:p w14:paraId="3D5EC8B8"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4,72</w:t>
            </w:r>
          </w:p>
        </w:tc>
        <w:tc>
          <w:tcPr>
            <w:tcW w:w="239" w:type="pct"/>
            <w:tcBorders>
              <w:top w:val="nil"/>
              <w:left w:val="nil"/>
              <w:bottom w:val="single" w:sz="4" w:space="0" w:color="auto"/>
              <w:right w:val="single" w:sz="4" w:space="0" w:color="auto"/>
            </w:tcBorders>
            <w:noWrap/>
            <w:vAlign w:val="bottom"/>
            <w:hideMark/>
          </w:tcPr>
          <w:p w14:paraId="78470F23"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11" w:type="pct"/>
            <w:tcBorders>
              <w:top w:val="nil"/>
              <w:left w:val="nil"/>
              <w:bottom w:val="single" w:sz="4" w:space="0" w:color="auto"/>
              <w:right w:val="single" w:sz="4" w:space="0" w:color="auto"/>
            </w:tcBorders>
            <w:noWrap/>
            <w:vAlign w:val="bottom"/>
            <w:hideMark/>
          </w:tcPr>
          <w:p w14:paraId="591C98D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66" w:type="pct"/>
            <w:tcBorders>
              <w:top w:val="nil"/>
              <w:left w:val="nil"/>
              <w:bottom w:val="single" w:sz="4" w:space="0" w:color="auto"/>
              <w:right w:val="single" w:sz="4" w:space="0" w:color="auto"/>
            </w:tcBorders>
            <w:noWrap/>
            <w:vAlign w:val="bottom"/>
            <w:hideMark/>
          </w:tcPr>
          <w:p w14:paraId="391F615E"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141B38A" w14:textId="77777777" w:rsidTr="000D1088">
        <w:trPr>
          <w:trHeight w:val="300"/>
          <w:jc w:val="center"/>
        </w:trPr>
        <w:tc>
          <w:tcPr>
            <w:tcW w:w="1246" w:type="pct"/>
            <w:tcBorders>
              <w:top w:val="nil"/>
              <w:left w:val="single" w:sz="4" w:space="0" w:color="auto"/>
              <w:bottom w:val="single" w:sz="4" w:space="0" w:color="auto"/>
              <w:right w:val="single" w:sz="4" w:space="0" w:color="auto"/>
            </w:tcBorders>
            <w:noWrap/>
            <w:vAlign w:val="bottom"/>
            <w:hideMark/>
          </w:tcPr>
          <w:p w14:paraId="56905943"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559" w:type="pct"/>
            <w:tcBorders>
              <w:top w:val="nil"/>
              <w:left w:val="nil"/>
              <w:bottom w:val="single" w:sz="4" w:space="0" w:color="auto"/>
              <w:right w:val="single" w:sz="4" w:space="0" w:color="auto"/>
            </w:tcBorders>
            <w:noWrap/>
            <w:vAlign w:val="bottom"/>
            <w:hideMark/>
          </w:tcPr>
          <w:p w14:paraId="7ABD47F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155,71</w:t>
            </w:r>
          </w:p>
        </w:tc>
        <w:tc>
          <w:tcPr>
            <w:tcW w:w="337" w:type="pct"/>
            <w:tcBorders>
              <w:top w:val="nil"/>
              <w:left w:val="nil"/>
              <w:bottom w:val="single" w:sz="4" w:space="0" w:color="auto"/>
              <w:right w:val="single" w:sz="4" w:space="0" w:color="auto"/>
            </w:tcBorders>
            <w:noWrap/>
            <w:vAlign w:val="bottom"/>
            <w:hideMark/>
          </w:tcPr>
          <w:p w14:paraId="4A7DB1E8"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1342" w:type="pct"/>
            <w:tcBorders>
              <w:top w:val="nil"/>
              <w:left w:val="nil"/>
              <w:bottom w:val="single" w:sz="4" w:space="0" w:color="auto"/>
              <w:right w:val="single" w:sz="4" w:space="0" w:color="auto"/>
            </w:tcBorders>
            <w:noWrap/>
            <w:vAlign w:val="bottom"/>
            <w:hideMark/>
          </w:tcPr>
          <w:p w14:paraId="531EE48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4,04</w:t>
            </w:r>
          </w:p>
        </w:tc>
        <w:tc>
          <w:tcPr>
            <w:tcW w:w="239" w:type="pct"/>
            <w:tcBorders>
              <w:top w:val="nil"/>
              <w:left w:val="nil"/>
              <w:bottom w:val="single" w:sz="4" w:space="0" w:color="auto"/>
              <w:right w:val="single" w:sz="4" w:space="0" w:color="auto"/>
            </w:tcBorders>
            <w:noWrap/>
            <w:vAlign w:val="bottom"/>
            <w:hideMark/>
          </w:tcPr>
          <w:p w14:paraId="6331E15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11" w:type="pct"/>
            <w:tcBorders>
              <w:top w:val="nil"/>
              <w:left w:val="nil"/>
              <w:bottom w:val="single" w:sz="4" w:space="0" w:color="auto"/>
              <w:right w:val="single" w:sz="4" w:space="0" w:color="auto"/>
            </w:tcBorders>
            <w:noWrap/>
            <w:vAlign w:val="bottom"/>
            <w:hideMark/>
          </w:tcPr>
          <w:p w14:paraId="0B9DA4D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6" w:type="pct"/>
            <w:tcBorders>
              <w:top w:val="nil"/>
              <w:left w:val="nil"/>
              <w:bottom w:val="single" w:sz="4" w:space="0" w:color="auto"/>
              <w:right w:val="single" w:sz="4" w:space="0" w:color="auto"/>
            </w:tcBorders>
            <w:noWrap/>
            <w:vAlign w:val="bottom"/>
            <w:hideMark/>
          </w:tcPr>
          <w:p w14:paraId="39C9795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C82BCC" w14:paraId="7E775B1D" w14:textId="77777777" w:rsidTr="000D1088">
        <w:trPr>
          <w:trHeight w:val="300"/>
          <w:jc w:val="center"/>
        </w:trPr>
        <w:tc>
          <w:tcPr>
            <w:tcW w:w="1246" w:type="pct"/>
            <w:tcBorders>
              <w:top w:val="nil"/>
              <w:left w:val="single" w:sz="4" w:space="0" w:color="auto"/>
              <w:bottom w:val="single" w:sz="4" w:space="0" w:color="auto"/>
              <w:right w:val="single" w:sz="4" w:space="0" w:color="auto"/>
            </w:tcBorders>
            <w:noWrap/>
            <w:vAlign w:val="bottom"/>
            <w:hideMark/>
          </w:tcPr>
          <w:p w14:paraId="509164F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559" w:type="pct"/>
            <w:tcBorders>
              <w:top w:val="nil"/>
              <w:left w:val="nil"/>
              <w:bottom w:val="single" w:sz="4" w:space="0" w:color="auto"/>
              <w:right w:val="single" w:sz="4" w:space="0" w:color="auto"/>
            </w:tcBorders>
            <w:noWrap/>
            <w:vAlign w:val="bottom"/>
            <w:hideMark/>
          </w:tcPr>
          <w:p w14:paraId="74DA20AE"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161,21</w:t>
            </w:r>
          </w:p>
        </w:tc>
        <w:tc>
          <w:tcPr>
            <w:tcW w:w="337" w:type="pct"/>
            <w:tcBorders>
              <w:top w:val="nil"/>
              <w:left w:val="nil"/>
              <w:bottom w:val="single" w:sz="4" w:space="0" w:color="auto"/>
              <w:right w:val="single" w:sz="4" w:space="0" w:color="auto"/>
            </w:tcBorders>
            <w:noWrap/>
            <w:vAlign w:val="bottom"/>
            <w:hideMark/>
          </w:tcPr>
          <w:p w14:paraId="6F24A22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342" w:type="pct"/>
            <w:tcBorders>
              <w:top w:val="nil"/>
              <w:left w:val="nil"/>
              <w:bottom w:val="single" w:sz="4" w:space="0" w:color="auto"/>
              <w:right w:val="single" w:sz="4" w:space="0" w:color="auto"/>
            </w:tcBorders>
            <w:noWrap/>
            <w:vAlign w:val="bottom"/>
            <w:hideMark/>
          </w:tcPr>
          <w:p w14:paraId="6B6E98FF"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5,33</w:t>
            </w:r>
          </w:p>
        </w:tc>
        <w:tc>
          <w:tcPr>
            <w:tcW w:w="239" w:type="pct"/>
            <w:tcBorders>
              <w:top w:val="nil"/>
              <w:left w:val="nil"/>
              <w:bottom w:val="single" w:sz="4" w:space="0" w:color="auto"/>
              <w:right w:val="single" w:sz="4" w:space="0" w:color="auto"/>
            </w:tcBorders>
            <w:noWrap/>
            <w:vAlign w:val="bottom"/>
            <w:hideMark/>
          </w:tcPr>
          <w:p w14:paraId="0CF06A3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11" w:type="pct"/>
            <w:tcBorders>
              <w:top w:val="nil"/>
              <w:left w:val="nil"/>
              <w:bottom w:val="single" w:sz="4" w:space="0" w:color="auto"/>
              <w:right w:val="single" w:sz="4" w:space="0" w:color="auto"/>
            </w:tcBorders>
            <w:noWrap/>
            <w:vAlign w:val="bottom"/>
            <w:hideMark/>
          </w:tcPr>
          <w:p w14:paraId="7E26C7DE"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6" w:type="pct"/>
            <w:tcBorders>
              <w:top w:val="nil"/>
              <w:left w:val="nil"/>
              <w:bottom w:val="single" w:sz="4" w:space="0" w:color="auto"/>
              <w:right w:val="single" w:sz="4" w:space="0" w:color="auto"/>
            </w:tcBorders>
            <w:noWrap/>
            <w:vAlign w:val="bottom"/>
            <w:hideMark/>
          </w:tcPr>
          <w:p w14:paraId="30CE8955"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57983DC3" w14:textId="77777777" w:rsidR="0016654D" w:rsidRDefault="00C82BCC" w:rsidP="0016654D">
      <w:pPr>
        <w:autoSpaceDE w:val="0"/>
        <w:autoSpaceDN w:val="0"/>
        <w:adjustRightInd w:val="0"/>
        <w:spacing w:after="0" w:line="360" w:lineRule="auto"/>
        <w:rPr>
          <w:rFonts w:cs="Times New Roman"/>
          <w:szCs w:val="24"/>
        </w:rPr>
      </w:pPr>
      <w:r>
        <w:rPr>
          <w:rFonts w:cs="Times New Roman"/>
          <w:szCs w:val="24"/>
        </w:rPr>
        <w:t>Medias con una letra común no son significat</w:t>
      </w:r>
      <w:r w:rsidR="004175F6">
        <w:rPr>
          <w:rFonts w:cs="Times New Roman"/>
          <w:szCs w:val="24"/>
        </w:rPr>
        <w:t>ivamente diferentes (p &gt; 0,05)</w:t>
      </w:r>
      <w:bookmarkStart w:id="1897" w:name="_Toc79314118"/>
    </w:p>
    <w:p w14:paraId="70C69639" w14:textId="51870E4A" w:rsidR="004175F6" w:rsidRPr="0016654D" w:rsidRDefault="004175F6" w:rsidP="0016654D">
      <w:pPr>
        <w:autoSpaceDE w:val="0"/>
        <w:autoSpaceDN w:val="0"/>
        <w:adjustRightInd w:val="0"/>
        <w:spacing w:before="360" w:after="0" w:line="360" w:lineRule="auto"/>
        <w:rPr>
          <w:rFonts w:cs="Times New Roman"/>
          <w:szCs w:val="24"/>
        </w:rPr>
      </w:pPr>
      <w:r w:rsidRPr="004175F6">
        <w:rPr>
          <w:rFonts w:cs="Times New Roman"/>
          <w:b/>
          <w:szCs w:val="24"/>
        </w:rPr>
        <w:t xml:space="preserve">Cuadro </w:t>
      </w:r>
      <w:r w:rsidRPr="004175F6">
        <w:rPr>
          <w:rFonts w:cs="Times New Roman"/>
          <w:b/>
          <w:i/>
          <w:iCs/>
          <w:szCs w:val="24"/>
        </w:rPr>
        <w:fldChar w:fldCharType="begin"/>
      </w:r>
      <w:r w:rsidRPr="004175F6">
        <w:rPr>
          <w:rFonts w:cs="Times New Roman"/>
          <w:b/>
          <w:szCs w:val="24"/>
        </w:rPr>
        <w:instrText xml:space="preserve"> SEQ Cuadro \* ARABIC </w:instrText>
      </w:r>
      <w:r w:rsidRPr="004175F6">
        <w:rPr>
          <w:rFonts w:cs="Times New Roman"/>
          <w:b/>
          <w:i/>
          <w:iCs/>
          <w:szCs w:val="24"/>
        </w:rPr>
        <w:fldChar w:fldCharType="separate"/>
      </w:r>
      <w:r w:rsidR="000D1F55">
        <w:rPr>
          <w:rFonts w:cs="Times New Roman"/>
          <w:b/>
          <w:noProof/>
          <w:szCs w:val="24"/>
        </w:rPr>
        <w:t>126</w:t>
      </w:r>
      <w:r w:rsidRPr="004175F6">
        <w:rPr>
          <w:rFonts w:cs="Times New Roman"/>
          <w:b/>
          <w:i/>
          <w:iCs/>
          <w:szCs w:val="24"/>
        </w:rPr>
        <w:fldChar w:fldCharType="end"/>
      </w:r>
      <w:r w:rsidRPr="004175F6">
        <w:rPr>
          <w:rFonts w:cs="Times New Roman"/>
          <w:b/>
          <w:szCs w:val="24"/>
        </w:rPr>
        <w:t xml:space="preserve">. </w:t>
      </w:r>
      <w:r w:rsidRPr="004175F6">
        <w:rPr>
          <w:rFonts w:cs="Times New Roman"/>
          <w:szCs w:val="24"/>
        </w:rPr>
        <w:t>Absorción total de potasio de maíz suave para diversas dosis de azufre evaluadas en la provincia de Imbabura 2010-2015.</w:t>
      </w:r>
      <w:bookmarkEnd w:id="1897"/>
    </w:p>
    <w:tbl>
      <w:tblPr>
        <w:tblW w:w="5949" w:type="dxa"/>
        <w:jc w:val="center"/>
        <w:tblCellMar>
          <w:left w:w="0" w:type="dxa"/>
          <w:right w:w="0" w:type="dxa"/>
        </w:tblCellMar>
        <w:tblLook w:val="04A0" w:firstRow="1" w:lastRow="0" w:firstColumn="1" w:lastColumn="0" w:noHBand="0" w:noVBand="1"/>
      </w:tblPr>
      <w:tblGrid>
        <w:gridCol w:w="1838"/>
        <w:gridCol w:w="1276"/>
        <w:gridCol w:w="701"/>
        <w:gridCol w:w="2134"/>
      </w:tblGrid>
      <w:tr w:rsidR="00C82BCC" w14:paraId="1B579A01" w14:textId="77777777" w:rsidTr="0017595D">
        <w:trPr>
          <w:trHeight w:val="300"/>
          <w:jc w:val="center"/>
        </w:trPr>
        <w:tc>
          <w:tcPr>
            <w:tcW w:w="183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750451"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 xml:space="preserve">Dosis S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03350C0"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Medias</w:t>
            </w:r>
          </w:p>
        </w:tc>
        <w:tc>
          <w:tcPr>
            <w:tcW w:w="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BAD8780" w14:textId="77777777" w:rsidR="00C82BCC" w:rsidRDefault="00C82BCC" w:rsidP="0016654D">
            <w:pPr>
              <w:spacing w:after="0" w:line="240" w:lineRule="auto"/>
              <w:jc w:val="center"/>
              <w:rPr>
                <w:rFonts w:cs="Times New Roman"/>
                <w:b/>
                <w:bCs/>
                <w:color w:val="000000"/>
                <w:szCs w:val="24"/>
              </w:rPr>
            </w:pPr>
            <w:r>
              <w:rPr>
                <w:rFonts w:cs="Times New Roman"/>
                <w:b/>
                <w:bCs/>
                <w:color w:val="000000"/>
                <w:szCs w:val="24"/>
              </w:rPr>
              <w:t xml:space="preserve">n </w:t>
            </w:r>
          </w:p>
        </w:tc>
        <w:tc>
          <w:tcPr>
            <w:tcW w:w="2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B342AB7" w14:textId="77777777" w:rsidR="00C82BCC" w:rsidRDefault="00C82BCC" w:rsidP="0016654D">
            <w:pPr>
              <w:spacing w:after="0" w:line="240" w:lineRule="auto"/>
              <w:jc w:val="center"/>
              <w:rPr>
                <w:rFonts w:cs="Times New Roman"/>
                <w:b/>
                <w:bCs/>
                <w:color w:val="000000"/>
                <w:szCs w:val="24"/>
              </w:rPr>
            </w:pPr>
            <w:r>
              <w:rPr>
                <w:rFonts w:eastAsia="Times New Roman" w:cs="Times New Roman"/>
                <w:b/>
                <w:bCs/>
                <w:color w:val="000000"/>
                <w:szCs w:val="24"/>
                <w:lang w:eastAsia="es-EC"/>
              </w:rPr>
              <w:t>Error estándar</w:t>
            </w:r>
          </w:p>
        </w:tc>
      </w:tr>
      <w:tr w:rsidR="00C82BCC" w14:paraId="3423E635" w14:textId="77777777" w:rsidTr="0017595D">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BBE505" w14:textId="77777777" w:rsidR="00C82BCC" w:rsidRDefault="00C82BCC" w:rsidP="0016654D">
            <w:pPr>
              <w:spacing w:after="0" w:line="240" w:lineRule="auto"/>
              <w:jc w:val="center"/>
              <w:rPr>
                <w:rFonts w:cs="Times New Roman"/>
                <w:color w:val="000000"/>
                <w:szCs w:val="24"/>
              </w:rPr>
            </w:pPr>
            <w:r>
              <w:rPr>
                <w:rFonts w:cs="Times New Roman"/>
                <w:color w:val="000000"/>
                <w:szCs w:val="24"/>
              </w:rPr>
              <w:t>16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4D9D52" w14:textId="77777777" w:rsidR="00C82BCC" w:rsidRDefault="00C82BCC" w:rsidP="0016654D">
            <w:pPr>
              <w:spacing w:after="0" w:line="240" w:lineRule="auto"/>
              <w:jc w:val="center"/>
              <w:rPr>
                <w:rFonts w:cs="Times New Roman"/>
                <w:color w:val="000000"/>
                <w:szCs w:val="24"/>
              </w:rPr>
            </w:pPr>
            <w:r>
              <w:rPr>
                <w:rFonts w:cs="Times New Roman"/>
                <w:color w:val="000000"/>
                <w:szCs w:val="24"/>
              </w:rPr>
              <w:t>46,63</w:t>
            </w:r>
          </w:p>
        </w:tc>
        <w:tc>
          <w:tcPr>
            <w:tcW w:w="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994EF1" w14:textId="77777777" w:rsidR="00C82BCC" w:rsidRDefault="00C82BCC" w:rsidP="0016654D">
            <w:pPr>
              <w:spacing w:after="0" w:line="240" w:lineRule="auto"/>
              <w:jc w:val="center"/>
              <w:rPr>
                <w:rFonts w:cs="Times New Roman"/>
                <w:color w:val="000000"/>
                <w:szCs w:val="24"/>
              </w:rPr>
            </w:pPr>
            <w:r>
              <w:rPr>
                <w:rFonts w:cs="Times New Roman"/>
                <w:color w:val="000000"/>
                <w:szCs w:val="24"/>
              </w:rPr>
              <w:t>5</w:t>
            </w:r>
          </w:p>
        </w:tc>
        <w:tc>
          <w:tcPr>
            <w:tcW w:w="2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7672EE" w14:textId="77777777" w:rsidR="00C82BCC" w:rsidRDefault="00C82BCC" w:rsidP="0016654D">
            <w:pPr>
              <w:spacing w:after="0" w:line="240" w:lineRule="auto"/>
              <w:jc w:val="center"/>
              <w:rPr>
                <w:rFonts w:cs="Times New Roman"/>
                <w:color w:val="000000"/>
                <w:szCs w:val="24"/>
              </w:rPr>
            </w:pPr>
            <w:r>
              <w:rPr>
                <w:rFonts w:cs="Times New Roman"/>
                <w:color w:val="000000"/>
                <w:szCs w:val="24"/>
              </w:rPr>
              <w:t>9,15</w:t>
            </w:r>
          </w:p>
        </w:tc>
      </w:tr>
      <w:tr w:rsidR="00C82BCC" w14:paraId="7FD1E464" w14:textId="77777777" w:rsidTr="0017595D">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435F9C" w14:textId="77777777" w:rsidR="00C82BCC" w:rsidRDefault="00C82BCC" w:rsidP="0016654D">
            <w:pPr>
              <w:spacing w:after="0" w:line="240" w:lineRule="auto"/>
              <w:jc w:val="center"/>
              <w:rPr>
                <w:rFonts w:cs="Times New Roman"/>
                <w:color w:val="000000"/>
                <w:szCs w:val="24"/>
              </w:rPr>
            </w:pPr>
            <w:r>
              <w:rPr>
                <w:rFonts w:cs="Times New Roman"/>
                <w:color w:val="000000"/>
                <w:szCs w:val="24"/>
              </w:rPr>
              <w:t>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B7D424" w14:textId="77777777" w:rsidR="00C82BCC" w:rsidRDefault="00C82BCC" w:rsidP="0016654D">
            <w:pPr>
              <w:spacing w:after="0" w:line="240" w:lineRule="auto"/>
              <w:jc w:val="center"/>
              <w:rPr>
                <w:rFonts w:cs="Times New Roman"/>
                <w:color w:val="000000"/>
                <w:szCs w:val="24"/>
              </w:rPr>
            </w:pPr>
            <w:r>
              <w:rPr>
                <w:rFonts w:cs="Times New Roman"/>
                <w:color w:val="000000"/>
                <w:szCs w:val="24"/>
              </w:rPr>
              <w:t>128,07</w:t>
            </w:r>
          </w:p>
        </w:tc>
        <w:tc>
          <w:tcPr>
            <w:tcW w:w="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523535" w14:textId="77777777" w:rsidR="00C82BCC" w:rsidRDefault="00C82BCC" w:rsidP="0016654D">
            <w:pPr>
              <w:spacing w:after="0" w:line="240" w:lineRule="auto"/>
              <w:jc w:val="center"/>
              <w:rPr>
                <w:rFonts w:cs="Times New Roman"/>
                <w:color w:val="000000"/>
                <w:szCs w:val="24"/>
              </w:rPr>
            </w:pPr>
            <w:r>
              <w:rPr>
                <w:rFonts w:cs="Times New Roman"/>
                <w:color w:val="000000"/>
                <w:szCs w:val="24"/>
              </w:rPr>
              <w:t>16</w:t>
            </w:r>
          </w:p>
        </w:tc>
        <w:tc>
          <w:tcPr>
            <w:tcW w:w="2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CFFAB7" w14:textId="77777777" w:rsidR="00C82BCC" w:rsidRDefault="00C82BCC" w:rsidP="0016654D">
            <w:pPr>
              <w:spacing w:after="0" w:line="240" w:lineRule="auto"/>
              <w:jc w:val="center"/>
              <w:rPr>
                <w:rFonts w:cs="Times New Roman"/>
                <w:color w:val="000000"/>
                <w:szCs w:val="24"/>
              </w:rPr>
            </w:pPr>
            <w:r>
              <w:rPr>
                <w:rFonts w:cs="Times New Roman"/>
                <w:color w:val="000000"/>
                <w:szCs w:val="24"/>
              </w:rPr>
              <w:t>5,27</w:t>
            </w:r>
          </w:p>
        </w:tc>
      </w:tr>
      <w:tr w:rsidR="00C82BCC" w14:paraId="4E25C114" w14:textId="77777777" w:rsidTr="0017595D">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33CD16" w14:textId="77777777" w:rsidR="00C82BCC" w:rsidRDefault="00C82BCC" w:rsidP="0016654D">
            <w:pPr>
              <w:spacing w:after="0" w:line="240" w:lineRule="auto"/>
              <w:jc w:val="center"/>
              <w:rPr>
                <w:rFonts w:cs="Times New Roman"/>
                <w:color w:val="000000"/>
                <w:szCs w:val="24"/>
              </w:rPr>
            </w:pPr>
            <w:r>
              <w:rPr>
                <w:rFonts w:cs="Times New Roman"/>
                <w:color w:val="000000"/>
                <w:szCs w:val="24"/>
              </w:rPr>
              <w:t>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4FA009" w14:textId="77777777" w:rsidR="00C82BCC" w:rsidRDefault="00C82BCC" w:rsidP="0016654D">
            <w:pPr>
              <w:spacing w:after="0" w:line="240" w:lineRule="auto"/>
              <w:jc w:val="center"/>
              <w:rPr>
                <w:rFonts w:cs="Times New Roman"/>
                <w:color w:val="000000"/>
                <w:szCs w:val="24"/>
              </w:rPr>
            </w:pPr>
            <w:r>
              <w:rPr>
                <w:rFonts w:cs="Times New Roman"/>
                <w:color w:val="000000"/>
                <w:szCs w:val="24"/>
              </w:rPr>
              <w:t>135,94</w:t>
            </w:r>
          </w:p>
        </w:tc>
        <w:tc>
          <w:tcPr>
            <w:tcW w:w="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BB20FB" w14:textId="77777777" w:rsidR="00C82BCC" w:rsidRDefault="00C82BCC" w:rsidP="0016654D">
            <w:pPr>
              <w:spacing w:after="0" w:line="240" w:lineRule="auto"/>
              <w:jc w:val="center"/>
              <w:rPr>
                <w:rFonts w:cs="Times New Roman"/>
                <w:color w:val="000000"/>
                <w:szCs w:val="24"/>
              </w:rPr>
            </w:pPr>
            <w:r>
              <w:rPr>
                <w:rFonts w:cs="Times New Roman"/>
                <w:color w:val="000000"/>
                <w:szCs w:val="24"/>
              </w:rPr>
              <w:t>22</w:t>
            </w:r>
          </w:p>
        </w:tc>
        <w:tc>
          <w:tcPr>
            <w:tcW w:w="2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ED215D" w14:textId="77777777" w:rsidR="00C82BCC" w:rsidRDefault="00C82BCC" w:rsidP="0016654D">
            <w:pPr>
              <w:spacing w:after="0" w:line="240" w:lineRule="auto"/>
              <w:jc w:val="center"/>
              <w:rPr>
                <w:rFonts w:cs="Times New Roman"/>
                <w:color w:val="000000"/>
                <w:szCs w:val="24"/>
              </w:rPr>
            </w:pPr>
            <w:r>
              <w:rPr>
                <w:rFonts w:cs="Times New Roman"/>
                <w:color w:val="000000"/>
                <w:szCs w:val="24"/>
              </w:rPr>
              <w:t>4,5</w:t>
            </w:r>
          </w:p>
        </w:tc>
      </w:tr>
      <w:tr w:rsidR="00C82BCC" w14:paraId="2763000E" w14:textId="77777777" w:rsidTr="0017595D">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96D035F" w14:textId="77777777" w:rsidR="00C82BCC" w:rsidRDefault="00C82BCC" w:rsidP="0016654D">
            <w:pPr>
              <w:spacing w:after="0" w:line="240" w:lineRule="auto"/>
              <w:jc w:val="center"/>
              <w:rPr>
                <w:rFonts w:cs="Times New Roman"/>
                <w:color w:val="000000"/>
                <w:szCs w:val="24"/>
              </w:rPr>
            </w:pPr>
            <w:r>
              <w:rPr>
                <w:rFonts w:cs="Times New Roman"/>
                <w:color w:val="000000"/>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270498" w14:textId="77777777" w:rsidR="00C82BCC" w:rsidRDefault="00C82BCC" w:rsidP="0016654D">
            <w:pPr>
              <w:spacing w:after="0" w:line="240" w:lineRule="auto"/>
              <w:jc w:val="center"/>
              <w:rPr>
                <w:rFonts w:cs="Times New Roman"/>
                <w:color w:val="000000"/>
                <w:szCs w:val="24"/>
              </w:rPr>
            </w:pPr>
            <w:r>
              <w:rPr>
                <w:rFonts w:cs="Times New Roman"/>
                <w:color w:val="000000"/>
                <w:szCs w:val="24"/>
              </w:rPr>
              <w:t>171,59</w:t>
            </w:r>
          </w:p>
        </w:tc>
        <w:tc>
          <w:tcPr>
            <w:tcW w:w="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E7EDB9" w14:textId="77777777" w:rsidR="00C82BCC" w:rsidRDefault="00C82BCC" w:rsidP="0016654D">
            <w:pPr>
              <w:spacing w:after="0" w:line="240" w:lineRule="auto"/>
              <w:jc w:val="center"/>
              <w:rPr>
                <w:rFonts w:cs="Times New Roman"/>
                <w:color w:val="000000"/>
                <w:szCs w:val="24"/>
              </w:rPr>
            </w:pPr>
            <w:r>
              <w:rPr>
                <w:rFonts w:cs="Times New Roman"/>
                <w:color w:val="000000"/>
                <w:szCs w:val="24"/>
              </w:rPr>
              <w:t>26</w:t>
            </w:r>
          </w:p>
        </w:tc>
        <w:tc>
          <w:tcPr>
            <w:tcW w:w="2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979604" w14:textId="77777777" w:rsidR="00C82BCC" w:rsidRDefault="00C82BCC" w:rsidP="0016654D">
            <w:pPr>
              <w:spacing w:after="0" w:line="240" w:lineRule="auto"/>
              <w:jc w:val="center"/>
              <w:rPr>
                <w:rFonts w:cs="Times New Roman"/>
                <w:color w:val="000000"/>
                <w:szCs w:val="24"/>
              </w:rPr>
            </w:pPr>
            <w:r>
              <w:rPr>
                <w:rFonts w:cs="Times New Roman"/>
                <w:color w:val="000000"/>
                <w:szCs w:val="24"/>
              </w:rPr>
              <w:t>4,14</w:t>
            </w:r>
          </w:p>
        </w:tc>
      </w:tr>
    </w:tbl>
    <w:p w14:paraId="0E55AF9F" w14:textId="77777777" w:rsidR="0016654D" w:rsidRDefault="00C82BCC" w:rsidP="0016654D">
      <w:pPr>
        <w:autoSpaceDE w:val="0"/>
        <w:autoSpaceDN w:val="0"/>
        <w:adjustRightInd w:val="0"/>
        <w:spacing w:before="360" w:after="0" w:line="360" w:lineRule="auto"/>
        <w:rPr>
          <w:rFonts w:cs="Times New Roman"/>
          <w:szCs w:val="24"/>
        </w:rPr>
      </w:pPr>
      <w:r>
        <w:rPr>
          <w:rFonts w:cs="Times New Roman"/>
          <w:szCs w:val="24"/>
        </w:rPr>
        <w:t>Aquel cultivo sin adición de dosis de azufre muestra un mejor valor promedio que aquellos en los que se adicionaron 16 y 20 medidas del microelemento azufre. No existieron diferencias estadísticas significativas.</w:t>
      </w:r>
      <w:bookmarkStart w:id="1898" w:name="_Toc79314119"/>
    </w:p>
    <w:p w14:paraId="11B17155" w14:textId="4444471E" w:rsidR="004175F6" w:rsidRPr="0016654D" w:rsidRDefault="004175F6" w:rsidP="0016654D">
      <w:pPr>
        <w:autoSpaceDE w:val="0"/>
        <w:autoSpaceDN w:val="0"/>
        <w:adjustRightInd w:val="0"/>
        <w:spacing w:before="360" w:after="0" w:line="360" w:lineRule="auto"/>
        <w:rPr>
          <w:rFonts w:cs="Times New Roman"/>
          <w:szCs w:val="24"/>
        </w:rPr>
      </w:pPr>
      <w:r w:rsidRPr="004175F6">
        <w:rPr>
          <w:rFonts w:cs="Times New Roman"/>
          <w:b/>
          <w:szCs w:val="24"/>
        </w:rPr>
        <w:t xml:space="preserve">Cuadro </w:t>
      </w:r>
      <w:r w:rsidRPr="004175F6">
        <w:rPr>
          <w:rFonts w:cs="Times New Roman"/>
          <w:b/>
          <w:i/>
          <w:iCs/>
          <w:szCs w:val="24"/>
        </w:rPr>
        <w:fldChar w:fldCharType="begin"/>
      </w:r>
      <w:r w:rsidRPr="004175F6">
        <w:rPr>
          <w:rFonts w:cs="Times New Roman"/>
          <w:b/>
          <w:szCs w:val="24"/>
        </w:rPr>
        <w:instrText xml:space="preserve"> SEQ Cuadro \* ARABIC </w:instrText>
      </w:r>
      <w:r w:rsidRPr="004175F6">
        <w:rPr>
          <w:rFonts w:cs="Times New Roman"/>
          <w:b/>
          <w:i/>
          <w:iCs/>
          <w:szCs w:val="24"/>
        </w:rPr>
        <w:fldChar w:fldCharType="separate"/>
      </w:r>
      <w:r w:rsidR="000D1F55">
        <w:rPr>
          <w:rFonts w:cs="Times New Roman"/>
          <w:b/>
          <w:noProof/>
          <w:szCs w:val="24"/>
        </w:rPr>
        <w:t>127</w:t>
      </w:r>
      <w:r w:rsidRPr="004175F6">
        <w:rPr>
          <w:rFonts w:cs="Times New Roman"/>
          <w:b/>
          <w:i/>
          <w:iCs/>
          <w:szCs w:val="24"/>
        </w:rPr>
        <w:fldChar w:fldCharType="end"/>
      </w:r>
      <w:r w:rsidRPr="004175F6">
        <w:rPr>
          <w:rFonts w:cs="Times New Roman"/>
          <w:b/>
          <w:szCs w:val="24"/>
        </w:rPr>
        <w:t>.</w:t>
      </w:r>
      <w:r w:rsidRPr="004175F6">
        <w:rPr>
          <w:rFonts w:cs="Times New Roman"/>
          <w:szCs w:val="24"/>
        </w:rPr>
        <w:t xml:space="preserve"> Absorción total de potasio de maíz suave para diversas dosis de magnesio evaluadas en la provincia de Imbabura 2010-2015.</w:t>
      </w:r>
      <w:bookmarkEnd w:id="1898"/>
    </w:p>
    <w:tbl>
      <w:tblPr>
        <w:tblW w:w="5514" w:type="dxa"/>
        <w:jc w:val="center"/>
        <w:tblCellMar>
          <w:left w:w="70" w:type="dxa"/>
          <w:right w:w="70" w:type="dxa"/>
        </w:tblCellMar>
        <w:tblLook w:val="04A0" w:firstRow="1" w:lastRow="0" w:firstColumn="1" w:lastColumn="0" w:noHBand="0" w:noVBand="1"/>
      </w:tblPr>
      <w:tblGrid>
        <w:gridCol w:w="2227"/>
        <w:gridCol w:w="887"/>
        <w:gridCol w:w="425"/>
        <w:gridCol w:w="1975"/>
      </w:tblGrid>
      <w:tr w:rsidR="00C82BCC" w14:paraId="666BA2C3" w14:textId="77777777" w:rsidTr="000D1088">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07D635A0"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3FD3E802"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425" w:type="dxa"/>
            <w:tcBorders>
              <w:top w:val="single" w:sz="4" w:space="0" w:color="auto"/>
              <w:left w:val="nil"/>
              <w:bottom w:val="single" w:sz="4" w:space="0" w:color="auto"/>
              <w:right w:val="single" w:sz="4" w:space="0" w:color="auto"/>
            </w:tcBorders>
            <w:noWrap/>
            <w:vAlign w:val="bottom"/>
            <w:hideMark/>
          </w:tcPr>
          <w:p w14:paraId="3F786700"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75" w:type="dxa"/>
            <w:tcBorders>
              <w:top w:val="single" w:sz="4" w:space="0" w:color="auto"/>
              <w:left w:val="nil"/>
              <w:bottom w:val="single" w:sz="4" w:space="0" w:color="auto"/>
              <w:right w:val="single" w:sz="4" w:space="0" w:color="auto"/>
            </w:tcBorders>
            <w:noWrap/>
            <w:vAlign w:val="bottom"/>
            <w:hideMark/>
          </w:tcPr>
          <w:p w14:paraId="09142F6A" w14:textId="77777777" w:rsidR="00C82BCC" w:rsidRDefault="00C82BCC" w:rsidP="0016654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1D43A504" w14:textId="77777777" w:rsidTr="000D1088">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4A5007F4"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7B4DF1CE"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46,63</w:t>
            </w:r>
          </w:p>
        </w:tc>
        <w:tc>
          <w:tcPr>
            <w:tcW w:w="425" w:type="dxa"/>
            <w:tcBorders>
              <w:top w:val="nil"/>
              <w:left w:val="nil"/>
              <w:bottom w:val="single" w:sz="4" w:space="0" w:color="auto"/>
              <w:right w:val="single" w:sz="4" w:space="0" w:color="auto"/>
            </w:tcBorders>
            <w:noWrap/>
            <w:vAlign w:val="bottom"/>
            <w:hideMark/>
          </w:tcPr>
          <w:p w14:paraId="784267B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975" w:type="dxa"/>
            <w:tcBorders>
              <w:top w:val="nil"/>
              <w:left w:val="nil"/>
              <w:bottom w:val="single" w:sz="4" w:space="0" w:color="auto"/>
              <w:right w:val="single" w:sz="4" w:space="0" w:color="auto"/>
            </w:tcBorders>
            <w:noWrap/>
            <w:vAlign w:val="bottom"/>
            <w:hideMark/>
          </w:tcPr>
          <w:p w14:paraId="2690D4E2"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9,15</w:t>
            </w:r>
          </w:p>
        </w:tc>
      </w:tr>
      <w:tr w:rsidR="00C82BCC" w14:paraId="17ADB57E" w14:textId="77777777" w:rsidTr="000D1088">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471E45C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6F68778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90,29</w:t>
            </w:r>
          </w:p>
        </w:tc>
        <w:tc>
          <w:tcPr>
            <w:tcW w:w="425" w:type="dxa"/>
            <w:tcBorders>
              <w:top w:val="nil"/>
              <w:left w:val="nil"/>
              <w:bottom w:val="single" w:sz="4" w:space="0" w:color="auto"/>
              <w:right w:val="single" w:sz="4" w:space="0" w:color="auto"/>
            </w:tcBorders>
            <w:noWrap/>
            <w:vAlign w:val="bottom"/>
            <w:hideMark/>
          </w:tcPr>
          <w:p w14:paraId="15BF5143"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975" w:type="dxa"/>
            <w:tcBorders>
              <w:top w:val="nil"/>
              <w:left w:val="nil"/>
              <w:bottom w:val="single" w:sz="4" w:space="0" w:color="auto"/>
              <w:right w:val="single" w:sz="4" w:space="0" w:color="auto"/>
            </w:tcBorders>
            <w:noWrap/>
            <w:vAlign w:val="bottom"/>
            <w:hideMark/>
          </w:tcPr>
          <w:p w14:paraId="679D46B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6,06</w:t>
            </w:r>
          </w:p>
        </w:tc>
      </w:tr>
      <w:tr w:rsidR="00C82BCC" w14:paraId="21B24044" w14:textId="77777777" w:rsidTr="000D1088">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E18574B"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06D9E51D"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148</w:t>
            </w:r>
          </w:p>
        </w:tc>
        <w:tc>
          <w:tcPr>
            <w:tcW w:w="425" w:type="dxa"/>
            <w:tcBorders>
              <w:top w:val="nil"/>
              <w:left w:val="nil"/>
              <w:bottom w:val="single" w:sz="4" w:space="0" w:color="auto"/>
              <w:right w:val="single" w:sz="4" w:space="0" w:color="auto"/>
            </w:tcBorders>
            <w:noWrap/>
            <w:vAlign w:val="bottom"/>
            <w:hideMark/>
          </w:tcPr>
          <w:p w14:paraId="70374F97"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975" w:type="dxa"/>
            <w:tcBorders>
              <w:top w:val="nil"/>
              <w:left w:val="nil"/>
              <w:bottom w:val="single" w:sz="4" w:space="0" w:color="auto"/>
              <w:right w:val="single" w:sz="4" w:space="0" w:color="auto"/>
            </w:tcBorders>
            <w:noWrap/>
            <w:vAlign w:val="bottom"/>
            <w:hideMark/>
          </w:tcPr>
          <w:p w14:paraId="14F54DB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9,15</w:t>
            </w:r>
          </w:p>
        </w:tc>
      </w:tr>
      <w:tr w:rsidR="00C82BCC" w14:paraId="5EC82665" w14:textId="77777777" w:rsidTr="000D1088">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4E5836B0"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2936CA71"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162,12</w:t>
            </w:r>
          </w:p>
        </w:tc>
        <w:tc>
          <w:tcPr>
            <w:tcW w:w="425" w:type="dxa"/>
            <w:tcBorders>
              <w:top w:val="nil"/>
              <w:left w:val="nil"/>
              <w:bottom w:val="single" w:sz="4" w:space="0" w:color="auto"/>
              <w:right w:val="single" w:sz="4" w:space="0" w:color="auto"/>
            </w:tcBorders>
            <w:noWrap/>
            <w:vAlign w:val="bottom"/>
            <w:hideMark/>
          </w:tcPr>
          <w:p w14:paraId="360115FC"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1975" w:type="dxa"/>
            <w:tcBorders>
              <w:top w:val="nil"/>
              <w:left w:val="nil"/>
              <w:bottom w:val="single" w:sz="4" w:space="0" w:color="auto"/>
              <w:right w:val="single" w:sz="4" w:space="0" w:color="auto"/>
            </w:tcBorders>
            <w:noWrap/>
            <w:vAlign w:val="bottom"/>
            <w:hideMark/>
          </w:tcPr>
          <w:p w14:paraId="62B54295" w14:textId="77777777" w:rsidR="00C82BCC" w:rsidRDefault="00C82BCC" w:rsidP="0016654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3,07</w:t>
            </w:r>
          </w:p>
        </w:tc>
      </w:tr>
    </w:tbl>
    <w:p w14:paraId="3F75C97B" w14:textId="79AE21F1" w:rsidR="00C82BCC" w:rsidRDefault="00C82BCC" w:rsidP="00C82BCC">
      <w:pPr>
        <w:spacing w:line="360" w:lineRule="auto"/>
        <w:rPr>
          <w:rFonts w:cs="Times New Roman"/>
          <w:szCs w:val="24"/>
        </w:rPr>
      </w:pPr>
      <w:r w:rsidRPr="00FD3DED">
        <w:rPr>
          <w:rFonts w:cs="Times New Roman"/>
          <w:szCs w:val="24"/>
        </w:rPr>
        <w:lastRenderedPageBreak/>
        <w:t>El cultivo sin adición de magnesio muestra mejores promedios que todos los demás en los que si se ha adicionado este importante microelemento.</w:t>
      </w:r>
    </w:p>
    <w:p w14:paraId="32A77C11" w14:textId="7998342A" w:rsidR="000D1088" w:rsidRDefault="00C82BCC" w:rsidP="000D1088">
      <w:pPr>
        <w:rPr>
          <w:rFonts w:cs="Times New Roman"/>
          <w:bCs/>
          <w:szCs w:val="24"/>
        </w:rPr>
      </w:pPr>
      <w:r>
        <w:rPr>
          <w:rFonts w:cs="Times New Roman"/>
          <w:bCs/>
          <w:szCs w:val="24"/>
        </w:rPr>
        <w:t xml:space="preserve">El efecto de los nutrientes que fueron significativos </w:t>
      </w:r>
      <w:r w:rsidR="003D75C6">
        <w:rPr>
          <w:rFonts w:cs="Times New Roman"/>
          <w:bCs/>
          <w:szCs w:val="24"/>
        </w:rPr>
        <w:t xml:space="preserve">(p&lt;0,001) </w:t>
      </w:r>
      <w:r>
        <w:rPr>
          <w:rFonts w:cs="Times New Roman"/>
          <w:bCs/>
          <w:szCs w:val="24"/>
        </w:rPr>
        <w:t xml:space="preserve">sobre la absorción de potasio en la provincia de Imbabura se observa en </w:t>
      </w:r>
      <w:r w:rsidR="000D1A0C">
        <w:rPr>
          <w:rFonts w:cs="Times New Roman"/>
          <w:bCs/>
          <w:szCs w:val="24"/>
        </w:rPr>
        <w:t>la</w:t>
      </w:r>
      <w:r>
        <w:rPr>
          <w:rFonts w:cs="Times New Roman"/>
          <w:bCs/>
          <w:szCs w:val="24"/>
        </w:rPr>
        <w:t xml:space="preserve"> siguiente </w:t>
      </w:r>
      <w:r w:rsidR="000D1A0C">
        <w:rPr>
          <w:rFonts w:cs="Times New Roman"/>
          <w:bCs/>
          <w:szCs w:val="24"/>
        </w:rPr>
        <w:t>figura</w:t>
      </w:r>
      <w:r w:rsidR="008E1214">
        <w:rPr>
          <w:rFonts w:cs="Times New Roman"/>
          <w:bCs/>
          <w:szCs w:val="24"/>
        </w:rPr>
        <w:t>:</w:t>
      </w:r>
    </w:p>
    <w:p w14:paraId="5B752F2F" w14:textId="78DFEFDA" w:rsidR="00C82BCC" w:rsidRPr="000D1088" w:rsidRDefault="000D1088" w:rsidP="00FD3DED">
      <w:pPr>
        <w:pStyle w:val="Ttulo1"/>
        <w:numPr>
          <w:ilvl w:val="0"/>
          <w:numId w:val="18"/>
        </w:numPr>
        <w:spacing w:before="360" w:after="360"/>
        <w:ind w:left="714" w:hanging="357"/>
        <w:rPr>
          <w:b w:val="0"/>
          <w:bCs w:val="0"/>
          <w:color w:val="000000"/>
        </w:rPr>
      </w:pPr>
      <w:bookmarkStart w:id="1899" w:name="_Toc72704665"/>
      <w:bookmarkStart w:id="1900" w:name="_Toc72706371"/>
      <w:bookmarkStart w:id="1901" w:name="_Toc72741321"/>
      <w:bookmarkStart w:id="1902" w:name="_Toc72742917"/>
      <w:bookmarkStart w:id="1903" w:name="_Toc72881273"/>
      <w:bookmarkStart w:id="1904" w:name="_Toc72881644"/>
      <w:bookmarkStart w:id="1905" w:name="_Toc75606513"/>
      <w:bookmarkStart w:id="1906" w:name="_Toc75611992"/>
      <w:bookmarkStart w:id="1907" w:name="_Toc75612838"/>
      <w:bookmarkStart w:id="1908" w:name="_Toc75679994"/>
      <w:bookmarkStart w:id="1909" w:name="_Toc75702602"/>
      <w:bookmarkStart w:id="1910" w:name="_Toc79313239"/>
      <w:bookmarkStart w:id="1911" w:name="_Toc80008452"/>
      <w:bookmarkStart w:id="1912" w:name="_Toc80312345"/>
      <w:r w:rsidRPr="000D1088">
        <w:rPr>
          <w:b w:val="0"/>
          <w:bCs w:val="0"/>
        </w:rPr>
        <w:t>Nitrógeno</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r w:rsidRPr="000D1088">
        <w:rPr>
          <w:b w:val="0"/>
          <w:bCs w:val="0"/>
        </w:rPr>
        <w:t xml:space="preserve"> </w:t>
      </w:r>
    </w:p>
    <w:p w14:paraId="39A00D6B" w14:textId="30893BF6" w:rsidR="00C82BCC" w:rsidRDefault="00C82BCC" w:rsidP="00C82BCC">
      <w:pPr>
        <w:autoSpaceDE w:val="0"/>
        <w:autoSpaceDN w:val="0"/>
        <w:adjustRightInd w:val="0"/>
        <w:spacing w:after="0" w:line="360" w:lineRule="auto"/>
        <w:jc w:val="center"/>
        <w:rPr>
          <w:rFonts w:cs="Times New Roman"/>
          <w:b/>
          <w:bCs/>
          <w:szCs w:val="24"/>
        </w:rPr>
      </w:pPr>
      <w:r>
        <w:rPr>
          <w:rFonts w:cs="Times New Roman"/>
          <w:noProof/>
          <w:szCs w:val="24"/>
          <w:lang w:eastAsia="es-EC"/>
        </w:rPr>
        <w:drawing>
          <wp:inline distT="0" distB="0" distL="0" distR="0" wp14:anchorId="7998930D" wp14:editId="0608F51D">
            <wp:extent cx="4011065" cy="1874904"/>
            <wp:effectExtent l="0" t="0" r="8890" b="11430"/>
            <wp:docPr id="10" name="Gráfico 10">
              <a:extLst xmlns:a="http://schemas.openxmlformats.org/drawingml/2006/main">
                <a:ext uri="{FF2B5EF4-FFF2-40B4-BE49-F238E27FC236}">
                  <a16:creationId xmlns:a16="http://schemas.microsoft.com/office/drawing/2014/main" id="{B6C68C43-175D-4ED6-A8C8-98B7C8A83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CE1A72" w14:textId="4341E75D" w:rsidR="000D1088" w:rsidRPr="000D1088" w:rsidRDefault="000D1088" w:rsidP="00FD3DED">
      <w:pPr>
        <w:pStyle w:val="Ttulo1"/>
        <w:numPr>
          <w:ilvl w:val="0"/>
          <w:numId w:val="18"/>
        </w:numPr>
        <w:spacing w:before="360" w:after="360"/>
        <w:ind w:left="714" w:hanging="357"/>
        <w:rPr>
          <w:b w:val="0"/>
          <w:bCs w:val="0"/>
          <w:color w:val="000000"/>
        </w:rPr>
      </w:pPr>
      <w:bookmarkStart w:id="1913" w:name="_Toc72704666"/>
      <w:bookmarkStart w:id="1914" w:name="_Toc72706372"/>
      <w:bookmarkStart w:id="1915" w:name="_Toc72741322"/>
      <w:bookmarkStart w:id="1916" w:name="_Toc72742918"/>
      <w:bookmarkStart w:id="1917" w:name="_Toc72881274"/>
      <w:bookmarkStart w:id="1918" w:name="_Toc72881645"/>
      <w:bookmarkStart w:id="1919" w:name="_Toc75606514"/>
      <w:bookmarkStart w:id="1920" w:name="_Toc75611993"/>
      <w:bookmarkStart w:id="1921" w:name="_Toc75612839"/>
      <w:bookmarkStart w:id="1922" w:name="_Toc75679995"/>
      <w:bookmarkStart w:id="1923" w:name="_Toc75702603"/>
      <w:bookmarkStart w:id="1924" w:name="_Toc79313240"/>
      <w:bookmarkStart w:id="1925" w:name="_Toc80008453"/>
      <w:bookmarkStart w:id="1926" w:name="_Toc80312346"/>
      <w:r>
        <w:rPr>
          <w:b w:val="0"/>
          <w:bCs w:val="0"/>
        </w:rPr>
        <w:t>Potasio</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14:paraId="4C2F9890" w14:textId="1D7BD215" w:rsidR="00C82BCC" w:rsidRDefault="00C82BCC" w:rsidP="00C82BCC">
      <w:pPr>
        <w:autoSpaceDE w:val="0"/>
        <w:autoSpaceDN w:val="0"/>
        <w:adjustRightInd w:val="0"/>
        <w:spacing w:after="0" w:line="360" w:lineRule="auto"/>
        <w:jc w:val="center"/>
        <w:rPr>
          <w:rFonts w:cs="Times New Roman"/>
          <w:b/>
          <w:bCs/>
          <w:szCs w:val="24"/>
        </w:rPr>
      </w:pPr>
      <w:r>
        <w:rPr>
          <w:rFonts w:cs="Times New Roman"/>
          <w:noProof/>
          <w:szCs w:val="24"/>
          <w:lang w:eastAsia="es-EC"/>
        </w:rPr>
        <w:drawing>
          <wp:inline distT="0" distB="0" distL="0" distR="0" wp14:anchorId="6D4E53A1" wp14:editId="47931667">
            <wp:extent cx="4172430" cy="2020901"/>
            <wp:effectExtent l="0" t="0" r="0" b="17780"/>
            <wp:docPr id="88" name="Gráfico 88">
              <a:extLst xmlns:a="http://schemas.openxmlformats.org/drawingml/2006/main">
                <a:ext uri="{FF2B5EF4-FFF2-40B4-BE49-F238E27FC236}">
                  <a16:creationId xmlns:a16="http://schemas.microsoft.com/office/drawing/2014/main" id="{4FAF08A0-2BE0-4FD8-B623-B0E33D9FF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067CD5D" w14:textId="306A0A8E" w:rsidR="00C82BCC" w:rsidRPr="00515E28" w:rsidRDefault="00C82BCC" w:rsidP="00FD3DED">
      <w:pPr>
        <w:spacing w:before="360" w:after="360" w:line="360" w:lineRule="auto"/>
        <w:rPr>
          <w:rFonts w:cs="Times New Roman"/>
          <w:szCs w:val="24"/>
        </w:rPr>
      </w:pPr>
      <w:r w:rsidRPr="00515E28">
        <w:rPr>
          <w:rFonts w:cs="Times New Roman"/>
          <w:szCs w:val="24"/>
        </w:rPr>
        <w:t xml:space="preserve">Efecto de los macronutrientes </w:t>
      </w:r>
      <w:r w:rsidR="003D75C6">
        <w:rPr>
          <w:rFonts w:cs="Times New Roman"/>
          <w:szCs w:val="24"/>
        </w:rPr>
        <w:t xml:space="preserve">a) </w:t>
      </w:r>
      <w:r w:rsidR="00C416FD">
        <w:rPr>
          <w:rFonts w:cs="Times New Roman"/>
          <w:szCs w:val="24"/>
        </w:rPr>
        <w:t>nitrógeno</w:t>
      </w:r>
      <w:r w:rsidR="003D75C6">
        <w:rPr>
          <w:rFonts w:cs="Times New Roman"/>
          <w:szCs w:val="24"/>
        </w:rPr>
        <w:t xml:space="preserve"> y b) potasio </w:t>
      </w:r>
      <w:r w:rsidRPr="00515E28">
        <w:rPr>
          <w:rFonts w:cs="Times New Roman"/>
          <w:szCs w:val="24"/>
        </w:rPr>
        <w:t>sobre la a</w:t>
      </w:r>
      <w:r w:rsidR="0089298E">
        <w:rPr>
          <w:rFonts w:cs="Times New Roman"/>
          <w:szCs w:val="24"/>
        </w:rPr>
        <w:t>b</w:t>
      </w:r>
      <w:r w:rsidRPr="00515E28">
        <w:rPr>
          <w:rFonts w:cs="Times New Roman"/>
          <w:szCs w:val="24"/>
        </w:rPr>
        <w:t>sorción de potasio en maíz suave en la provincia de Imbabura (2010-2015).</w:t>
      </w:r>
    </w:p>
    <w:p w14:paraId="7C49472C" w14:textId="64E46FB3" w:rsidR="000D1088" w:rsidRPr="00FD3DED" w:rsidRDefault="00C82BCC" w:rsidP="00FD3DED">
      <w:pPr>
        <w:pStyle w:val="Ttulo3"/>
        <w:numPr>
          <w:ilvl w:val="2"/>
          <w:numId w:val="52"/>
        </w:numPr>
        <w:spacing w:before="360" w:after="360"/>
      </w:pPr>
      <w:bookmarkStart w:id="1927" w:name="_Toc80312347"/>
      <w:r w:rsidRPr="00FD3DED">
        <w:rPr>
          <w:color w:val="000000"/>
        </w:rPr>
        <w:t>A</w:t>
      </w:r>
      <w:r w:rsidR="0089298E" w:rsidRPr="00FD3DED">
        <w:rPr>
          <w:color w:val="000000"/>
        </w:rPr>
        <w:t>b</w:t>
      </w:r>
      <w:r w:rsidRPr="00FD3DED">
        <w:rPr>
          <w:color w:val="000000"/>
        </w:rPr>
        <w:t>sorción de azufre (</w:t>
      </w:r>
      <w:r w:rsidRPr="00FD3DED">
        <w:t>Kg</w:t>
      </w:r>
      <w:r w:rsidRPr="00FD3DED">
        <w:rPr>
          <w:rFonts w:eastAsia="Times New Roman"/>
          <w:color w:val="000000"/>
          <w:lang w:eastAsia="es-EC"/>
        </w:rPr>
        <w:t>/</w:t>
      </w:r>
      <w:r w:rsidRPr="00FD3DED">
        <w:t>ha</w:t>
      </w:r>
      <w:r w:rsidRPr="00FD3DED">
        <w:rPr>
          <w:vertAlign w:val="superscript"/>
        </w:rPr>
        <w:t>-1</w:t>
      </w:r>
      <w:r w:rsidRPr="00FD3DED">
        <w:rPr>
          <w:rFonts w:eastAsia="Times New Roman"/>
          <w:color w:val="000000"/>
          <w:lang w:eastAsia="es-EC"/>
        </w:rPr>
        <w:t>)</w:t>
      </w:r>
      <w:bookmarkEnd w:id="1927"/>
    </w:p>
    <w:p w14:paraId="6C6CE28F" w14:textId="77777777" w:rsidR="00FD3DED" w:rsidRDefault="00C82BCC" w:rsidP="00FD3DED">
      <w:pPr>
        <w:spacing w:after="0" w:line="360" w:lineRule="auto"/>
        <w:rPr>
          <w:rFonts w:cs="Times New Roman"/>
          <w:b/>
          <w:bCs/>
          <w:color w:val="0000FF"/>
        </w:rPr>
      </w:pPr>
      <w:r>
        <w:rPr>
          <w:rFonts w:cs="Times New Roman"/>
          <w:szCs w:val="24"/>
        </w:rPr>
        <w:t xml:space="preserve">Al utilizar el modelo estadístico para la absorción total de azufre, se detectaron diferencias estadísticas significativas (p &lt;0,05) para las fuentes de variación de </w:t>
      </w:r>
      <w:r>
        <w:rPr>
          <w:rFonts w:cs="Times New Roman"/>
          <w:szCs w:val="24"/>
        </w:rPr>
        <w:lastRenderedPageBreak/>
        <w:t>parroquia, nitrógeno y azufre; mientras que no fueron significativos para dosis de fósforo, potasio y magnesio (Cuadro 12</w:t>
      </w:r>
      <w:r w:rsidR="0039325D">
        <w:rPr>
          <w:rFonts w:cs="Times New Roman"/>
          <w:szCs w:val="24"/>
        </w:rPr>
        <w:t>7</w:t>
      </w:r>
      <w:r>
        <w:rPr>
          <w:rFonts w:cs="Times New Roman"/>
          <w:szCs w:val="24"/>
        </w:rPr>
        <w:t>). Por lo tanto, las dosis de los fertilizantes y el efecto ambiental de las parroquias afectaron a esta variable. El promedio general de la absorción total de azufre fue 19,81 Kg/ha; con un R</w:t>
      </w:r>
      <w:r>
        <w:rPr>
          <w:rFonts w:cs="Times New Roman"/>
          <w:szCs w:val="24"/>
          <w:vertAlign w:val="superscript"/>
        </w:rPr>
        <w:t>2</w:t>
      </w:r>
      <w:r>
        <w:rPr>
          <w:rFonts w:cs="Times New Roman"/>
          <w:szCs w:val="24"/>
        </w:rPr>
        <w:t xml:space="preserve"> de 0,98 y un coeficiente de variación fue de 15,35 %</w:t>
      </w:r>
      <w:r>
        <w:rPr>
          <w:rFonts w:cs="Times New Roman"/>
          <w:b/>
          <w:bCs/>
          <w:color w:val="0000FF"/>
        </w:rPr>
        <w:t>.</w:t>
      </w:r>
      <w:bookmarkStart w:id="1928" w:name="_Toc79314120"/>
    </w:p>
    <w:p w14:paraId="389F519E" w14:textId="6026AF34" w:rsidR="004175F6" w:rsidRPr="00FD3DED" w:rsidRDefault="004175F6" w:rsidP="00FD3DED">
      <w:pPr>
        <w:spacing w:before="360" w:after="0" w:line="360" w:lineRule="auto"/>
        <w:rPr>
          <w:rFonts w:cs="Times New Roman"/>
          <w:b/>
          <w:bCs/>
          <w:color w:val="0000FF"/>
        </w:rPr>
      </w:pPr>
      <w:r w:rsidRPr="004175F6">
        <w:rPr>
          <w:rFonts w:cs="Times New Roman"/>
          <w:b/>
          <w:szCs w:val="24"/>
        </w:rPr>
        <w:t xml:space="preserve">Cuadro </w:t>
      </w:r>
      <w:r w:rsidRPr="004175F6">
        <w:rPr>
          <w:rFonts w:cs="Times New Roman"/>
          <w:b/>
          <w:i/>
          <w:iCs/>
          <w:szCs w:val="24"/>
        </w:rPr>
        <w:fldChar w:fldCharType="begin"/>
      </w:r>
      <w:r w:rsidRPr="004175F6">
        <w:rPr>
          <w:rFonts w:cs="Times New Roman"/>
          <w:b/>
          <w:szCs w:val="24"/>
        </w:rPr>
        <w:instrText xml:space="preserve"> SEQ Cuadro \* ARABIC </w:instrText>
      </w:r>
      <w:r w:rsidRPr="004175F6">
        <w:rPr>
          <w:rFonts w:cs="Times New Roman"/>
          <w:b/>
          <w:i/>
          <w:iCs/>
          <w:szCs w:val="24"/>
        </w:rPr>
        <w:fldChar w:fldCharType="separate"/>
      </w:r>
      <w:r w:rsidR="000D1F55">
        <w:rPr>
          <w:rFonts w:cs="Times New Roman"/>
          <w:b/>
          <w:noProof/>
          <w:szCs w:val="24"/>
        </w:rPr>
        <w:t>128</w:t>
      </w:r>
      <w:r w:rsidRPr="004175F6">
        <w:rPr>
          <w:rFonts w:cs="Times New Roman"/>
          <w:b/>
          <w:i/>
          <w:iCs/>
          <w:szCs w:val="24"/>
        </w:rPr>
        <w:fldChar w:fldCharType="end"/>
      </w:r>
      <w:r w:rsidRPr="004175F6">
        <w:rPr>
          <w:rFonts w:cs="Times New Roman"/>
          <w:b/>
          <w:szCs w:val="24"/>
        </w:rPr>
        <w:t>.</w:t>
      </w:r>
      <w:r w:rsidRPr="004175F6">
        <w:rPr>
          <w:rFonts w:cs="Times New Roman"/>
          <w:szCs w:val="24"/>
        </w:rPr>
        <w:t xml:space="preserve"> Análisis de la Varianza (SC tipo I) y porcentaje de varianza para absorción de azufre de maíz suave en grano seco, evaluado en la provincia de Imbabura (2010-2015).</w:t>
      </w:r>
      <w:bookmarkEnd w:id="1928"/>
    </w:p>
    <w:tbl>
      <w:tblPr>
        <w:tblW w:w="5000" w:type="pct"/>
        <w:tblCellMar>
          <w:left w:w="70" w:type="dxa"/>
          <w:right w:w="70" w:type="dxa"/>
        </w:tblCellMar>
        <w:tblLook w:val="04A0" w:firstRow="1" w:lastRow="0" w:firstColumn="1" w:lastColumn="0" w:noHBand="0" w:noVBand="1"/>
      </w:tblPr>
      <w:tblGrid>
        <w:gridCol w:w="1089"/>
        <w:gridCol w:w="1089"/>
        <w:gridCol w:w="1089"/>
        <w:gridCol w:w="1089"/>
        <w:gridCol w:w="1092"/>
        <w:gridCol w:w="1092"/>
        <w:gridCol w:w="1387"/>
      </w:tblGrid>
      <w:tr w:rsidR="00C82BCC" w14:paraId="1F66879B" w14:textId="77777777" w:rsidTr="004175F6">
        <w:trPr>
          <w:trHeight w:val="300"/>
        </w:trPr>
        <w:tc>
          <w:tcPr>
            <w:tcW w:w="697" w:type="pct"/>
            <w:tcBorders>
              <w:top w:val="single" w:sz="4" w:space="0" w:color="auto"/>
              <w:left w:val="single" w:sz="4" w:space="0" w:color="auto"/>
              <w:bottom w:val="single" w:sz="4" w:space="0" w:color="auto"/>
              <w:right w:val="single" w:sz="4" w:space="0" w:color="auto"/>
            </w:tcBorders>
            <w:noWrap/>
            <w:vAlign w:val="bottom"/>
            <w:hideMark/>
          </w:tcPr>
          <w:p w14:paraId="3DA73D1D" w14:textId="77777777" w:rsidR="00C82BCC" w:rsidRDefault="00C82BCC"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697" w:type="pct"/>
            <w:tcBorders>
              <w:top w:val="single" w:sz="4" w:space="0" w:color="auto"/>
              <w:left w:val="nil"/>
              <w:bottom w:val="single" w:sz="4" w:space="0" w:color="auto"/>
              <w:right w:val="single" w:sz="4" w:space="0" w:color="auto"/>
            </w:tcBorders>
            <w:noWrap/>
            <w:vAlign w:val="bottom"/>
            <w:hideMark/>
          </w:tcPr>
          <w:p w14:paraId="53E06664" w14:textId="77777777" w:rsidR="00C82BCC" w:rsidRDefault="00C82BCC"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697" w:type="pct"/>
            <w:tcBorders>
              <w:top w:val="single" w:sz="4" w:space="0" w:color="auto"/>
              <w:left w:val="nil"/>
              <w:bottom w:val="single" w:sz="4" w:space="0" w:color="auto"/>
              <w:right w:val="single" w:sz="4" w:space="0" w:color="auto"/>
            </w:tcBorders>
            <w:noWrap/>
            <w:vAlign w:val="bottom"/>
            <w:hideMark/>
          </w:tcPr>
          <w:p w14:paraId="62C4E78A" w14:textId="10DDA3A4" w:rsidR="00C82BCC" w:rsidRDefault="004175F6"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w:t>
            </w:r>
            <w:r w:rsidR="00C82BCC">
              <w:rPr>
                <w:rFonts w:eastAsia="Times New Roman" w:cs="Times New Roman"/>
                <w:b/>
                <w:bCs/>
                <w:color w:val="000000"/>
                <w:szCs w:val="24"/>
                <w:lang w:eastAsia="es-EC"/>
              </w:rPr>
              <w:t>l</w:t>
            </w:r>
          </w:p>
        </w:tc>
        <w:tc>
          <w:tcPr>
            <w:tcW w:w="697" w:type="pct"/>
            <w:tcBorders>
              <w:top w:val="single" w:sz="4" w:space="0" w:color="auto"/>
              <w:left w:val="nil"/>
              <w:bottom w:val="single" w:sz="4" w:space="0" w:color="auto"/>
              <w:right w:val="single" w:sz="4" w:space="0" w:color="auto"/>
            </w:tcBorders>
            <w:noWrap/>
            <w:vAlign w:val="bottom"/>
            <w:hideMark/>
          </w:tcPr>
          <w:p w14:paraId="36F37179" w14:textId="77777777" w:rsidR="00C82BCC" w:rsidRDefault="00C82BCC"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698" w:type="pct"/>
            <w:tcBorders>
              <w:top w:val="single" w:sz="4" w:space="0" w:color="auto"/>
              <w:left w:val="nil"/>
              <w:bottom w:val="single" w:sz="4" w:space="0" w:color="auto"/>
              <w:right w:val="single" w:sz="4" w:space="0" w:color="auto"/>
            </w:tcBorders>
            <w:noWrap/>
            <w:vAlign w:val="bottom"/>
            <w:hideMark/>
          </w:tcPr>
          <w:p w14:paraId="34550EB7" w14:textId="77777777" w:rsidR="00C82BCC" w:rsidRDefault="00C82BCC"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698" w:type="pct"/>
            <w:tcBorders>
              <w:top w:val="single" w:sz="4" w:space="0" w:color="auto"/>
              <w:left w:val="nil"/>
              <w:bottom w:val="single" w:sz="4" w:space="0" w:color="auto"/>
              <w:right w:val="single" w:sz="4" w:space="0" w:color="auto"/>
            </w:tcBorders>
            <w:noWrap/>
            <w:vAlign w:val="bottom"/>
            <w:hideMark/>
          </w:tcPr>
          <w:p w14:paraId="3E226191" w14:textId="77777777" w:rsidR="00C82BCC" w:rsidRDefault="00C82BCC"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817" w:type="pct"/>
            <w:tcBorders>
              <w:top w:val="single" w:sz="4" w:space="0" w:color="auto"/>
              <w:left w:val="nil"/>
              <w:bottom w:val="single" w:sz="4" w:space="0" w:color="auto"/>
              <w:right w:val="single" w:sz="4" w:space="0" w:color="auto"/>
            </w:tcBorders>
            <w:noWrap/>
            <w:vAlign w:val="bottom"/>
            <w:hideMark/>
          </w:tcPr>
          <w:p w14:paraId="4805BE68" w14:textId="77777777" w:rsidR="00C82BCC" w:rsidRDefault="00C82BCC"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2063A51B"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3B6D0765"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97" w:type="pct"/>
            <w:tcBorders>
              <w:top w:val="nil"/>
              <w:left w:val="nil"/>
              <w:bottom w:val="single" w:sz="4" w:space="0" w:color="auto"/>
              <w:right w:val="single" w:sz="4" w:space="0" w:color="auto"/>
            </w:tcBorders>
            <w:noWrap/>
            <w:vAlign w:val="bottom"/>
            <w:hideMark/>
          </w:tcPr>
          <w:p w14:paraId="60C18F79"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20302,89</w:t>
            </w:r>
          </w:p>
        </w:tc>
        <w:tc>
          <w:tcPr>
            <w:tcW w:w="697" w:type="pct"/>
            <w:tcBorders>
              <w:top w:val="nil"/>
              <w:left w:val="nil"/>
              <w:bottom w:val="single" w:sz="4" w:space="0" w:color="auto"/>
              <w:right w:val="single" w:sz="4" w:space="0" w:color="auto"/>
            </w:tcBorders>
            <w:noWrap/>
            <w:vAlign w:val="bottom"/>
            <w:hideMark/>
          </w:tcPr>
          <w:p w14:paraId="7CA9F05E"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697" w:type="pct"/>
            <w:tcBorders>
              <w:top w:val="nil"/>
              <w:left w:val="nil"/>
              <w:bottom w:val="single" w:sz="4" w:space="0" w:color="auto"/>
              <w:right w:val="single" w:sz="4" w:space="0" w:color="auto"/>
            </w:tcBorders>
            <w:noWrap/>
            <w:vAlign w:val="bottom"/>
            <w:hideMark/>
          </w:tcPr>
          <w:p w14:paraId="1E773711"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966,8</w:t>
            </w:r>
          </w:p>
        </w:tc>
        <w:tc>
          <w:tcPr>
            <w:tcW w:w="698" w:type="pct"/>
            <w:tcBorders>
              <w:top w:val="nil"/>
              <w:left w:val="nil"/>
              <w:bottom w:val="single" w:sz="4" w:space="0" w:color="auto"/>
              <w:right w:val="single" w:sz="4" w:space="0" w:color="auto"/>
            </w:tcBorders>
            <w:noWrap/>
            <w:vAlign w:val="bottom"/>
            <w:hideMark/>
          </w:tcPr>
          <w:p w14:paraId="5E8856D3"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104,56</w:t>
            </w:r>
          </w:p>
        </w:tc>
        <w:tc>
          <w:tcPr>
            <w:tcW w:w="698" w:type="pct"/>
            <w:tcBorders>
              <w:top w:val="nil"/>
              <w:left w:val="nil"/>
              <w:bottom w:val="single" w:sz="4" w:space="0" w:color="auto"/>
              <w:right w:val="single" w:sz="4" w:space="0" w:color="auto"/>
            </w:tcBorders>
            <w:noWrap/>
            <w:vAlign w:val="bottom"/>
            <w:hideMark/>
          </w:tcPr>
          <w:p w14:paraId="2F77B9B7"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1F1C6BE3"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97,90</w:t>
            </w:r>
          </w:p>
        </w:tc>
      </w:tr>
      <w:tr w:rsidR="00C82BCC" w14:paraId="67AD1BAB"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29C1B4C8"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697" w:type="pct"/>
            <w:tcBorders>
              <w:top w:val="nil"/>
              <w:left w:val="nil"/>
              <w:bottom w:val="single" w:sz="4" w:space="0" w:color="auto"/>
              <w:right w:val="single" w:sz="4" w:space="0" w:color="auto"/>
            </w:tcBorders>
            <w:noWrap/>
            <w:vAlign w:val="bottom"/>
            <w:hideMark/>
          </w:tcPr>
          <w:p w14:paraId="07412A70"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19872,64</w:t>
            </w:r>
          </w:p>
        </w:tc>
        <w:tc>
          <w:tcPr>
            <w:tcW w:w="697" w:type="pct"/>
            <w:tcBorders>
              <w:top w:val="nil"/>
              <w:left w:val="nil"/>
              <w:bottom w:val="single" w:sz="4" w:space="0" w:color="auto"/>
              <w:right w:val="single" w:sz="4" w:space="0" w:color="auto"/>
            </w:tcBorders>
            <w:noWrap/>
            <w:vAlign w:val="bottom"/>
            <w:hideMark/>
          </w:tcPr>
          <w:p w14:paraId="6A05ACA1"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97" w:type="pct"/>
            <w:tcBorders>
              <w:top w:val="nil"/>
              <w:left w:val="nil"/>
              <w:bottom w:val="single" w:sz="4" w:space="0" w:color="auto"/>
              <w:right w:val="single" w:sz="4" w:space="0" w:color="auto"/>
            </w:tcBorders>
            <w:noWrap/>
            <w:vAlign w:val="bottom"/>
            <w:hideMark/>
          </w:tcPr>
          <w:p w14:paraId="76BC8130"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4968,16</w:t>
            </w:r>
          </w:p>
        </w:tc>
        <w:tc>
          <w:tcPr>
            <w:tcW w:w="698" w:type="pct"/>
            <w:tcBorders>
              <w:top w:val="nil"/>
              <w:left w:val="nil"/>
              <w:bottom w:val="single" w:sz="4" w:space="0" w:color="auto"/>
              <w:right w:val="single" w:sz="4" w:space="0" w:color="auto"/>
            </w:tcBorders>
            <w:noWrap/>
            <w:vAlign w:val="bottom"/>
            <w:hideMark/>
          </w:tcPr>
          <w:p w14:paraId="38B51370"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537,33</w:t>
            </w:r>
          </w:p>
        </w:tc>
        <w:tc>
          <w:tcPr>
            <w:tcW w:w="698" w:type="pct"/>
            <w:tcBorders>
              <w:top w:val="nil"/>
              <w:left w:val="nil"/>
              <w:bottom w:val="single" w:sz="4" w:space="0" w:color="auto"/>
              <w:right w:val="single" w:sz="4" w:space="0" w:color="auto"/>
            </w:tcBorders>
            <w:noWrap/>
            <w:vAlign w:val="bottom"/>
            <w:hideMark/>
          </w:tcPr>
          <w:p w14:paraId="15B7730D"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39C57883"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95,83</w:t>
            </w:r>
          </w:p>
        </w:tc>
      </w:tr>
      <w:tr w:rsidR="00C82BCC" w14:paraId="7DD7CD45"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770B6667"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97" w:type="pct"/>
            <w:tcBorders>
              <w:top w:val="nil"/>
              <w:left w:val="nil"/>
              <w:bottom w:val="single" w:sz="4" w:space="0" w:color="auto"/>
              <w:right w:val="single" w:sz="4" w:space="0" w:color="auto"/>
            </w:tcBorders>
            <w:noWrap/>
            <w:vAlign w:val="bottom"/>
            <w:hideMark/>
          </w:tcPr>
          <w:p w14:paraId="0B648438"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185,36</w:t>
            </w:r>
          </w:p>
        </w:tc>
        <w:tc>
          <w:tcPr>
            <w:tcW w:w="697" w:type="pct"/>
            <w:tcBorders>
              <w:top w:val="nil"/>
              <w:left w:val="nil"/>
              <w:bottom w:val="single" w:sz="4" w:space="0" w:color="auto"/>
              <w:right w:val="single" w:sz="4" w:space="0" w:color="auto"/>
            </w:tcBorders>
            <w:noWrap/>
            <w:vAlign w:val="bottom"/>
            <w:hideMark/>
          </w:tcPr>
          <w:p w14:paraId="2A310321"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97" w:type="pct"/>
            <w:tcBorders>
              <w:top w:val="nil"/>
              <w:left w:val="nil"/>
              <w:bottom w:val="single" w:sz="4" w:space="0" w:color="auto"/>
              <w:right w:val="single" w:sz="4" w:space="0" w:color="auto"/>
            </w:tcBorders>
            <w:noWrap/>
            <w:vAlign w:val="bottom"/>
            <w:hideMark/>
          </w:tcPr>
          <w:p w14:paraId="3551D7F7"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30,89</w:t>
            </w:r>
          </w:p>
        </w:tc>
        <w:tc>
          <w:tcPr>
            <w:tcW w:w="698" w:type="pct"/>
            <w:tcBorders>
              <w:top w:val="nil"/>
              <w:left w:val="nil"/>
              <w:bottom w:val="single" w:sz="4" w:space="0" w:color="auto"/>
              <w:right w:val="single" w:sz="4" w:space="0" w:color="auto"/>
            </w:tcBorders>
            <w:noWrap/>
            <w:vAlign w:val="bottom"/>
            <w:hideMark/>
          </w:tcPr>
          <w:p w14:paraId="1FD6E371"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3,34</w:t>
            </w:r>
          </w:p>
        </w:tc>
        <w:tc>
          <w:tcPr>
            <w:tcW w:w="698" w:type="pct"/>
            <w:tcBorders>
              <w:top w:val="nil"/>
              <w:left w:val="nil"/>
              <w:bottom w:val="single" w:sz="4" w:space="0" w:color="auto"/>
              <w:right w:val="single" w:sz="4" w:space="0" w:color="auto"/>
            </w:tcBorders>
            <w:noWrap/>
            <w:vAlign w:val="bottom"/>
            <w:hideMark/>
          </w:tcPr>
          <w:p w14:paraId="11E02F2F"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0,008</w:t>
            </w:r>
          </w:p>
        </w:tc>
        <w:tc>
          <w:tcPr>
            <w:tcW w:w="817" w:type="pct"/>
            <w:tcBorders>
              <w:top w:val="nil"/>
              <w:left w:val="nil"/>
              <w:bottom w:val="single" w:sz="4" w:space="0" w:color="auto"/>
              <w:right w:val="single" w:sz="4" w:space="0" w:color="auto"/>
            </w:tcBorders>
            <w:noWrap/>
            <w:vAlign w:val="bottom"/>
            <w:hideMark/>
          </w:tcPr>
          <w:p w14:paraId="607EDC57"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0,89</w:t>
            </w:r>
          </w:p>
        </w:tc>
      </w:tr>
      <w:tr w:rsidR="00C82BCC" w14:paraId="4EFD2324"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5AEABDD6"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97" w:type="pct"/>
            <w:tcBorders>
              <w:top w:val="nil"/>
              <w:left w:val="nil"/>
              <w:bottom w:val="single" w:sz="4" w:space="0" w:color="auto"/>
              <w:right w:val="single" w:sz="4" w:space="0" w:color="auto"/>
            </w:tcBorders>
            <w:noWrap/>
            <w:vAlign w:val="bottom"/>
            <w:hideMark/>
          </w:tcPr>
          <w:p w14:paraId="7A8198A0"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54,4</w:t>
            </w:r>
          </w:p>
        </w:tc>
        <w:tc>
          <w:tcPr>
            <w:tcW w:w="697" w:type="pct"/>
            <w:tcBorders>
              <w:top w:val="nil"/>
              <w:left w:val="nil"/>
              <w:bottom w:val="single" w:sz="4" w:space="0" w:color="auto"/>
              <w:right w:val="single" w:sz="4" w:space="0" w:color="auto"/>
            </w:tcBorders>
            <w:noWrap/>
            <w:vAlign w:val="bottom"/>
            <w:hideMark/>
          </w:tcPr>
          <w:p w14:paraId="58C922D1"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97" w:type="pct"/>
            <w:tcBorders>
              <w:top w:val="nil"/>
              <w:left w:val="nil"/>
              <w:bottom w:val="single" w:sz="4" w:space="0" w:color="auto"/>
              <w:right w:val="single" w:sz="4" w:space="0" w:color="auto"/>
            </w:tcBorders>
            <w:noWrap/>
            <w:vAlign w:val="bottom"/>
            <w:hideMark/>
          </w:tcPr>
          <w:p w14:paraId="37498CF5"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13,6</w:t>
            </w:r>
          </w:p>
        </w:tc>
        <w:tc>
          <w:tcPr>
            <w:tcW w:w="698" w:type="pct"/>
            <w:tcBorders>
              <w:top w:val="nil"/>
              <w:left w:val="nil"/>
              <w:bottom w:val="single" w:sz="4" w:space="0" w:color="auto"/>
              <w:right w:val="single" w:sz="4" w:space="0" w:color="auto"/>
            </w:tcBorders>
            <w:noWrap/>
            <w:vAlign w:val="bottom"/>
            <w:hideMark/>
          </w:tcPr>
          <w:p w14:paraId="1BB17576"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1,47</w:t>
            </w:r>
          </w:p>
        </w:tc>
        <w:tc>
          <w:tcPr>
            <w:tcW w:w="698" w:type="pct"/>
            <w:tcBorders>
              <w:top w:val="nil"/>
              <w:left w:val="nil"/>
              <w:bottom w:val="single" w:sz="4" w:space="0" w:color="auto"/>
              <w:right w:val="single" w:sz="4" w:space="0" w:color="auto"/>
            </w:tcBorders>
            <w:noWrap/>
            <w:vAlign w:val="bottom"/>
            <w:hideMark/>
          </w:tcPr>
          <w:p w14:paraId="01F3FD46"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0,2261</w:t>
            </w:r>
          </w:p>
        </w:tc>
        <w:tc>
          <w:tcPr>
            <w:tcW w:w="817" w:type="pct"/>
            <w:tcBorders>
              <w:top w:val="nil"/>
              <w:left w:val="nil"/>
              <w:bottom w:val="single" w:sz="4" w:space="0" w:color="auto"/>
              <w:right w:val="single" w:sz="4" w:space="0" w:color="auto"/>
            </w:tcBorders>
            <w:noWrap/>
            <w:vAlign w:val="bottom"/>
            <w:hideMark/>
          </w:tcPr>
          <w:p w14:paraId="08480BE6"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r>
      <w:tr w:rsidR="00C82BCC" w14:paraId="2660FFC7"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6039E978"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97" w:type="pct"/>
            <w:tcBorders>
              <w:top w:val="nil"/>
              <w:left w:val="nil"/>
              <w:bottom w:val="single" w:sz="4" w:space="0" w:color="auto"/>
              <w:right w:val="single" w:sz="4" w:space="0" w:color="auto"/>
            </w:tcBorders>
            <w:noWrap/>
            <w:vAlign w:val="bottom"/>
            <w:hideMark/>
          </w:tcPr>
          <w:p w14:paraId="28BE8380"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44,03</w:t>
            </w:r>
          </w:p>
        </w:tc>
        <w:tc>
          <w:tcPr>
            <w:tcW w:w="697" w:type="pct"/>
            <w:tcBorders>
              <w:top w:val="nil"/>
              <w:left w:val="nil"/>
              <w:bottom w:val="single" w:sz="4" w:space="0" w:color="auto"/>
              <w:right w:val="single" w:sz="4" w:space="0" w:color="auto"/>
            </w:tcBorders>
            <w:noWrap/>
            <w:vAlign w:val="bottom"/>
            <w:hideMark/>
          </w:tcPr>
          <w:p w14:paraId="2FC79659"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697" w:type="pct"/>
            <w:tcBorders>
              <w:top w:val="nil"/>
              <w:left w:val="nil"/>
              <w:bottom w:val="single" w:sz="4" w:space="0" w:color="auto"/>
              <w:right w:val="single" w:sz="4" w:space="0" w:color="auto"/>
            </w:tcBorders>
            <w:noWrap/>
            <w:vAlign w:val="bottom"/>
            <w:hideMark/>
          </w:tcPr>
          <w:p w14:paraId="16DFADCD"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14,68</w:t>
            </w:r>
          </w:p>
        </w:tc>
        <w:tc>
          <w:tcPr>
            <w:tcW w:w="698" w:type="pct"/>
            <w:tcBorders>
              <w:top w:val="nil"/>
              <w:left w:val="nil"/>
              <w:bottom w:val="single" w:sz="4" w:space="0" w:color="auto"/>
              <w:right w:val="single" w:sz="4" w:space="0" w:color="auto"/>
            </w:tcBorders>
            <w:noWrap/>
            <w:vAlign w:val="bottom"/>
            <w:hideMark/>
          </w:tcPr>
          <w:p w14:paraId="1E1B404E"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1,59</w:t>
            </w:r>
          </w:p>
        </w:tc>
        <w:tc>
          <w:tcPr>
            <w:tcW w:w="698" w:type="pct"/>
            <w:tcBorders>
              <w:top w:val="nil"/>
              <w:left w:val="nil"/>
              <w:bottom w:val="single" w:sz="4" w:space="0" w:color="auto"/>
              <w:right w:val="single" w:sz="4" w:space="0" w:color="auto"/>
            </w:tcBorders>
            <w:noWrap/>
            <w:vAlign w:val="bottom"/>
            <w:hideMark/>
          </w:tcPr>
          <w:p w14:paraId="167EB7F8"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0,205</w:t>
            </w:r>
          </w:p>
        </w:tc>
        <w:tc>
          <w:tcPr>
            <w:tcW w:w="817" w:type="pct"/>
            <w:tcBorders>
              <w:top w:val="nil"/>
              <w:left w:val="nil"/>
              <w:bottom w:val="single" w:sz="4" w:space="0" w:color="auto"/>
              <w:right w:val="single" w:sz="4" w:space="0" w:color="auto"/>
            </w:tcBorders>
            <w:noWrap/>
            <w:vAlign w:val="bottom"/>
            <w:hideMark/>
          </w:tcPr>
          <w:p w14:paraId="16647173"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0,21</w:t>
            </w:r>
          </w:p>
        </w:tc>
      </w:tr>
      <w:tr w:rsidR="00C82BCC" w14:paraId="65667C18"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72413534"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97" w:type="pct"/>
            <w:tcBorders>
              <w:top w:val="nil"/>
              <w:left w:val="nil"/>
              <w:bottom w:val="single" w:sz="4" w:space="0" w:color="auto"/>
              <w:right w:val="single" w:sz="4" w:space="0" w:color="auto"/>
            </w:tcBorders>
            <w:noWrap/>
            <w:vAlign w:val="bottom"/>
            <w:hideMark/>
          </w:tcPr>
          <w:p w14:paraId="4AA309C5"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132,94</w:t>
            </w:r>
          </w:p>
        </w:tc>
        <w:tc>
          <w:tcPr>
            <w:tcW w:w="697" w:type="pct"/>
            <w:tcBorders>
              <w:top w:val="nil"/>
              <w:left w:val="nil"/>
              <w:bottom w:val="single" w:sz="4" w:space="0" w:color="auto"/>
              <w:right w:val="single" w:sz="4" w:space="0" w:color="auto"/>
            </w:tcBorders>
            <w:noWrap/>
            <w:vAlign w:val="bottom"/>
            <w:hideMark/>
          </w:tcPr>
          <w:p w14:paraId="6BBAAA66"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97" w:type="pct"/>
            <w:tcBorders>
              <w:top w:val="nil"/>
              <w:left w:val="nil"/>
              <w:bottom w:val="single" w:sz="4" w:space="0" w:color="auto"/>
              <w:right w:val="single" w:sz="4" w:space="0" w:color="auto"/>
            </w:tcBorders>
            <w:noWrap/>
            <w:vAlign w:val="bottom"/>
            <w:hideMark/>
          </w:tcPr>
          <w:p w14:paraId="7327F11B"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66,47</w:t>
            </w:r>
          </w:p>
        </w:tc>
        <w:tc>
          <w:tcPr>
            <w:tcW w:w="698" w:type="pct"/>
            <w:tcBorders>
              <w:top w:val="nil"/>
              <w:left w:val="nil"/>
              <w:bottom w:val="single" w:sz="4" w:space="0" w:color="auto"/>
              <w:right w:val="single" w:sz="4" w:space="0" w:color="auto"/>
            </w:tcBorders>
            <w:noWrap/>
            <w:vAlign w:val="bottom"/>
            <w:hideMark/>
          </w:tcPr>
          <w:p w14:paraId="5E5981EE"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7,19</w:t>
            </w:r>
          </w:p>
        </w:tc>
        <w:tc>
          <w:tcPr>
            <w:tcW w:w="698" w:type="pct"/>
            <w:tcBorders>
              <w:top w:val="nil"/>
              <w:left w:val="nil"/>
              <w:bottom w:val="single" w:sz="4" w:space="0" w:color="auto"/>
              <w:right w:val="single" w:sz="4" w:space="0" w:color="auto"/>
            </w:tcBorders>
            <w:noWrap/>
            <w:vAlign w:val="bottom"/>
            <w:hideMark/>
          </w:tcPr>
          <w:p w14:paraId="2ADA81AC"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0,0019</w:t>
            </w:r>
          </w:p>
        </w:tc>
        <w:tc>
          <w:tcPr>
            <w:tcW w:w="817" w:type="pct"/>
            <w:tcBorders>
              <w:top w:val="nil"/>
              <w:left w:val="nil"/>
              <w:bottom w:val="single" w:sz="4" w:space="0" w:color="auto"/>
              <w:right w:val="single" w:sz="4" w:space="0" w:color="auto"/>
            </w:tcBorders>
            <w:noWrap/>
            <w:vAlign w:val="bottom"/>
            <w:hideMark/>
          </w:tcPr>
          <w:p w14:paraId="1BAD60C7"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0,64</w:t>
            </w:r>
          </w:p>
        </w:tc>
      </w:tr>
      <w:tr w:rsidR="00C82BCC" w14:paraId="31EF7D13"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27B3A1B3"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697" w:type="pct"/>
            <w:tcBorders>
              <w:top w:val="nil"/>
              <w:left w:val="nil"/>
              <w:bottom w:val="single" w:sz="4" w:space="0" w:color="auto"/>
              <w:right w:val="single" w:sz="4" w:space="0" w:color="auto"/>
            </w:tcBorders>
            <w:noWrap/>
            <w:vAlign w:val="bottom"/>
            <w:hideMark/>
          </w:tcPr>
          <w:p w14:paraId="314F28F8"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13,51</w:t>
            </w:r>
          </w:p>
        </w:tc>
        <w:tc>
          <w:tcPr>
            <w:tcW w:w="697" w:type="pct"/>
            <w:tcBorders>
              <w:top w:val="nil"/>
              <w:left w:val="nil"/>
              <w:bottom w:val="single" w:sz="4" w:space="0" w:color="auto"/>
              <w:right w:val="single" w:sz="4" w:space="0" w:color="auto"/>
            </w:tcBorders>
            <w:noWrap/>
            <w:vAlign w:val="bottom"/>
            <w:hideMark/>
          </w:tcPr>
          <w:p w14:paraId="44E37CDF"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97" w:type="pct"/>
            <w:tcBorders>
              <w:top w:val="nil"/>
              <w:left w:val="nil"/>
              <w:bottom w:val="single" w:sz="4" w:space="0" w:color="auto"/>
              <w:right w:val="single" w:sz="4" w:space="0" w:color="auto"/>
            </w:tcBorders>
            <w:noWrap/>
            <w:vAlign w:val="bottom"/>
            <w:hideMark/>
          </w:tcPr>
          <w:p w14:paraId="663A5B7D"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6,76</w:t>
            </w:r>
          </w:p>
        </w:tc>
        <w:tc>
          <w:tcPr>
            <w:tcW w:w="698" w:type="pct"/>
            <w:tcBorders>
              <w:top w:val="nil"/>
              <w:left w:val="nil"/>
              <w:bottom w:val="single" w:sz="4" w:space="0" w:color="auto"/>
              <w:right w:val="single" w:sz="4" w:space="0" w:color="auto"/>
            </w:tcBorders>
            <w:noWrap/>
            <w:vAlign w:val="bottom"/>
            <w:hideMark/>
          </w:tcPr>
          <w:p w14:paraId="67D4BA80"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0,73</w:t>
            </w:r>
          </w:p>
        </w:tc>
        <w:tc>
          <w:tcPr>
            <w:tcW w:w="698" w:type="pct"/>
            <w:tcBorders>
              <w:top w:val="nil"/>
              <w:left w:val="nil"/>
              <w:bottom w:val="single" w:sz="4" w:space="0" w:color="auto"/>
              <w:right w:val="single" w:sz="4" w:space="0" w:color="auto"/>
            </w:tcBorders>
            <w:noWrap/>
            <w:vAlign w:val="bottom"/>
            <w:hideMark/>
          </w:tcPr>
          <w:p w14:paraId="6703B683"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0,4869</w:t>
            </w:r>
          </w:p>
        </w:tc>
        <w:tc>
          <w:tcPr>
            <w:tcW w:w="817" w:type="pct"/>
            <w:tcBorders>
              <w:top w:val="nil"/>
              <w:left w:val="nil"/>
              <w:bottom w:val="single" w:sz="4" w:space="0" w:color="auto"/>
              <w:right w:val="single" w:sz="4" w:space="0" w:color="auto"/>
            </w:tcBorders>
            <w:noWrap/>
            <w:vAlign w:val="bottom"/>
            <w:hideMark/>
          </w:tcPr>
          <w:p w14:paraId="147D9CA7"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0,07</w:t>
            </w:r>
          </w:p>
        </w:tc>
      </w:tr>
      <w:tr w:rsidR="00C82BCC" w14:paraId="70B0E7D4"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4B9E038A"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97" w:type="pct"/>
            <w:tcBorders>
              <w:top w:val="nil"/>
              <w:left w:val="nil"/>
              <w:bottom w:val="single" w:sz="4" w:space="0" w:color="auto"/>
              <w:right w:val="single" w:sz="4" w:space="0" w:color="auto"/>
            </w:tcBorders>
            <w:noWrap/>
            <w:vAlign w:val="bottom"/>
            <w:hideMark/>
          </w:tcPr>
          <w:p w14:paraId="07FAA379"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434,57</w:t>
            </w:r>
          </w:p>
        </w:tc>
        <w:tc>
          <w:tcPr>
            <w:tcW w:w="697" w:type="pct"/>
            <w:tcBorders>
              <w:top w:val="nil"/>
              <w:left w:val="nil"/>
              <w:bottom w:val="single" w:sz="4" w:space="0" w:color="auto"/>
              <w:right w:val="single" w:sz="4" w:space="0" w:color="auto"/>
            </w:tcBorders>
            <w:noWrap/>
            <w:vAlign w:val="bottom"/>
            <w:hideMark/>
          </w:tcPr>
          <w:p w14:paraId="355E005F"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697" w:type="pct"/>
            <w:tcBorders>
              <w:top w:val="nil"/>
              <w:left w:val="nil"/>
              <w:bottom w:val="single" w:sz="4" w:space="0" w:color="auto"/>
              <w:right w:val="single" w:sz="4" w:space="0" w:color="auto"/>
            </w:tcBorders>
            <w:noWrap/>
            <w:vAlign w:val="bottom"/>
            <w:hideMark/>
          </w:tcPr>
          <w:p w14:paraId="724104D1"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9,25</w:t>
            </w:r>
          </w:p>
        </w:tc>
        <w:tc>
          <w:tcPr>
            <w:tcW w:w="698" w:type="pct"/>
            <w:tcBorders>
              <w:top w:val="nil"/>
              <w:left w:val="nil"/>
              <w:bottom w:val="single" w:sz="4" w:space="0" w:color="auto"/>
              <w:right w:val="single" w:sz="4" w:space="0" w:color="auto"/>
            </w:tcBorders>
            <w:noWrap/>
            <w:vAlign w:val="bottom"/>
            <w:hideMark/>
          </w:tcPr>
          <w:p w14:paraId="4362AAA1"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3B38C120"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17" w:type="pct"/>
            <w:tcBorders>
              <w:top w:val="nil"/>
              <w:left w:val="nil"/>
              <w:bottom w:val="single" w:sz="4" w:space="0" w:color="auto"/>
              <w:right w:val="single" w:sz="4" w:space="0" w:color="auto"/>
            </w:tcBorders>
            <w:noWrap/>
            <w:vAlign w:val="bottom"/>
            <w:hideMark/>
          </w:tcPr>
          <w:p w14:paraId="0B55ABEA"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2,10</w:t>
            </w:r>
          </w:p>
        </w:tc>
      </w:tr>
      <w:tr w:rsidR="00C82BCC" w14:paraId="2C6285AF" w14:textId="77777777" w:rsidTr="004175F6">
        <w:trPr>
          <w:trHeight w:val="300"/>
        </w:trPr>
        <w:tc>
          <w:tcPr>
            <w:tcW w:w="697" w:type="pct"/>
            <w:tcBorders>
              <w:top w:val="nil"/>
              <w:left w:val="single" w:sz="4" w:space="0" w:color="auto"/>
              <w:bottom w:val="single" w:sz="4" w:space="0" w:color="auto"/>
              <w:right w:val="single" w:sz="4" w:space="0" w:color="auto"/>
            </w:tcBorders>
            <w:noWrap/>
            <w:vAlign w:val="bottom"/>
            <w:hideMark/>
          </w:tcPr>
          <w:p w14:paraId="4DBA9638"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97" w:type="pct"/>
            <w:tcBorders>
              <w:top w:val="nil"/>
              <w:left w:val="nil"/>
              <w:bottom w:val="single" w:sz="4" w:space="0" w:color="auto"/>
              <w:right w:val="single" w:sz="4" w:space="0" w:color="auto"/>
            </w:tcBorders>
            <w:noWrap/>
            <w:vAlign w:val="bottom"/>
            <w:hideMark/>
          </w:tcPr>
          <w:p w14:paraId="0A21B2E5"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20737,45</w:t>
            </w:r>
          </w:p>
        </w:tc>
        <w:tc>
          <w:tcPr>
            <w:tcW w:w="697" w:type="pct"/>
            <w:tcBorders>
              <w:top w:val="nil"/>
              <w:left w:val="nil"/>
              <w:bottom w:val="single" w:sz="4" w:space="0" w:color="auto"/>
              <w:right w:val="single" w:sz="4" w:space="0" w:color="auto"/>
            </w:tcBorders>
            <w:noWrap/>
            <w:vAlign w:val="bottom"/>
            <w:hideMark/>
          </w:tcPr>
          <w:p w14:paraId="49D8B8C8"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w:t>
            </w:r>
          </w:p>
        </w:tc>
        <w:tc>
          <w:tcPr>
            <w:tcW w:w="697" w:type="pct"/>
            <w:tcBorders>
              <w:top w:val="nil"/>
              <w:left w:val="nil"/>
              <w:bottom w:val="single" w:sz="4" w:space="0" w:color="auto"/>
              <w:right w:val="single" w:sz="4" w:space="0" w:color="auto"/>
            </w:tcBorders>
            <w:noWrap/>
            <w:vAlign w:val="bottom"/>
            <w:hideMark/>
          </w:tcPr>
          <w:p w14:paraId="1A35B656"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19A0C761"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480D8850"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17" w:type="pct"/>
            <w:tcBorders>
              <w:top w:val="nil"/>
              <w:left w:val="nil"/>
              <w:bottom w:val="single" w:sz="4" w:space="0" w:color="auto"/>
              <w:right w:val="single" w:sz="4" w:space="0" w:color="auto"/>
            </w:tcBorders>
            <w:noWrap/>
            <w:vAlign w:val="bottom"/>
            <w:hideMark/>
          </w:tcPr>
          <w:p w14:paraId="4A33481E" w14:textId="77777777" w:rsidR="00C82BCC" w:rsidRDefault="00C82BCC" w:rsidP="00FD3DED">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1461770E" w14:textId="650C3530" w:rsidR="00C82BCC" w:rsidRDefault="00C82BCC" w:rsidP="00FD3DED">
      <w:pPr>
        <w:autoSpaceDE w:val="0"/>
        <w:autoSpaceDN w:val="0"/>
        <w:adjustRightInd w:val="0"/>
        <w:spacing w:before="360" w:after="360" w:line="360" w:lineRule="auto"/>
        <w:rPr>
          <w:rFonts w:cs="Times New Roman"/>
          <w:bCs/>
          <w:szCs w:val="24"/>
        </w:rPr>
      </w:pPr>
      <w:r>
        <w:rPr>
          <w:rFonts w:cs="Times New Roman"/>
          <w:bCs/>
          <w:szCs w:val="24"/>
        </w:rPr>
        <w:t>El modelo estadístico establecido explica el 97,90 % de la variación observada en los datos; el azufre considera una variación del 0,64 %. El nitrógeno explicó el 0,89 % de la variación observada. El 2,10 % de la variación se les atribuyó a efectos aleatorios que el modelo no pudo explicar (error). La parroquia explicó 95,83 %, de a</w:t>
      </w:r>
      <w:r w:rsidR="0089298E">
        <w:rPr>
          <w:rFonts w:cs="Times New Roman"/>
          <w:bCs/>
          <w:szCs w:val="24"/>
        </w:rPr>
        <w:t>b</w:t>
      </w:r>
      <w:r>
        <w:rPr>
          <w:rFonts w:cs="Times New Roman"/>
          <w:bCs/>
          <w:szCs w:val="24"/>
        </w:rPr>
        <w:t xml:space="preserve">sorción total de azufre, respectivamente. El fósforo, potasio y magnesio explicaron menos del 5% de la </w:t>
      </w:r>
      <w:r>
        <w:rPr>
          <w:rFonts w:cs="Times New Roman"/>
          <w:szCs w:val="24"/>
        </w:rPr>
        <w:t>absorción total de fósforo</w:t>
      </w:r>
      <w:r>
        <w:rPr>
          <w:rFonts w:cs="Times New Roman"/>
          <w:bCs/>
          <w:szCs w:val="24"/>
        </w:rPr>
        <w:t xml:space="preserve"> (</w:t>
      </w:r>
      <w:r w:rsidR="00F37524">
        <w:rPr>
          <w:rFonts w:cs="Times New Roman"/>
          <w:bCs/>
          <w:szCs w:val="24"/>
        </w:rPr>
        <w:t>Cuadro</w:t>
      </w:r>
      <w:r>
        <w:rPr>
          <w:rFonts w:cs="Times New Roman"/>
          <w:bCs/>
          <w:szCs w:val="24"/>
        </w:rPr>
        <w:t xml:space="preserve"> </w:t>
      </w:r>
      <w:r w:rsidR="0039325D">
        <w:rPr>
          <w:rFonts w:cs="Times New Roman"/>
          <w:bCs/>
          <w:szCs w:val="24"/>
        </w:rPr>
        <w:t>127</w:t>
      </w:r>
      <w:r>
        <w:rPr>
          <w:rFonts w:cs="Times New Roman"/>
          <w:bCs/>
          <w:szCs w:val="24"/>
        </w:rPr>
        <w:t xml:space="preserve">).  </w:t>
      </w:r>
    </w:p>
    <w:p w14:paraId="66D4820F" w14:textId="77544C0D" w:rsidR="00FD3DED" w:rsidRDefault="00C82BCC" w:rsidP="00FD3DED">
      <w:pPr>
        <w:autoSpaceDE w:val="0"/>
        <w:autoSpaceDN w:val="0"/>
        <w:adjustRightInd w:val="0"/>
        <w:spacing w:after="0" w:line="360" w:lineRule="auto"/>
        <w:rPr>
          <w:rFonts w:cs="Times New Roman"/>
          <w:bCs/>
          <w:szCs w:val="24"/>
        </w:rPr>
      </w:pPr>
      <w:r>
        <w:rPr>
          <w:rFonts w:cs="Times New Roman"/>
          <w:bCs/>
          <w:szCs w:val="24"/>
        </w:rPr>
        <w:t>En l</w:t>
      </w:r>
      <w:r w:rsidR="00F37524">
        <w:rPr>
          <w:rFonts w:cs="Times New Roman"/>
          <w:bCs/>
          <w:szCs w:val="24"/>
        </w:rPr>
        <w:t>os cuadros</w:t>
      </w:r>
      <w:r>
        <w:rPr>
          <w:rFonts w:cs="Times New Roman"/>
          <w:bCs/>
          <w:szCs w:val="24"/>
        </w:rPr>
        <w:t xml:space="preserve"> </w:t>
      </w:r>
      <w:r w:rsidR="0039325D">
        <w:rPr>
          <w:rFonts w:cs="Times New Roman"/>
          <w:bCs/>
          <w:szCs w:val="24"/>
        </w:rPr>
        <w:t>128,</w:t>
      </w:r>
      <w:r>
        <w:rPr>
          <w:rFonts w:cs="Times New Roman"/>
          <w:bCs/>
          <w:szCs w:val="24"/>
        </w:rPr>
        <w:t>129, 130, 131, 132</w:t>
      </w:r>
      <w:r w:rsidR="0039325D">
        <w:rPr>
          <w:rFonts w:cs="Times New Roman"/>
          <w:bCs/>
          <w:szCs w:val="24"/>
        </w:rPr>
        <w:t xml:space="preserve"> y </w:t>
      </w:r>
      <w:r>
        <w:rPr>
          <w:rFonts w:cs="Times New Roman"/>
          <w:bCs/>
          <w:szCs w:val="24"/>
        </w:rPr>
        <w:t>133 se presentan los promedios y el error estándar de a</w:t>
      </w:r>
      <w:r w:rsidR="0089298E">
        <w:rPr>
          <w:rFonts w:cs="Times New Roman"/>
          <w:bCs/>
          <w:szCs w:val="24"/>
        </w:rPr>
        <w:t>b</w:t>
      </w:r>
      <w:r>
        <w:rPr>
          <w:rFonts w:cs="Times New Roman"/>
          <w:bCs/>
          <w:szCs w:val="24"/>
        </w:rPr>
        <w:t>sorción de azufre por efecto de las localidades (parroquia) y los niveles de nitrógeno, fósforo, potasio, azufre, magnesio con su respectiva prueba de Lsd Fisher (alfa=0,05).</w:t>
      </w:r>
      <w:bookmarkStart w:id="1929" w:name="_Toc79314121"/>
    </w:p>
    <w:p w14:paraId="067EEEF1" w14:textId="77777777" w:rsidR="00FD3DED" w:rsidRDefault="00FD3DED" w:rsidP="00FD3DED">
      <w:pPr>
        <w:autoSpaceDE w:val="0"/>
        <w:autoSpaceDN w:val="0"/>
        <w:adjustRightInd w:val="0"/>
        <w:spacing w:before="360" w:after="0" w:line="360" w:lineRule="auto"/>
        <w:rPr>
          <w:rFonts w:cs="Times New Roman"/>
          <w:b/>
          <w:bCs/>
          <w:szCs w:val="24"/>
        </w:rPr>
      </w:pPr>
      <w:r>
        <w:rPr>
          <w:rFonts w:cs="Times New Roman"/>
          <w:b/>
          <w:bCs/>
          <w:szCs w:val="24"/>
        </w:rPr>
        <w:br w:type="page"/>
      </w:r>
    </w:p>
    <w:p w14:paraId="7B299310" w14:textId="2E404275" w:rsidR="004175F6" w:rsidRPr="00FD3DED" w:rsidRDefault="004175F6" w:rsidP="00FD3DED">
      <w:pPr>
        <w:autoSpaceDE w:val="0"/>
        <w:autoSpaceDN w:val="0"/>
        <w:adjustRightInd w:val="0"/>
        <w:spacing w:before="360" w:after="0" w:line="360" w:lineRule="auto"/>
        <w:rPr>
          <w:rFonts w:cs="Times New Roman"/>
          <w:bCs/>
          <w:szCs w:val="24"/>
        </w:rPr>
      </w:pPr>
      <w:r w:rsidRPr="004175F6">
        <w:rPr>
          <w:rFonts w:cs="Times New Roman"/>
          <w:b/>
          <w:bCs/>
          <w:szCs w:val="24"/>
        </w:rPr>
        <w:lastRenderedPageBreak/>
        <w:t xml:space="preserve">Cuadro </w:t>
      </w:r>
      <w:r w:rsidRPr="004175F6">
        <w:rPr>
          <w:rFonts w:cs="Times New Roman"/>
          <w:b/>
          <w:bCs/>
          <w:i/>
          <w:iCs/>
          <w:szCs w:val="24"/>
        </w:rPr>
        <w:fldChar w:fldCharType="begin"/>
      </w:r>
      <w:r w:rsidRPr="004175F6">
        <w:rPr>
          <w:rFonts w:cs="Times New Roman"/>
          <w:b/>
          <w:bCs/>
          <w:szCs w:val="24"/>
        </w:rPr>
        <w:instrText xml:space="preserve"> SEQ Cuadro \* ARABIC </w:instrText>
      </w:r>
      <w:r w:rsidRPr="004175F6">
        <w:rPr>
          <w:rFonts w:cs="Times New Roman"/>
          <w:b/>
          <w:bCs/>
          <w:i/>
          <w:iCs/>
          <w:szCs w:val="24"/>
        </w:rPr>
        <w:fldChar w:fldCharType="separate"/>
      </w:r>
      <w:r w:rsidR="000D1F55">
        <w:rPr>
          <w:rFonts w:cs="Times New Roman"/>
          <w:b/>
          <w:bCs/>
          <w:noProof/>
          <w:szCs w:val="24"/>
        </w:rPr>
        <w:t>129</w:t>
      </w:r>
      <w:r w:rsidRPr="004175F6">
        <w:rPr>
          <w:rFonts w:cs="Times New Roman"/>
          <w:b/>
          <w:bCs/>
          <w:i/>
          <w:iCs/>
          <w:szCs w:val="24"/>
        </w:rPr>
        <w:fldChar w:fldCharType="end"/>
      </w:r>
      <w:r w:rsidRPr="004175F6">
        <w:rPr>
          <w:rFonts w:cs="Times New Roman"/>
          <w:b/>
          <w:bCs/>
          <w:szCs w:val="24"/>
        </w:rPr>
        <w:t>.</w:t>
      </w:r>
      <w:r w:rsidRPr="004175F6">
        <w:rPr>
          <w:rFonts w:cs="Times New Roman"/>
          <w:bCs/>
          <w:szCs w:val="24"/>
        </w:rPr>
        <w:t xml:space="preserve"> Absorción total de azufre de plantas de maíz suave, evaluado por localidades (parroquia) en la provincia de Imbabura 2010-2015.</w:t>
      </w:r>
      <w:bookmarkEnd w:id="1929"/>
    </w:p>
    <w:tbl>
      <w:tblPr>
        <w:tblW w:w="5000" w:type="pct"/>
        <w:jc w:val="center"/>
        <w:tblCellMar>
          <w:left w:w="0" w:type="dxa"/>
          <w:right w:w="0" w:type="dxa"/>
        </w:tblCellMar>
        <w:tblLook w:val="04A0" w:firstRow="1" w:lastRow="0" w:firstColumn="1" w:lastColumn="0" w:noHBand="0" w:noVBand="1"/>
      </w:tblPr>
      <w:tblGrid>
        <w:gridCol w:w="1341"/>
        <w:gridCol w:w="983"/>
        <w:gridCol w:w="648"/>
        <w:gridCol w:w="2126"/>
        <w:gridCol w:w="322"/>
        <w:gridCol w:w="893"/>
        <w:gridCol w:w="807"/>
        <w:gridCol w:w="807"/>
      </w:tblGrid>
      <w:tr w:rsidR="00C82BCC" w14:paraId="0745F027" w14:textId="77777777" w:rsidTr="004175F6">
        <w:trPr>
          <w:trHeight w:val="300"/>
          <w:jc w:val="center"/>
        </w:trPr>
        <w:tc>
          <w:tcPr>
            <w:tcW w:w="8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91C225" w14:textId="77777777" w:rsidR="00C82BCC" w:rsidRDefault="00C82BCC" w:rsidP="00FD3DED">
            <w:pPr>
              <w:spacing w:after="0" w:line="240" w:lineRule="auto"/>
              <w:jc w:val="center"/>
              <w:rPr>
                <w:rFonts w:cs="Times New Roman"/>
                <w:b/>
                <w:bCs/>
                <w:color w:val="000000"/>
                <w:szCs w:val="24"/>
              </w:rPr>
            </w:pPr>
            <w:r>
              <w:rPr>
                <w:rFonts w:cs="Times New Roman"/>
                <w:b/>
                <w:bCs/>
                <w:color w:val="000000"/>
                <w:szCs w:val="24"/>
              </w:rPr>
              <w:t xml:space="preserve">Parroquia </w:t>
            </w:r>
          </w:p>
        </w:tc>
        <w:tc>
          <w:tcPr>
            <w:tcW w:w="62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6D1F7B5" w14:textId="77777777" w:rsidR="00C82BCC" w:rsidRDefault="00C82BCC" w:rsidP="00FD3DED">
            <w:pPr>
              <w:spacing w:after="0" w:line="240" w:lineRule="auto"/>
              <w:jc w:val="center"/>
              <w:rPr>
                <w:rFonts w:cs="Times New Roman"/>
                <w:b/>
                <w:bCs/>
                <w:color w:val="000000"/>
                <w:szCs w:val="24"/>
              </w:rPr>
            </w:pPr>
            <w:r>
              <w:rPr>
                <w:rFonts w:cs="Times New Roman"/>
                <w:b/>
                <w:bCs/>
                <w:color w:val="000000"/>
                <w:szCs w:val="24"/>
              </w:rPr>
              <w:t>Medias</w:t>
            </w:r>
          </w:p>
        </w:tc>
        <w:tc>
          <w:tcPr>
            <w:tcW w:w="40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018B4AC" w14:textId="77777777" w:rsidR="00C82BCC" w:rsidRDefault="00C82BCC" w:rsidP="00FD3DED">
            <w:pPr>
              <w:spacing w:after="0" w:line="240" w:lineRule="auto"/>
              <w:jc w:val="center"/>
              <w:rPr>
                <w:rFonts w:cs="Times New Roman"/>
                <w:b/>
                <w:bCs/>
                <w:color w:val="000000"/>
                <w:szCs w:val="24"/>
              </w:rPr>
            </w:pPr>
            <w:r>
              <w:rPr>
                <w:rFonts w:cs="Times New Roman"/>
                <w:b/>
                <w:bCs/>
                <w:color w:val="000000"/>
                <w:szCs w:val="24"/>
              </w:rPr>
              <w:t xml:space="preserve">n </w:t>
            </w:r>
          </w:p>
        </w:tc>
        <w:tc>
          <w:tcPr>
            <w:tcW w:w="134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ED7DCC3" w14:textId="77777777" w:rsidR="00C82BCC" w:rsidRDefault="00C82BCC"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20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4A3CFA1C" w14:textId="77777777" w:rsidR="00C82BCC" w:rsidRDefault="00C82BCC" w:rsidP="00FD3DED">
            <w:pPr>
              <w:spacing w:after="0" w:line="240" w:lineRule="auto"/>
              <w:jc w:val="center"/>
              <w:rPr>
                <w:rFonts w:cs="Times New Roman"/>
                <w:b/>
                <w:bCs/>
                <w:color w:val="000000"/>
                <w:szCs w:val="24"/>
              </w:rPr>
            </w:pPr>
            <w:r>
              <w:rPr>
                <w:rFonts w:cs="Times New Roman"/>
                <w:b/>
                <w:bCs/>
                <w:color w:val="000000"/>
                <w:szCs w:val="24"/>
              </w:rPr>
              <w:t xml:space="preserve">  </w:t>
            </w:r>
          </w:p>
        </w:tc>
        <w:tc>
          <w:tcPr>
            <w:tcW w:w="563"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2053E069" w14:textId="77777777" w:rsidR="00C82BCC" w:rsidRDefault="00C82BCC" w:rsidP="00FD3DED">
            <w:pPr>
              <w:spacing w:after="0" w:line="240" w:lineRule="auto"/>
              <w:jc w:val="right"/>
              <w:rPr>
                <w:rFonts w:cs="Times New Roman"/>
                <w:b/>
                <w:bCs/>
                <w:color w:val="000000"/>
                <w:szCs w:val="24"/>
              </w:rPr>
            </w:pPr>
            <w:r>
              <w:rPr>
                <w:rFonts w:cs="Times New Roman"/>
                <w:b/>
                <w:bCs/>
                <w:color w:val="000000"/>
                <w:szCs w:val="24"/>
              </w:rPr>
              <w:t xml:space="preserve">  Lsd</w:t>
            </w:r>
          </w:p>
        </w:tc>
        <w:tc>
          <w:tcPr>
            <w:tcW w:w="509"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4CD4E69F" w14:textId="77777777" w:rsidR="00C82BCC" w:rsidRDefault="00C82BCC" w:rsidP="00FD3DED">
            <w:pPr>
              <w:spacing w:after="0" w:line="240" w:lineRule="auto"/>
              <w:rPr>
                <w:rFonts w:cs="Times New Roman"/>
                <w:b/>
                <w:bCs/>
                <w:color w:val="000000"/>
                <w:szCs w:val="24"/>
              </w:rPr>
            </w:pPr>
            <w:r>
              <w:rPr>
                <w:rFonts w:cs="Times New Roman"/>
                <w:b/>
                <w:bCs/>
                <w:color w:val="000000"/>
                <w:szCs w:val="24"/>
              </w:rPr>
              <w:t xml:space="preserve"> 0,05  </w:t>
            </w:r>
          </w:p>
        </w:tc>
        <w:tc>
          <w:tcPr>
            <w:tcW w:w="50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EA050BC" w14:textId="77777777" w:rsidR="00C82BCC" w:rsidRDefault="00C82BCC" w:rsidP="00FD3DED">
            <w:pPr>
              <w:spacing w:after="0" w:line="240" w:lineRule="auto"/>
              <w:jc w:val="center"/>
              <w:rPr>
                <w:rFonts w:cs="Times New Roman"/>
                <w:b/>
                <w:bCs/>
                <w:color w:val="000000"/>
                <w:szCs w:val="24"/>
              </w:rPr>
            </w:pPr>
            <w:r>
              <w:rPr>
                <w:rFonts w:cs="Times New Roman"/>
                <w:b/>
                <w:bCs/>
                <w:color w:val="000000"/>
                <w:szCs w:val="24"/>
              </w:rPr>
              <w:t xml:space="preserve">  </w:t>
            </w:r>
          </w:p>
        </w:tc>
      </w:tr>
      <w:tr w:rsidR="00C82BCC" w14:paraId="2CF1D69B" w14:textId="77777777" w:rsidTr="004175F6">
        <w:trPr>
          <w:trHeight w:val="300"/>
          <w:jc w:val="center"/>
        </w:trPr>
        <w:tc>
          <w:tcPr>
            <w:tcW w:w="84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1AAFF5" w14:textId="77777777" w:rsidR="00C82BCC" w:rsidRDefault="00C82BCC" w:rsidP="00FD3DED">
            <w:pPr>
              <w:spacing w:after="0" w:line="240" w:lineRule="auto"/>
              <w:jc w:val="center"/>
              <w:rPr>
                <w:rFonts w:cs="Times New Roman"/>
                <w:color w:val="000000"/>
                <w:szCs w:val="24"/>
              </w:rPr>
            </w:pPr>
            <w:r>
              <w:rPr>
                <w:rFonts w:cs="Times New Roman"/>
                <w:color w:val="000000"/>
                <w:szCs w:val="24"/>
              </w:rPr>
              <w:t>Miguel Egas</w:t>
            </w:r>
          </w:p>
        </w:tc>
        <w:tc>
          <w:tcPr>
            <w:tcW w:w="62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DD0ECA" w14:textId="77777777" w:rsidR="00C82BCC" w:rsidRDefault="00C82BCC" w:rsidP="00FD3DED">
            <w:pPr>
              <w:spacing w:after="0" w:line="240" w:lineRule="auto"/>
              <w:jc w:val="center"/>
              <w:rPr>
                <w:rFonts w:cs="Times New Roman"/>
                <w:color w:val="000000"/>
                <w:szCs w:val="24"/>
              </w:rPr>
            </w:pPr>
            <w:r>
              <w:rPr>
                <w:rFonts w:cs="Times New Roman"/>
                <w:color w:val="000000"/>
                <w:szCs w:val="24"/>
              </w:rPr>
              <w:t>7,73</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8D2B7C" w14:textId="77777777" w:rsidR="00C82BCC" w:rsidRDefault="00C82BCC" w:rsidP="00FD3DED">
            <w:pPr>
              <w:spacing w:after="0" w:line="240" w:lineRule="auto"/>
              <w:jc w:val="center"/>
              <w:rPr>
                <w:rFonts w:cs="Times New Roman"/>
                <w:color w:val="000000"/>
                <w:szCs w:val="24"/>
              </w:rPr>
            </w:pPr>
            <w:r>
              <w:rPr>
                <w:rFonts w:cs="Times New Roman"/>
                <w:color w:val="000000"/>
                <w:szCs w:val="24"/>
              </w:rPr>
              <w:t>21</w:t>
            </w:r>
          </w:p>
        </w:tc>
        <w:tc>
          <w:tcPr>
            <w:tcW w:w="13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C9EE31" w14:textId="77777777" w:rsidR="00C82BCC" w:rsidRDefault="00C82BCC" w:rsidP="00FD3DED">
            <w:pPr>
              <w:spacing w:after="0" w:line="240" w:lineRule="auto"/>
              <w:jc w:val="center"/>
              <w:rPr>
                <w:rFonts w:cs="Times New Roman"/>
                <w:color w:val="000000"/>
                <w:szCs w:val="24"/>
              </w:rPr>
            </w:pPr>
            <w:r>
              <w:rPr>
                <w:rFonts w:cs="Times New Roman"/>
                <w:color w:val="000000"/>
                <w:szCs w:val="24"/>
              </w:rPr>
              <w:t>0,73</w:t>
            </w:r>
          </w:p>
        </w:tc>
        <w:tc>
          <w:tcPr>
            <w:tcW w:w="20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DC3A5D8"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A </w:t>
            </w:r>
          </w:p>
        </w:tc>
        <w:tc>
          <w:tcPr>
            <w:tcW w:w="56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5BE135A"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0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7F95344"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0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2FC1D03"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783A1DF2" w14:textId="77777777" w:rsidTr="004175F6">
        <w:trPr>
          <w:trHeight w:val="300"/>
          <w:jc w:val="center"/>
        </w:trPr>
        <w:tc>
          <w:tcPr>
            <w:tcW w:w="84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C2BBF8"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Imantag    </w:t>
            </w:r>
          </w:p>
        </w:tc>
        <w:tc>
          <w:tcPr>
            <w:tcW w:w="62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B1F3C2" w14:textId="77777777" w:rsidR="00C82BCC" w:rsidRDefault="00C82BCC" w:rsidP="00FD3DED">
            <w:pPr>
              <w:spacing w:after="0" w:line="240" w:lineRule="auto"/>
              <w:jc w:val="center"/>
              <w:rPr>
                <w:rFonts w:cs="Times New Roman"/>
                <w:color w:val="000000"/>
                <w:szCs w:val="24"/>
              </w:rPr>
            </w:pPr>
            <w:r>
              <w:rPr>
                <w:rFonts w:cs="Times New Roman"/>
                <w:color w:val="000000"/>
                <w:szCs w:val="24"/>
              </w:rPr>
              <w:t>8,71</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E12B13" w14:textId="77777777" w:rsidR="00C82BCC" w:rsidRDefault="00C82BCC" w:rsidP="00FD3DED">
            <w:pPr>
              <w:spacing w:after="0" w:line="240" w:lineRule="auto"/>
              <w:jc w:val="center"/>
              <w:rPr>
                <w:rFonts w:cs="Times New Roman"/>
                <w:color w:val="000000"/>
                <w:szCs w:val="24"/>
              </w:rPr>
            </w:pPr>
            <w:r>
              <w:rPr>
                <w:rFonts w:cs="Times New Roman"/>
                <w:color w:val="000000"/>
                <w:szCs w:val="24"/>
              </w:rPr>
              <w:t>17</w:t>
            </w:r>
          </w:p>
        </w:tc>
        <w:tc>
          <w:tcPr>
            <w:tcW w:w="13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3E4A52" w14:textId="77777777" w:rsidR="00C82BCC" w:rsidRDefault="00C82BCC" w:rsidP="00FD3DED">
            <w:pPr>
              <w:spacing w:after="0" w:line="240" w:lineRule="auto"/>
              <w:jc w:val="center"/>
              <w:rPr>
                <w:rFonts w:cs="Times New Roman"/>
                <w:color w:val="000000"/>
                <w:szCs w:val="24"/>
              </w:rPr>
            </w:pPr>
            <w:r>
              <w:rPr>
                <w:rFonts w:cs="Times New Roman"/>
                <w:color w:val="000000"/>
                <w:szCs w:val="24"/>
              </w:rPr>
              <w:t>0,76</w:t>
            </w:r>
          </w:p>
        </w:tc>
        <w:tc>
          <w:tcPr>
            <w:tcW w:w="20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B6247F"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A </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A30DE1"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584063"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AAF307"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67F0FAF6" w14:textId="77777777" w:rsidTr="004175F6">
        <w:trPr>
          <w:trHeight w:val="300"/>
          <w:jc w:val="center"/>
        </w:trPr>
        <w:tc>
          <w:tcPr>
            <w:tcW w:w="84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89BB4EA"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Paztavi    </w:t>
            </w:r>
          </w:p>
        </w:tc>
        <w:tc>
          <w:tcPr>
            <w:tcW w:w="62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785358" w14:textId="77777777" w:rsidR="00C82BCC" w:rsidRDefault="00C82BCC" w:rsidP="00FD3DED">
            <w:pPr>
              <w:spacing w:after="0" w:line="240" w:lineRule="auto"/>
              <w:jc w:val="center"/>
              <w:rPr>
                <w:rFonts w:cs="Times New Roman"/>
                <w:color w:val="000000"/>
                <w:szCs w:val="24"/>
              </w:rPr>
            </w:pPr>
            <w:r>
              <w:rPr>
                <w:rFonts w:cs="Times New Roman"/>
                <w:color w:val="000000"/>
                <w:szCs w:val="24"/>
              </w:rPr>
              <w:t>13,58</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2224BE" w14:textId="77777777" w:rsidR="00C82BCC" w:rsidRDefault="00C82BCC" w:rsidP="00FD3DED">
            <w:pPr>
              <w:spacing w:after="0" w:line="240" w:lineRule="auto"/>
              <w:jc w:val="center"/>
              <w:rPr>
                <w:rFonts w:cs="Times New Roman"/>
                <w:color w:val="000000"/>
                <w:szCs w:val="24"/>
              </w:rPr>
            </w:pPr>
            <w:r>
              <w:rPr>
                <w:rFonts w:cs="Times New Roman"/>
                <w:color w:val="000000"/>
                <w:szCs w:val="24"/>
              </w:rPr>
              <w:t>6</w:t>
            </w:r>
          </w:p>
        </w:tc>
        <w:tc>
          <w:tcPr>
            <w:tcW w:w="13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E87BB1" w14:textId="77777777" w:rsidR="00C82BCC" w:rsidRDefault="00C82BCC" w:rsidP="00FD3DED">
            <w:pPr>
              <w:spacing w:after="0" w:line="240" w:lineRule="auto"/>
              <w:jc w:val="center"/>
              <w:rPr>
                <w:rFonts w:cs="Times New Roman"/>
                <w:color w:val="000000"/>
                <w:szCs w:val="24"/>
              </w:rPr>
            </w:pPr>
            <w:r>
              <w:rPr>
                <w:rFonts w:cs="Times New Roman"/>
                <w:color w:val="000000"/>
                <w:szCs w:val="24"/>
              </w:rPr>
              <w:t>1,28</w:t>
            </w:r>
          </w:p>
        </w:tc>
        <w:tc>
          <w:tcPr>
            <w:tcW w:w="20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DE1A14"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9B56DE"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B </w:t>
            </w:r>
          </w:p>
        </w:tc>
        <w:tc>
          <w:tcPr>
            <w:tcW w:w="5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60682E"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8964E9"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6B6C35E9" w14:textId="77777777" w:rsidTr="004175F6">
        <w:trPr>
          <w:trHeight w:val="300"/>
          <w:jc w:val="center"/>
        </w:trPr>
        <w:tc>
          <w:tcPr>
            <w:tcW w:w="84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D891AD" w14:textId="77777777" w:rsidR="00C82BCC" w:rsidRDefault="00C82BCC" w:rsidP="00FD3DED">
            <w:pPr>
              <w:spacing w:after="0" w:line="240" w:lineRule="auto"/>
              <w:jc w:val="center"/>
              <w:rPr>
                <w:rFonts w:cs="Times New Roman"/>
                <w:color w:val="000000"/>
                <w:szCs w:val="24"/>
              </w:rPr>
            </w:pPr>
            <w:r>
              <w:rPr>
                <w:rFonts w:cs="Times New Roman"/>
                <w:color w:val="000000"/>
                <w:szCs w:val="24"/>
              </w:rPr>
              <w:t>El Sagrario</w:t>
            </w:r>
          </w:p>
        </w:tc>
        <w:tc>
          <w:tcPr>
            <w:tcW w:w="62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59594F" w14:textId="77777777" w:rsidR="00C82BCC" w:rsidRDefault="00C82BCC" w:rsidP="00FD3DED">
            <w:pPr>
              <w:spacing w:after="0" w:line="240" w:lineRule="auto"/>
              <w:jc w:val="center"/>
              <w:rPr>
                <w:rFonts w:cs="Times New Roman"/>
                <w:color w:val="000000"/>
                <w:szCs w:val="24"/>
              </w:rPr>
            </w:pPr>
            <w:r>
              <w:rPr>
                <w:rFonts w:cs="Times New Roman"/>
                <w:color w:val="000000"/>
                <w:szCs w:val="24"/>
              </w:rPr>
              <w:t>20,29</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C42622" w14:textId="77777777" w:rsidR="00C82BCC" w:rsidRDefault="00C82BCC" w:rsidP="00FD3DED">
            <w:pPr>
              <w:spacing w:after="0" w:line="240" w:lineRule="auto"/>
              <w:jc w:val="center"/>
              <w:rPr>
                <w:rFonts w:cs="Times New Roman"/>
                <w:color w:val="000000"/>
                <w:szCs w:val="24"/>
              </w:rPr>
            </w:pPr>
            <w:r>
              <w:rPr>
                <w:rFonts w:cs="Times New Roman"/>
                <w:color w:val="000000"/>
                <w:szCs w:val="24"/>
              </w:rPr>
              <w:t>10</w:t>
            </w:r>
          </w:p>
        </w:tc>
        <w:tc>
          <w:tcPr>
            <w:tcW w:w="13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F7B88C" w14:textId="77777777" w:rsidR="00C82BCC" w:rsidRDefault="00C82BCC" w:rsidP="00FD3DED">
            <w:pPr>
              <w:spacing w:after="0" w:line="240" w:lineRule="auto"/>
              <w:jc w:val="center"/>
              <w:rPr>
                <w:rFonts w:cs="Times New Roman"/>
                <w:color w:val="000000"/>
                <w:szCs w:val="24"/>
              </w:rPr>
            </w:pPr>
            <w:r>
              <w:rPr>
                <w:rFonts w:cs="Times New Roman"/>
                <w:color w:val="000000"/>
                <w:szCs w:val="24"/>
              </w:rPr>
              <w:t>0,99</w:t>
            </w:r>
          </w:p>
        </w:tc>
        <w:tc>
          <w:tcPr>
            <w:tcW w:w="20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6FB6AA"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BF6F80"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254FE0"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C </w:t>
            </w:r>
          </w:p>
        </w:tc>
        <w:tc>
          <w:tcPr>
            <w:tcW w:w="5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761E10"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1314DF4F" w14:textId="77777777" w:rsidTr="004175F6">
        <w:trPr>
          <w:trHeight w:val="300"/>
          <w:jc w:val="center"/>
        </w:trPr>
        <w:tc>
          <w:tcPr>
            <w:tcW w:w="84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15D0D47"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Ilumán     </w:t>
            </w:r>
          </w:p>
        </w:tc>
        <w:tc>
          <w:tcPr>
            <w:tcW w:w="62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D32A58" w14:textId="77777777" w:rsidR="00C82BCC" w:rsidRDefault="00C82BCC" w:rsidP="00FD3DED">
            <w:pPr>
              <w:spacing w:after="0" w:line="240" w:lineRule="auto"/>
              <w:jc w:val="center"/>
              <w:rPr>
                <w:rFonts w:cs="Times New Roman"/>
                <w:color w:val="000000"/>
                <w:szCs w:val="24"/>
              </w:rPr>
            </w:pPr>
            <w:r>
              <w:rPr>
                <w:rFonts w:cs="Times New Roman"/>
                <w:color w:val="000000"/>
                <w:szCs w:val="24"/>
              </w:rPr>
              <w:t>50,48</w:t>
            </w:r>
          </w:p>
        </w:tc>
        <w:tc>
          <w:tcPr>
            <w:tcW w:w="4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0C4BBC" w14:textId="77777777" w:rsidR="00C82BCC" w:rsidRDefault="00C82BCC" w:rsidP="00FD3DED">
            <w:pPr>
              <w:spacing w:after="0" w:line="240" w:lineRule="auto"/>
              <w:jc w:val="center"/>
              <w:rPr>
                <w:rFonts w:cs="Times New Roman"/>
                <w:color w:val="000000"/>
                <w:szCs w:val="24"/>
              </w:rPr>
            </w:pPr>
            <w:r>
              <w:rPr>
                <w:rFonts w:cs="Times New Roman"/>
                <w:color w:val="000000"/>
                <w:szCs w:val="24"/>
              </w:rPr>
              <w:t>15</w:t>
            </w:r>
          </w:p>
        </w:tc>
        <w:tc>
          <w:tcPr>
            <w:tcW w:w="13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C23601" w14:textId="77777777" w:rsidR="00C82BCC" w:rsidRDefault="00C82BCC" w:rsidP="00FD3DED">
            <w:pPr>
              <w:spacing w:after="0" w:line="240" w:lineRule="auto"/>
              <w:jc w:val="center"/>
              <w:rPr>
                <w:rFonts w:cs="Times New Roman"/>
                <w:color w:val="000000"/>
                <w:szCs w:val="24"/>
              </w:rPr>
            </w:pPr>
            <w:r>
              <w:rPr>
                <w:rFonts w:cs="Times New Roman"/>
                <w:color w:val="000000"/>
                <w:szCs w:val="24"/>
              </w:rPr>
              <w:t>0,85</w:t>
            </w:r>
          </w:p>
        </w:tc>
        <w:tc>
          <w:tcPr>
            <w:tcW w:w="20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9E7B83"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6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F51E72"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9DA454"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0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B5E4BC"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D </w:t>
            </w:r>
          </w:p>
        </w:tc>
      </w:tr>
    </w:tbl>
    <w:p w14:paraId="6148EF04" w14:textId="77777777" w:rsidR="00FD3DED" w:rsidRDefault="00C82BCC" w:rsidP="00FD3DED">
      <w:pPr>
        <w:autoSpaceDE w:val="0"/>
        <w:autoSpaceDN w:val="0"/>
        <w:adjustRightInd w:val="0"/>
        <w:spacing w:after="0" w:line="360" w:lineRule="auto"/>
        <w:rPr>
          <w:rFonts w:cs="Times New Roman"/>
          <w:szCs w:val="24"/>
        </w:rPr>
      </w:pPr>
      <w:r>
        <w:rPr>
          <w:rFonts w:cs="Times New Roman"/>
          <w:szCs w:val="24"/>
        </w:rPr>
        <w:t xml:space="preserve"> Medias con una letra común no son significa</w:t>
      </w:r>
      <w:r w:rsidR="004175F6">
        <w:rPr>
          <w:rFonts w:cs="Times New Roman"/>
          <w:szCs w:val="24"/>
        </w:rPr>
        <w:t>tivamente diferentes (p &gt; 0,05)</w:t>
      </w:r>
      <w:bookmarkStart w:id="1930" w:name="_Toc79314122"/>
    </w:p>
    <w:p w14:paraId="7F33DA3B" w14:textId="57F07E27" w:rsidR="004175F6" w:rsidRPr="00FD3DED" w:rsidRDefault="004175F6" w:rsidP="00FD3DED">
      <w:pPr>
        <w:autoSpaceDE w:val="0"/>
        <w:autoSpaceDN w:val="0"/>
        <w:adjustRightInd w:val="0"/>
        <w:spacing w:before="360" w:after="0" w:line="360" w:lineRule="auto"/>
        <w:rPr>
          <w:rFonts w:cs="Times New Roman"/>
          <w:szCs w:val="24"/>
        </w:rPr>
      </w:pPr>
      <w:r w:rsidRPr="004175F6">
        <w:rPr>
          <w:rFonts w:cs="Times New Roman"/>
          <w:b/>
          <w:szCs w:val="24"/>
        </w:rPr>
        <w:t xml:space="preserve">Cuadro </w:t>
      </w:r>
      <w:r w:rsidRPr="004175F6">
        <w:rPr>
          <w:rFonts w:cs="Times New Roman"/>
          <w:b/>
          <w:i/>
          <w:iCs/>
          <w:szCs w:val="24"/>
        </w:rPr>
        <w:fldChar w:fldCharType="begin"/>
      </w:r>
      <w:r w:rsidRPr="004175F6">
        <w:rPr>
          <w:rFonts w:cs="Times New Roman"/>
          <w:b/>
          <w:szCs w:val="24"/>
        </w:rPr>
        <w:instrText xml:space="preserve"> SEQ Cuadro \* ARABIC </w:instrText>
      </w:r>
      <w:r w:rsidRPr="004175F6">
        <w:rPr>
          <w:rFonts w:cs="Times New Roman"/>
          <w:b/>
          <w:i/>
          <w:iCs/>
          <w:szCs w:val="24"/>
        </w:rPr>
        <w:fldChar w:fldCharType="separate"/>
      </w:r>
      <w:r w:rsidR="000D1F55">
        <w:rPr>
          <w:rFonts w:cs="Times New Roman"/>
          <w:b/>
          <w:noProof/>
          <w:szCs w:val="24"/>
        </w:rPr>
        <w:t>130</w:t>
      </w:r>
      <w:r w:rsidRPr="004175F6">
        <w:rPr>
          <w:rFonts w:cs="Times New Roman"/>
          <w:b/>
          <w:i/>
          <w:iCs/>
          <w:szCs w:val="24"/>
        </w:rPr>
        <w:fldChar w:fldCharType="end"/>
      </w:r>
      <w:r w:rsidRPr="004175F6">
        <w:rPr>
          <w:rFonts w:cs="Times New Roman"/>
          <w:b/>
          <w:szCs w:val="24"/>
        </w:rPr>
        <w:t xml:space="preserve">. </w:t>
      </w:r>
      <w:r w:rsidRPr="004175F6">
        <w:rPr>
          <w:rFonts w:cs="Times New Roman"/>
          <w:szCs w:val="24"/>
        </w:rPr>
        <w:t>Absorción total de azufre de maíz suave para diversas dosis de nitrógeno evaluadas en la provincia de Imbabura 2010-2015.</w:t>
      </w:r>
      <w:bookmarkEnd w:id="1930"/>
    </w:p>
    <w:tbl>
      <w:tblPr>
        <w:tblW w:w="5000" w:type="pct"/>
        <w:jc w:val="center"/>
        <w:tblCellMar>
          <w:left w:w="0" w:type="dxa"/>
          <w:right w:w="0" w:type="dxa"/>
        </w:tblCellMar>
        <w:tblLook w:val="04A0" w:firstRow="1" w:lastRow="0" w:firstColumn="1" w:lastColumn="0" w:noHBand="0" w:noVBand="1"/>
      </w:tblPr>
      <w:tblGrid>
        <w:gridCol w:w="1776"/>
        <w:gridCol w:w="858"/>
        <w:gridCol w:w="406"/>
        <w:gridCol w:w="1709"/>
        <w:gridCol w:w="545"/>
        <w:gridCol w:w="545"/>
        <w:gridCol w:w="537"/>
        <w:gridCol w:w="701"/>
        <w:gridCol w:w="850"/>
      </w:tblGrid>
      <w:tr w:rsidR="00FD3DED" w14:paraId="38D7E04B" w14:textId="77777777" w:rsidTr="00FD3DED">
        <w:trPr>
          <w:trHeight w:val="300"/>
          <w:jc w:val="center"/>
        </w:trPr>
        <w:tc>
          <w:tcPr>
            <w:tcW w:w="11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35A3F5" w14:textId="77777777" w:rsidR="00FD3DED" w:rsidRDefault="00FD3DED" w:rsidP="00FD3DED">
            <w:pPr>
              <w:spacing w:after="0" w:line="240" w:lineRule="auto"/>
              <w:jc w:val="center"/>
              <w:rPr>
                <w:rFonts w:cs="Times New Roman"/>
                <w:b/>
                <w:bCs/>
                <w:color w:val="000000"/>
                <w:szCs w:val="24"/>
              </w:rPr>
            </w:pPr>
            <w:r>
              <w:rPr>
                <w:rFonts w:cs="Times New Roman"/>
                <w:b/>
                <w:bCs/>
                <w:color w:val="000000"/>
                <w:szCs w:val="24"/>
              </w:rPr>
              <w:t xml:space="preserve">Dosis N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4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EDF9065" w14:textId="77777777" w:rsidR="00FD3DED" w:rsidRDefault="00FD3DED" w:rsidP="00FD3DED">
            <w:pPr>
              <w:spacing w:after="0" w:line="240" w:lineRule="auto"/>
              <w:jc w:val="center"/>
              <w:rPr>
                <w:rFonts w:cs="Times New Roman"/>
                <w:b/>
                <w:bCs/>
                <w:color w:val="000000"/>
                <w:szCs w:val="24"/>
              </w:rPr>
            </w:pPr>
            <w:r>
              <w:rPr>
                <w:rFonts w:cs="Times New Roman"/>
                <w:b/>
                <w:bCs/>
                <w:color w:val="000000"/>
                <w:szCs w:val="24"/>
              </w:rPr>
              <w:t>Medias</w:t>
            </w:r>
          </w:p>
        </w:tc>
        <w:tc>
          <w:tcPr>
            <w:tcW w:w="25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1B35AD8" w14:textId="77777777" w:rsidR="00FD3DED" w:rsidRDefault="00FD3DED" w:rsidP="00FD3DED">
            <w:pPr>
              <w:spacing w:after="0" w:line="240" w:lineRule="auto"/>
              <w:jc w:val="center"/>
              <w:rPr>
                <w:rFonts w:cs="Times New Roman"/>
                <w:b/>
                <w:bCs/>
                <w:color w:val="000000"/>
                <w:szCs w:val="24"/>
              </w:rPr>
            </w:pPr>
            <w:r>
              <w:rPr>
                <w:rFonts w:cs="Times New Roman"/>
                <w:b/>
                <w:bCs/>
                <w:color w:val="000000"/>
                <w:szCs w:val="24"/>
              </w:rPr>
              <w:t xml:space="preserve">n </w:t>
            </w:r>
          </w:p>
        </w:tc>
        <w:tc>
          <w:tcPr>
            <w:tcW w:w="107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8B0ED62" w14:textId="77777777" w:rsidR="00FD3DED" w:rsidRDefault="00FD3DED" w:rsidP="00FD3DED">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2005" w:type="pct"/>
            <w:gridSpan w:val="5"/>
            <w:tcBorders>
              <w:top w:val="single" w:sz="4" w:space="0" w:color="auto"/>
              <w:left w:val="single" w:sz="4" w:space="0" w:color="auto"/>
              <w:bottom w:val="single" w:sz="4" w:space="0" w:color="auto"/>
              <w:right w:val="single" w:sz="4" w:space="0" w:color="auto"/>
            </w:tcBorders>
          </w:tcPr>
          <w:p w14:paraId="0E499B4F" w14:textId="598E51D2" w:rsidR="00FD3DED" w:rsidRDefault="00FD3DED" w:rsidP="00FD3DED">
            <w:pPr>
              <w:spacing w:after="0" w:line="240" w:lineRule="auto"/>
              <w:jc w:val="center"/>
              <w:rPr>
                <w:rFonts w:cs="Times New Roman"/>
                <w:b/>
                <w:bCs/>
                <w:color w:val="000000"/>
                <w:szCs w:val="24"/>
              </w:rPr>
            </w:pPr>
            <w:r>
              <w:rPr>
                <w:rFonts w:cs="Times New Roman"/>
                <w:b/>
                <w:bCs/>
                <w:color w:val="000000"/>
                <w:szCs w:val="24"/>
              </w:rPr>
              <w:t>Lsd 0,05</w:t>
            </w:r>
          </w:p>
        </w:tc>
      </w:tr>
      <w:tr w:rsidR="00C82BCC" w14:paraId="285D86C5" w14:textId="77777777" w:rsidTr="001E7468">
        <w:trPr>
          <w:trHeight w:val="300"/>
          <w:jc w:val="center"/>
        </w:trPr>
        <w:tc>
          <w:tcPr>
            <w:tcW w:w="112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CC478BC" w14:textId="77777777" w:rsidR="00C82BCC" w:rsidRDefault="00C82BCC" w:rsidP="00FD3DED">
            <w:pPr>
              <w:spacing w:after="0" w:line="240" w:lineRule="auto"/>
              <w:jc w:val="center"/>
              <w:rPr>
                <w:rFonts w:cs="Times New Roman"/>
                <w:color w:val="000000"/>
                <w:szCs w:val="24"/>
              </w:rPr>
            </w:pPr>
            <w:r>
              <w:rPr>
                <w:rFonts w:cs="Times New Roman"/>
                <w:color w:val="000000"/>
                <w:szCs w:val="24"/>
              </w:rPr>
              <w:t>100</w:t>
            </w:r>
          </w:p>
        </w:tc>
        <w:tc>
          <w:tcPr>
            <w:tcW w:w="5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5895D2" w14:textId="77777777" w:rsidR="00C82BCC" w:rsidRDefault="00C82BCC" w:rsidP="00FD3DED">
            <w:pPr>
              <w:spacing w:after="0" w:line="240" w:lineRule="auto"/>
              <w:jc w:val="center"/>
              <w:rPr>
                <w:rFonts w:cs="Times New Roman"/>
                <w:color w:val="000000"/>
                <w:szCs w:val="24"/>
              </w:rPr>
            </w:pPr>
            <w:r>
              <w:rPr>
                <w:rFonts w:cs="Times New Roman"/>
                <w:color w:val="000000"/>
                <w:szCs w:val="24"/>
              </w:rPr>
              <w:t>11,79</w:t>
            </w:r>
          </w:p>
        </w:tc>
        <w:tc>
          <w:tcPr>
            <w:tcW w:w="2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7864BD" w14:textId="77777777" w:rsidR="00C82BCC" w:rsidRDefault="00C82BCC" w:rsidP="00FD3DED">
            <w:pPr>
              <w:spacing w:after="0" w:line="240" w:lineRule="auto"/>
              <w:jc w:val="center"/>
              <w:rPr>
                <w:rFonts w:cs="Times New Roman"/>
                <w:color w:val="000000"/>
                <w:szCs w:val="24"/>
              </w:rPr>
            </w:pPr>
            <w:r>
              <w:rPr>
                <w:rFonts w:cs="Times New Roman"/>
                <w:color w:val="000000"/>
                <w:szCs w:val="24"/>
              </w:rPr>
              <w:t>19</w:t>
            </w:r>
          </w:p>
        </w:tc>
        <w:tc>
          <w:tcPr>
            <w:tcW w:w="10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BDA37E" w14:textId="77777777" w:rsidR="00C82BCC" w:rsidRDefault="00C82BCC" w:rsidP="00FD3DED">
            <w:pPr>
              <w:spacing w:after="0" w:line="240" w:lineRule="auto"/>
              <w:jc w:val="center"/>
              <w:rPr>
                <w:rFonts w:cs="Times New Roman"/>
                <w:color w:val="000000"/>
                <w:szCs w:val="24"/>
              </w:rPr>
            </w:pPr>
            <w:r>
              <w:rPr>
                <w:rFonts w:cs="Times New Roman"/>
                <w:color w:val="000000"/>
                <w:szCs w:val="24"/>
              </w:rPr>
              <w:t>0,74</w:t>
            </w:r>
          </w:p>
        </w:tc>
        <w:tc>
          <w:tcPr>
            <w:tcW w:w="344" w:type="pct"/>
            <w:tcBorders>
              <w:top w:val="single" w:sz="4" w:space="0" w:color="auto"/>
              <w:left w:val="nil"/>
              <w:bottom w:val="single" w:sz="4" w:space="0" w:color="auto"/>
              <w:right w:val="nil"/>
            </w:tcBorders>
          </w:tcPr>
          <w:p w14:paraId="6835E3C6" w14:textId="77777777" w:rsidR="00C82BCC" w:rsidRDefault="00C82BCC" w:rsidP="00FD3DED">
            <w:pPr>
              <w:spacing w:after="0" w:line="240" w:lineRule="auto"/>
              <w:jc w:val="center"/>
              <w:rPr>
                <w:rFonts w:cs="Times New Roman"/>
                <w:color w:val="000000"/>
                <w:szCs w:val="24"/>
              </w:rPr>
            </w:pPr>
          </w:p>
        </w:tc>
        <w:tc>
          <w:tcPr>
            <w:tcW w:w="34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6701C4F"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A </w:t>
            </w:r>
          </w:p>
        </w:tc>
        <w:tc>
          <w:tcPr>
            <w:tcW w:w="33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5FB0CCB"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4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B269898"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3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2B8D8AF"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3B01093E" w14:textId="77777777" w:rsidTr="001E7468">
        <w:trPr>
          <w:trHeight w:val="300"/>
          <w:jc w:val="center"/>
        </w:trPr>
        <w:tc>
          <w:tcPr>
            <w:tcW w:w="112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07FB33" w14:textId="77777777" w:rsidR="00C82BCC" w:rsidRDefault="00C82BCC" w:rsidP="00FD3DED">
            <w:pPr>
              <w:spacing w:after="0" w:line="240" w:lineRule="auto"/>
              <w:jc w:val="center"/>
              <w:rPr>
                <w:rFonts w:cs="Times New Roman"/>
                <w:color w:val="000000"/>
                <w:szCs w:val="24"/>
              </w:rPr>
            </w:pPr>
            <w:r>
              <w:rPr>
                <w:rFonts w:cs="Times New Roman"/>
                <w:color w:val="000000"/>
                <w:szCs w:val="24"/>
              </w:rPr>
              <w:t>150</w:t>
            </w:r>
          </w:p>
        </w:tc>
        <w:tc>
          <w:tcPr>
            <w:tcW w:w="5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3C9FE0" w14:textId="77777777" w:rsidR="00C82BCC" w:rsidRDefault="00C82BCC" w:rsidP="00FD3DED">
            <w:pPr>
              <w:spacing w:after="0" w:line="240" w:lineRule="auto"/>
              <w:jc w:val="center"/>
              <w:rPr>
                <w:rFonts w:cs="Times New Roman"/>
                <w:color w:val="000000"/>
                <w:szCs w:val="24"/>
              </w:rPr>
            </w:pPr>
            <w:r>
              <w:rPr>
                <w:rFonts w:cs="Times New Roman"/>
                <w:color w:val="000000"/>
                <w:szCs w:val="24"/>
              </w:rPr>
              <w:t>12,3</w:t>
            </w:r>
          </w:p>
        </w:tc>
        <w:tc>
          <w:tcPr>
            <w:tcW w:w="2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CE5819" w14:textId="77777777" w:rsidR="00C82BCC" w:rsidRDefault="00C82BCC" w:rsidP="00FD3DED">
            <w:pPr>
              <w:spacing w:after="0" w:line="240" w:lineRule="auto"/>
              <w:jc w:val="center"/>
              <w:rPr>
                <w:rFonts w:cs="Times New Roman"/>
                <w:color w:val="000000"/>
                <w:szCs w:val="24"/>
              </w:rPr>
            </w:pPr>
            <w:r>
              <w:rPr>
                <w:rFonts w:cs="Times New Roman"/>
                <w:color w:val="000000"/>
                <w:szCs w:val="24"/>
              </w:rPr>
              <w:t>3</w:t>
            </w:r>
          </w:p>
        </w:tc>
        <w:tc>
          <w:tcPr>
            <w:tcW w:w="10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169D83" w14:textId="77777777" w:rsidR="00C82BCC" w:rsidRDefault="00C82BCC" w:rsidP="00FD3DED">
            <w:pPr>
              <w:spacing w:after="0" w:line="240" w:lineRule="auto"/>
              <w:jc w:val="center"/>
              <w:rPr>
                <w:rFonts w:cs="Times New Roman"/>
                <w:color w:val="000000"/>
                <w:szCs w:val="24"/>
              </w:rPr>
            </w:pPr>
            <w:r>
              <w:rPr>
                <w:rFonts w:cs="Times New Roman"/>
                <w:color w:val="000000"/>
                <w:szCs w:val="24"/>
              </w:rPr>
              <w:t>1,81</w:t>
            </w:r>
          </w:p>
        </w:tc>
        <w:tc>
          <w:tcPr>
            <w:tcW w:w="344" w:type="pct"/>
            <w:tcBorders>
              <w:top w:val="nil"/>
              <w:left w:val="nil"/>
              <w:bottom w:val="single" w:sz="4" w:space="0" w:color="auto"/>
              <w:right w:val="nil"/>
            </w:tcBorders>
          </w:tcPr>
          <w:p w14:paraId="11A569AF" w14:textId="77777777" w:rsidR="00C82BCC" w:rsidRDefault="00C82BCC" w:rsidP="00FD3DED">
            <w:pPr>
              <w:spacing w:after="0" w:line="240" w:lineRule="auto"/>
              <w:jc w:val="center"/>
              <w:rPr>
                <w:rFonts w:cs="Times New Roman"/>
                <w:color w:val="000000"/>
                <w:szCs w:val="24"/>
              </w:rPr>
            </w:pPr>
          </w:p>
        </w:tc>
        <w:tc>
          <w:tcPr>
            <w:tcW w:w="34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D40FCE"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A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6F1247"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1CE95D"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3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3157C5"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09D9E100" w14:textId="77777777" w:rsidTr="001E7468">
        <w:trPr>
          <w:trHeight w:val="300"/>
          <w:jc w:val="center"/>
        </w:trPr>
        <w:tc>
          <w:tcPr>
            <w:tcW w:w="112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1CC5FEC" w14:textId="77777777" w:rsidR="00C82BCC" w:rsidRDefault="00C82BCC" w:rsidP="00FD3DED">
            <w:pPr>
              <w:spacing w:after="0" w:line="240" w:lineRule="auto"/>
              <w:jc w:val="center"/>
              <w:rPr>
                <w:rFonts w:cs="Times New Roman"/>
                <w:color w:val="000000"/>
                <w:szCs w:val="24"/>
              </w:rPr>
            </w:pPr>
            <w:r>
              <w:rPr>
                <w:rFonts w:cs="Times New Roman"/>
                <w:color w:val="000000"/>
                <w:szCs w:val="24"/>
              </w:rPr>
              <w:t>200</w:t>
            </w:r>
          </w:p>
        </w:tc>
        <w:tc>
          <w:tcPr>
            <w:tcW w:w="5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88B6C1" w14:textId="77777777" w:rsidR="00C82BCC" w:rsidRDefault="00C82BCC" w:rsidP="00FD3DED">
            <w:pPr>
              <w:spacing w:after="0" w:line="240" w:lineRule="auto"/>
              <w:jc w:val="center"/>
              <w:rPr>
                <w:rFonts w:cs="Times New Roman"/>
                <w:color w:val="000000"/>
                <w:szCs w:val="24"/>
              </w:rPr>
            </w:pPr>
            <w:r>
              <w:rPr>
                <w:rFonts w:cs="Times New Roman"/>
                <w:color w:val="000000"/>
                <w:szCs w:val="24"/>
              </w:rPr>
              <w:t>13,05</w:t>
            </w:r>
          </w:p>
        </w:tc>
        <w:tc>
          <w:tcPr>
            <w:tcW w:w="2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D7D1AB" w14:textId="77777777" w:rsidR="00C82BCC" w:rsidRDefault="00C82BCC" w:rsidP="00FD3DED">
            <w:pPr>
              <w:spacing w:after="0" w:line="240" w:lineRule="auto"/>
              <w:jc w:val="center"/>
              <w:rPr>
                <w:rFonts w:cs="Times New Roman"/>
                <w:color w:val="000000"/>
                <w:szCs w:val="24"/>
              </w:rPr>
            </w:pPr>
            <w:r>
              <w:rPr>
                <w:rFonts w:cs="Times New Roman"/>
                <w:color w:val="000000"/>
                <w:szCs w:val="24"/>
              </w:rPr>
              <w:t>3</w:t>
            </w:r>
          </w:p>
        </w:tc>
        <w:tc>
          <w:tcPr>
            <w:tcW w:w="10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9378DF" w14:textId="77777777" w:rsidR="00C82BCC" w:rsidRDefault="00C82BCC" w:rsidP="00FD3DED">
            <w:pPr>
              <w:spacing w:after="0" w:line="240" w:lineRule="auto"/>
              <w:jc w:val="center"/>
              <w:rPr>
                <w:rFonts w:cs="Times New Roman"/>
                <w:color w:val="000000"/>
                <w:szCs w:val="24"/>
              </w:rPr>
            </w:pPr>
            <w:r>
              <w:rPr>
                <w:rFonts w:cs="Times New Roman"/>
                <w:color w:val="000000"/>
                <w:szCs w:val="24"/>
              </w:rPr>
              <w:t>1,81</w:t>
            </w:r>
          </w:p>
        </w:tc>
        <w:tc>
          <w:tcPr>
            <w:tcW w:w="344" w:type="pct"/>
            <w:tcBorders>
              <w:top w:val="nil"/>
              <w:left w:val="nil"/>
              <w:bottom w:val="single" w:sz="4" w:space="0" w:color="auto"/>
              <w:right w:val="nil"/>
            </w:tcBorders>
          </w:tcPr>
          <w:p w14:paraId="5590BE47" w14:textId="77777777" w:rsidR="00C82BCC" w:rsidRDefault="00C82BCC" w:rsidP="00FD3DED">
            <w:pPr>
              <w:spacing w:after="0" w:line="240" w:lineRule="auto"/>
              <w:jc w:val="center"/>
              <w:rPr>
                <w:rFonts w:cs="Times New Roman"/>
                <w:color w:val="000000"/>
                <w:szCs w:val="24"/>
              </w:rPr>
            </w:pPr>
          </w:p>
        </w:tc>
        <w:tc>
          <w:tcPr>
            <w:tcW w:w="34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E09DA2"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A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0C22A6"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9A0921"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3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5D1420"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19D1496B" w14:textId="77777777" w:rsidTr="001E7468">
        <w:trPr>
          <w:trHeight w:val="300"/>
          <w:jc w:val="center"/>
        </w:trPr>
        <w:tc>
          <w:tcPr>
            <w:tcW w:w="112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997A85" w14:textId="77777777" w:rsidR="00C82BCC" w:rsidRDefault="00C82BCC" w:rsidP="00FD3DED">
            <w:pPr>
              <w:spacing w:after="0" w:line="240" w:lineRule="auto"/>
              <w:jc w:val="center"/>
              <w:rPr>
                <w:rFonts w:cs="Times New Roman"/>
                <w:color w:val="000000"/>
                <w:szCs w:val="24"/>
              </w:rPr>
            </w:pPr>
            <w:r>
              <w:rPr>
                <w:rFonts w:cs="Times New Roman"/>
                <w:color w:val="000000"/>
                <w:szCs w:val="24"/>
              </w:rPr>
              <w:t>50</w:t>
            </w:r>
          </w:p>
        </w:tc>
        <w:tc>
          <w:tcPr>
            <w:tcW w:w="5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FDF8AA" w14:textId="77777777" w:rsidR="00C82BCC" w:rsidRDefault="00C82BCC" w:rsidP="00FD3DED">
            <w:pPr>
              <w:spacing w:after="0" w:line="240" w:lineRule="auto"/>
              <w:jc w:val="center"/>
              <w:rPr>
                <w:rFonts w:cs="Times New Roman"/>
                <w:color w:val="000000"/>
                <w:szCs w:val="24"/>
              </w:rPr>
            </w:pPr>
            <w:r>
              <w:rPr>
                <w:rFonts w:cs="Times New Roman"/>
                <w:color w:val="000000"/>
                <w:szCs w:val="24"/>
              </w:rPr>
              <w:t>13,09</w:t>
            </w:r>
          </w:p>
        </w:tc>
        <w:tc>
          <w:tcPr>
            <w:tcW w:w="2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395C03" w14:textId="77777777" w:rsidR="00C82BCC" w:rsidRDefault="00C82BCC" w:rsidP="00FD3DED">
            <w:pPr>
              <w:spacing w:after="0" w:line="240" w:lineRule="auto"/>
              <w:jc w:val="center"/>
              <w:rPr>
                <w:rFonts w:cs="Times New Roman"/>
                <w:color w:val="000000"/>
                <w:szCs w:val="24"/>
              </w:rPr>
            </w:pPr>
            <w:r>
              <w:rPr>
                <w:rFonts w:cs="Times New Roman"/>
                <w:color w:val="000000"/>
                <w:szCs w:val="24"/>
              </w:rPr>
              <w:t>4</w:t>
            </w:r>
          </w:p>
        </w:tc>
        <w:tc>
          <w:tcPr>
            <w:tcW w:w="10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8BB926" w14:textId="77777777" w:rsidR="00C82BCC" w:rsidRDefault="00C82BCC" w:rsidP="00FD3DED">
            <w:pPr>
              <w:spacing w:after="0" w:line="240" w:lineRule="auto"/>
              <w:jc w:val="center"/>
              <w:rPr>
                <w:rFonts w:cs="Times New Roman"/>
                <w:color w:val="000000"/>
                <w:szCs w:val="24"/>
              </w:rPr>
            </w:pPr>
            <w:r>
              <w:rPr>
                <w:rFonts w:cs="Times New Roman"/>
                <w:color w:val="000000"/>
                <w:szCs w:val="24"/>
              </w:rPr>
              <w:t>1,57</w:t>
            </w:r>
          </w:p>
        </w:tc>
        <w:tc>
          <w:tcPr>
            <w:tcW w:w="344" w:type="pct"/>
            <w:tcBorders>
              <w:top w:val="nil"/>
              <w:left w:val="nil"/>
              <w:bottom w:val="single" w:sz="4" w:space="0" w:color="auto"/>
              <w:right w:val="nil"/>
            </w:tcBorders>
          </w:tcPr>
          <w:p w14:paraId="744AF3BE" w14:textId="77777777" w:rsidR="00C82BCC" w:rsidRDefault="00C82BCC" w:rsidP="00FD3DED">
            <w:pPr>
              <w:spacing w:after="0" w:line="240" w:lineRule="auto"/>
              <w:jc w:val="center"/>
              <w:rPr>
                <w:rFonts w:cs="Times New Roman"/>
                <w:color w:val="000000"/>
                <w:szCs w:val="24"/>
              </w:rPr>
            </w:pPr>
          </w:p>
        </w:tc>
        <w:tc>
          <w:tcPr>
            <w:tcW w:w="34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75B37C"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A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7398CE"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B9DAF2"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3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115407"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1374D834" w14:textId="77777777" w:rsidTr="001E7468">
        <w:trPr>
          <w:trHeight w:val="300"/>
          <w:jc w:val="center"/>
        </w:trPr>
        <w:tc>
          <w:tcPr>
            <w:tcW w:w="112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FA3C2E" w14:textId="77777777" w:rsidR="00C82BCC" w:rsidRDefault="00C82BCC" w:rsidP="00FD3DED">
            <w:pPr>
              <w:spacing w:after="0" w:line="240" w:lineRule="auto"/>
              <w:jc w:val="center"/>
              <w:rPr>
                <w:rFonts w:cs="Times New Roman"/>
                <w:color w:val="000000"/>
                <w:szCs w:val="24"/>
              </w:rPr>
            </w:pPr>
            <w:r>
              <w:rPr>
                <w:rFonts w:cs="Times New Roman"/>
                <w:color w:val="000000"/>
                <w:szCs w:val="24"/>
              </w:rPr>
              <w:t>0</w:t>
            </w:r>
          </w:p>
        </w:tc>
        <w:tc>
          <w:tcPr>
            <w:tcW w:w="5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E36DED" w14:textId="77777777" w:rsidR="00C82BCC" w:rsidRDefault="00C82BCC" w:rsidP="00FD3DED">
            <w:pPr>
              <w:spacing w:after="0" w:line="240" w:lineRule="auto"/>
              <w:jc w:val="center"/>
              <w:rPr>
                <w:rFonts w:cs="Times New Roman"/>
                <w:color w:val="000000"/>
                <w:szCs w:val="24"/>
              </w:rPr>
            </w:pPr>
            <w:r>
              <w:rPr>
                <w:rFonts w:cs="Times New Roman"/>
                <w:color w:val="000000"/>
                <w:szCs w:val="24"/>
              </w:rPr>
              <w:t>19,62</w:t>
            </w:r>
          </w:p>
        </w:tc>
        <w:tc>
          <w:tcPr>
            <w:tcW w:w="2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FD064D" w14:textId="77777777" w:rsidR="00C82BCC" w:rsidRDefault="00C82BCC" w:rsidP="00FD3DED">
            <w:pPr>
              <w:spacing w:after="0" w:line="240" w:lineRule="auto"/>
              <w:jc w:val="center"/>
              <w:rPr>
                <w:rFonts w:cs="Times New Roman"/>
                <w:color w:val="000000"/>
                <w:szCs w:val="24"/>
              </w:rPr>
            </w:pPr>
            <w:r>
              <w:rPr>
                <w:rFonts w:cs="Times New Roman"/>
                <w:color w:val="000000"/>
                <w:szCs w:val="24"/>
              </w:rPr>
              <w:t>23</w:t>
            </w:r>
          </w:p>
        </w:tc>
        <w:tc>
          <w:tcPr>
            <w:tcW w:w="10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E76C59" w14:textId="77777777" w:rsidR="00C82BCC" w:rsidRDefault="00C82BCC" w:rsidP="00FD3DED">
            <w:pPr>
              <w:spacing w:after="0" w:line="240" w:lineRule="auto"/>
              <w:jc w:val="center"/>
              <w:rPr>
                <w:rFonts w:cs="Times New Roman"/>
                <w:color w:val="000000"/>
                <w:szCs w:val="24"/>
              </w:rPr>
            </w:pPr>
            <w:r>
              <w:rPr>
                <w:rFonts w:cs="Times New Roman"/>
                <w:color w:val="000000"/>
                <w:szCs w:val="24"/>
              </w:rPr>
              <w:t>0,67</w:t>
            </w:r>
          </w:p>
        </w:tc>
        <w:tc>
          <w:tcPr>
            <w:tcW w:w="344" w:type="pct"/>
            <w:tcBorders>
              <w:top w:val="nil"/>
              <w:left w:val="nil"/>
              <w:bottom w:val="single" w:sz="4" w:space="0" w:color="auto"/>
              <w:right w:val="nil"/>
            </w:tcBorders>
          </w:tcPr>
          <w:p w14:paraId="4F346AE6" w14:textId="77777777" w:rsidR="00C82BCC" w:rsidRDefault="00C82BCC" w:rsidP="00FD3DED">
            <w:pPr>
              <w:spacing w:after="0" w:line="240" w:lineRule="auto"/>
              <w:jc w:val="center"/>
              <w:rPr>
                <w:rFonts w:cs="Times New Roman"/>
                <w:color w:val="000000"/>
                <w:szCs w:val="24"/>
              </w:rPr>
            </w:pPr>
          </w:p>
        </w:tc>
        <w:tc>
          <w:tcPr>
            <w:tcW w:w="34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F5C7DB"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00EF47"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B </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E86503"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53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78056C"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r w:rsidR="00C82BCC" w14:paraId="0575EC00" w14:textId="77777777" w:rsidTr="001E7468">
        <w:trPr>
          <w:trHeight w:val="300"/>
          <w:jc w:val="center"/>
        </w:trPr>
        <w:tc>
          <w:tcPr>
            <w:tcW w:w="112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96FFD0" w14:textId="77777777" w:rsidR="00C82BCC" w:rsidRDefault="00C82BCC" w:rsidP="00FD3DED">
            <w:pPr>
              <w:spacing w:after="0" w:line="240" w:lineRule="auto"/>
              <w:jc w:val="center"/>
              <w:rPr>
                <w:rFonts w:cs="Times New Roman"/>
                <w:color w:val="000000"/>
                <w:szCs w:val="24"/>
              </w:rPr>
            </w:pPr>
            <w:r>
              <w:rPr>
                <w:rFonts w:cs="Times New Roman"/>
                <w:color w:val="000000"/>
                <w:szCs w:val="24"/>
              </w:rPr>
              <w:t>120</w:t>
            </w:r>
          </w:p>
        </w:tc>
        <w:tc>
          <w:tcPr>
            <w:tcW w:w="54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E07587" w14:textId="77777777" w:rsidR="00C82BCC" w:rsidRDefault="00C82BCC" w:rsidP="00FD3DED">
            <w:pPr>
              <w:spacing w:after="0" w:line="240" w:lineRule="auto"/>
              <w:jc w:val="center"/>
              <w:rPr>
                <w:rFonts w:cs="Times New Roman"/>
                <w:color w:val="000000"/>
                <w:szCs w:val="24"/>
              </w:rPr>
            </w:pPr>
            <w:r>
              <w:rPr>
                <w:rFonts w:cs="Times New Roman"/>
                <w:color w:val="000000"/>
                <w:szCs w:val="24"/>
              </w:rPr>
              <w:t>30,83</w:t>
            </w:r>
          </w:p>
        </w:tc>
        <w:tc>
          <w:tcPr>
            <w:tcW w:w="25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0980E7" w14:textId="77777777" w:rsidR="00C82BCC" w:rsidRDefault="00C82BCC" w:rsidP="00FD3DED">
            <w:pPr>
              <w:spacing w:after="0" w:line="240" w:lineRule="auto"/>
              <w:jc w:val="center"/>
              <w:rPr>
                <w:rFonts w:cs="Times New Roman"/>
                <w:color w:val="000000"/>
                <w:szCs w:val="24"/>
              </w:rPr>
            </w:pPr>
            <w:r>
              <w:rPr>
                <w:rFonts w:cs="Times New Roman"/>
                <w:color w:val="000000"/>
                <w:szCs w:val="24"/>
              </w:rPr>
              <w:t>16</w:t>
            </w:r>
          </w:p>
        </w:tc>
        <w:tc>
          <w:tcPr>
            <w:tcW w:w="107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A2F4FB" w14:textId="77777777" w:rsidR="00C82BCC" w:rsidRDefault="00C82BCC" w:rsidP="00FD3DED">
            <w:pPr>
              <w:spacing w:after="0" w:line="240" w:lineRule="auto"/>
              <w:jc w:val="center"/>
              <w:rPr>
                <w:rFonts w:cs="Times New Roman"/>
                <w:color w:val="000000"/>
                <w:szCs w:val="24"/>
              </w:rPr>
            </w:pPr>
            <w:r>
              <w:rPr>
                <w:rFonts w:cs="Times New Roman"/>
                <w:color w:val="000000"/>
                <w:szCs w:val="24"/>
              </w:rPr>
              <w:t>0,82</w:t>
            </w:r>
          </w:p>
        </w:tc>
        <w:tc>
          <w:tcPr>
            <w:tcW w:w="344" w:type="pct"/>
            <w:tcBorders>
              <w:top w:val="nil"/>
              <w:left w:val="nil"/>
              <w:bottom w:val="single" w:sz="4" w:space="0" w:color="auto"/>
              <w:right w:val="nil"/>
            </w:tcBorders>
          </w:tcPr>
          <w:p w14:paraId="2A9D43EF" w14:textId="77777777" w:rsidR="00C82BCC" w:rsidRDefault="00C82BCC" w:rsidP="00FD3DED">
            <w:pPr>
              <w:spacing w:after="0" w:line="240" w:lineRule="auto"/>
              <w:jc w:val="center"/>
              <w:rPr>
                <w:rFonts w:cs="Times New Roman"/>
                <w:color w:val="000000"/>
                <w:szCs w:val="24"/>
              </w:rPr>
            </w:pPr>
          </w:p>
        </w:tc>
        <w:tc>
          <w:tcPr>
            <w:tcW w:w="34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440050"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33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CCEAC2"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c>
          <w:tcPr>
            <w:tcW w:w="44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56EB51"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C </w:t>
            </w:r>
          </w:p>
        </w:tc>
        <w:tc>
          <w:tcPr>
            <w:tcW w:w="53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8E7045" w14:textId="77777777" w:rsidR="00C82BCC" w:rsidRDefault="00C82BCC" w:rsidP="00FD3DED">
            <w:pPr>
              <w:spacing w:after="0" w:line="240" w:lineRule="auto"/>
              <w:jc w:val="center"/>
              <w:rPr>
                <w:rFonts w:cs="Times New Roman"/>
                <w:color w:val="000000"/>
                <w:szCs w:val="24"/>
              </w:rPr>
            </w:pPr>
            <w:r>
              <w:rPr>
                <w:rFonts w:cs="Times New Roman"/>
                <w:color w:val="000000"/>
                <w:szCs w:val="24"/>
              </w:rPr>
              <w:t xml:space="preserve">  </w:t>
            </w:r>
          </w:p>
        </w:tc>
      </w:tr>
    </w:tbl>
    <w:p w14:paraId="4E91991E" w14:textId="77777777" w:rsidR="00FD3DED" w:rsidRDefault="00C82BCC" w:rsidP="00FD3DED">
      <w:pPr>
        <w:autoSpaceDE w:val="0"/>
        <w:autoSpaceDN w:val="0"/>
        <w:adjustRightInd w:val="0"/>
        <w:spacing w:after="0" w:line="360" w:lineRule="auto"/>
        <w:rPr>
          <w:rFonts w:cs="Times New Roman"/>
          <w:szCs w:val="24"/>
        </w:rPr>
      </w:pPr>
      <w:r>
        <w:rPr>
          <w:rFonts w:cs="Times New Roman"/>
          <w:szCs w:val="24"/>
        </w:rPr>
        <w:t xml:space="preserve"> Medias con una letra común no son significativamente diferentes (p &gt; 0</w:t>
      </w:r>
      <w:r w:rsidR="004175F6">
        <w:rPr>
          <w:rFonts w:cs="Times New Roman"/>
          <w:szCs w:val="24"/>
        </w:rPr>
        <w:t>,05)</w:t>
      </w:r>
      <w:bookmarkStart w:id="1931" w:name="_Toc79314123"/>
    </w:p>
    <w:p w14:paraId="4D92CC8C" w14:textId="59808AB6" w:rsidR="004175F6" w:rsidRPr="00FD3DED" w:rsidRDefault="004175F6" w:rsidP="00F846F0">
      <w:pPr>
        <w:autoSpaceDE w:val="0"/>
        <w:autoSpaceDN w:val="0"/>
        <w:adjustRightInd w:val="0"/>
        <w:spacing w:before="360" w:after="0" w:line="360" w:lineRule="auto"/>
        <w:rPr>
          <w:rFonts w:cs="Times New Roman"/>
          <w:szCs w:val="24"/>
        </w:rPr>
      </w:pPr>
      <w:r w:rsidRPr="004175F6">
        <w:rPr>
          <w:rFonts w:cs="Times New Roman"/>
          <w:b/>
          <w:szCs w:val="24"/>
        </w:rPr>
        <w:t xml:space="preserve">Cuadro </w:t>
      </w:r>
      <w:r w:rsidRPr="004175F6">
        <w:rPr>
          <w:rFonts w:cs="Times New Roman"/>
          <w:b/>
          <w:i/>
          <w:iCs/>
          <w:szCs w:val="24"/>
        </w:rPr>
        <w:fldChar w:fldCharType="begin"/>
      </w:r>
      <w:r w:rsidRPr="004175F6">
        <w:rPr>
          <w:rFonts w:cs="Times New Roman"/>
          <w:b/>
          <w:szCs w:val="24"/>
        </w:rPr>
        <w:instrText xml:space="preserve"> SEQ Cuadro \* ARABIC </w:instrText>
      </w:r>
      <w:r w:rsidRPr="004175F6">
        <w:rPr>
          <w:rFonts w:cs="Times New Roman"/>
          <w:b/>
          <w:i/>
          <w:iCs/>
          <w:szCs w:val="24"/>
        </w:rPr>
        <w:fldChar w:fldCharType="separate"/>
      </w:r>
      <w:r w:rsidR="000D1F55">
        <w:rPr>
          <w:rFonts w:cs="Times New Roman"/>
          <w:b/>
          <w:noProof/>
          <w:szCs w:val="24"/>
        </w:rPr>
        <w:t>131</w:t>
      </w:r>
      <w:r w:rsidRPr="004175F6">
        <w:rPr>
          <w:rFonts w:cs="Times New Roman"/>
          <w:b/>
          <w:i/>
          <w:iCs/>
          <w:szCs w:val="24"/>
        </w:rPr>
        <w:fldChar w:fldCharType="end"/>
      </w:r>
      <w:r w:rsidRPr="004175F6">
        <w:rPr>
          <w:rFonts w:cs="Times New Roman"/>
          <w:b/>
          <w:szCs w:val="24"/>
        </w:rPr>
        <w:t xml:space="preserve">. </w:t>
      </w:r>
      <w:r w:rsidRPr="004175F6">
        <w:rPr>
          <w:rFonts w:cs="Times New Roman"/>
          <w:szCs w:val="24"/>
        </w:rPr>
        <w:t>Absorción total de azufre de maíz suave para diversas dosis de fósforo evaluadas en la provincia de Imbabura 2010-2015.</w:t>
      </w:r>
      <w:bookmarkEnd w:id="1931"/>
    </w:p>
    <w:tbl>
      <w:tblPr>
        <w:tblW w:w="5524" w:type="dxa"/>
        <w:jc w:val="center"/>
        <w:tblCellMar>
          <w:left w:w="0" w:type="dxa"/>
          <w:right w:w="0" w:type="dxa"/>
        </w:tblCellMar>
        <w:tblLook w:val="04A0" w:firstRow="1" w:lastRow="0" w:firstColumn="1" w:lastColumn="0" w:noHBand="0" w:noVBand="1"/>
      </w:tblPr>
      <w:tblGrid>
        <w:gridCol w:w="1838"/>
        <w:gridCol w:w="1134"/>
        <w:gridCol w:w="567"/>
        <w:gridCol w:w="1985"/>
      </w:tblGrid>
      <w:tr w:rsidR="00C82BCC" w14:paraId="7801AEC4" w14:textId="77777777" w:rsidTr="00D255AC">
        <w:trPr>
          <w:trHeight w:val="300"/>
          <w:jc w:val="center"/>
        </w:trPr>
        <w:tc>
          <w:tcPr>
            <w:tcW w:w="183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517860"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Dosis P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083AA01"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Medias</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61DCBDE"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n </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022F445" w14:textId="77777777" w:rsidR="00C82BCC" w:rsidRDefault="00C82BCC" w:rsidP="00F846F0">
            <w:pPr>
              <w:spacing w:after="0" w:line="240" w:lineRule="auto"/>
              <w:jc w:val="center"/>
              <w:rPr>
                <w:rFonts w:cs="Times New Roman"/>
                <w:b/>
                <w:bCs/>
                <w:color w:val="000000"/>
                <w:szCs w:val="24"/>
              </w:rPr>
            </w:pPr>
            <w:r>
              <w:rPr>
                <w:rFonts w:eastAsia="Times New Roman" w:cs="Times New Roman"/>
                <w:b/>
                <w:bCs/>
                <w:color w:val="000000"/>
                <w:szCs w:val="24"/>
                <w:lang w:eastAsia="es-EC"/>
              </w:rPr>
              <w:t>Error estándar</w:t>
            </w:r>
          </w:p>
        </w:tc>
      </w:tr>
      <w:tr w:rsidR="00C82BCC" w14:paraId="6B582280" w14:textId="77777777" w:rsidTr="00D255AC">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9A7BC7" w14:textId="77777777" w:rsidR="00C82BCC" w:rsidRDefault="00C82BCC" w:rsidP="00F846F0">
            <w:pPr>
              <w:spacing w:after="0" w:line="240" w:lineRule="auto"/>
              <w:jc w:val="center"/>
              <w:rPr>
                <w:rFonts w:cs="Times New Roman"/>
                <w:color w:val="000000"/>
                <w:szCs w:val="24"/>
              </w:rPr>
            </w:pPr>
            <w:r>
              <w:rPr>
                <w:rFonts w:cs="Times New Roman"/>
                <w:color w:val="000000"/>
                <w:szCs w:val="24"/>
              </w:rPr>
              <w:t>50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8B74C3" w14:textId="77777777" w:rsidR="00C82BCC" w:rsidRDefault="00C82BCC" w:rsidP="00F846F0">
            <w:pPr>
              <w:spacing w:after="0" w:line="240" w:lineRule="auto"/>
              <w:jc w:val="center"/>
              <w:rPr>
                <w:rFonts w:cs="Times New Roman"/>
                <w:color w:val="000000"/>
                <w:szCs w:val="24"/>
              </w:rPr>
            </w:pPr>
            <w:r>
              <w:rPr>
                <w:rFonts w:cs="Times New Roman"/>
                <w:color w:val="000000"/>
                <w:szCs w:val="24"/>
              </w:rPr>
              <w:t>9,62</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0B0CDE" w14:textId="77777777" w:rsidR="00C82BCC" w:rsidRDefault="00C82BCC" w:rsidP="00F846F0">
            <w:pPr>
              <w:spacing w:after="0" w:line="240" w:lineRule="auto"/>
              <w:jc w:val="center"/>
              <w:rPr>
                <w:rFonts w:cs="Times New Roman"/>
                <w:color w:val="000000"/>
                <w:szCs w:val="24"/>
              </w:rPr>
            </w:pPr>
            <w:r>
              <w:rPr>
                <w:rFonts w:cs="Times New Roman"/>
                <w:color w:val="000000"/>
                <w:szCs w:val="24"/>
              </w:rPr>
              <w:t>12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F98B0B" w14:textId="77777777" w:rsidR="00C82BCC" w:rsidRDefault="00C82BCC" w:rsidP="00F846F0">
            <w:pPr>
              <w:spacing w:after="0" w:line="240" w:lineRule="auto"/>
              <w:jc w:val="center"/>
              <w:rPr>
                <w:rFonts w:cs="Times New Roman"/>
                <w:color w:val="000000"/>
                <w:szCs w:val="24"/>
              </w:rPr>
            </w:pPr>
            <w:r>
              <w:rPr>
                <w:rFonts w:cs="Times New Roman"/>
                <w:color w:val="000000"/>
                <w:szCs w:val="24"/>
              </w:rPr>
              <w:t>0,93</w:t>
            </w:r>
          </w:p>
        </w:tc>
      </w:tr>
      <w:tr w:rsidR="00C82BCC" w14:paraId="0D2ED0BD" w14:textId="77777777" w:rsidTr="00D255AC">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306BDB" w14:textId="77777777" w:rsidR="00C82BCC" w:rsidRDefault="00C82BCC" w:rsidP="00F846F0">
            <w:pPr>
              <w:spacing w:after="0" w:line="240" w:lineRule="auto"/>
              <w:jc w:val="center"/>
              <w:rPr>
                <w:rFonts w:cs="Times New Roman"/>
                <w:color w:val="000000"/>
                <w:szCs w:val="24"/>
              </w:rPr>
            </w:pPr>
            <w:r>
              <w:rPr>
                <w:rFonts w:cs="Times New Roman"/>
                <w:color w:val="000000"/>
                <w:szCs w:val="24"/>
              </w:rPr>
              <w:t>40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A68500" w14:textId="77777777" w:rsidR="00C82BCC" w:rsidRDefault="00C82BCC" w:rsidP="00F846F0">
            <w:pPr>
              <w:spacing w:after="0" w:line="240" w:lineRule="auto"/>
              <w:jc w:val="center"/>
              <w:rPr>
                <w:rFonts w:cs="Times New Roman"/>
                <w:color w:val="000000"/>
                <w:szCs w:val="24"/>
              </w:rPr>
            </w:pPr>
            <w:r>
              <w:rPr>
                <w:rFonts w:cs="Times New Roman"/>
                <w:color w:val="000000"/>
                <w:szCs w:val="24"/>
              </w:rPr>
              <w:t>12,47</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494609" w14:textId="77777777" w:rsidR="00C82BCC" w:rsidRDefault="00C82BCC" w:rsidP="00F846F0">
            <w:pPr>
              <w:spacing w:after="0" w:line="240" w:lineRule="auto"/>
              <w:jc w:val="center"/>
              <w:rPr>
                <w:rFonts w:cs="Times New Roman"/>
                <w:color w:val="000000"/>
                <w:szCs w:val="24"/>
              </w:rPr>
            </w:pPr>
            <w:r>
              <w:rPr>
                <w:rFonts w:cs="Times New Roman"/>
                <w:color w:val="000000"/>
                <w:szCs w:val="24"/>
              </w:rPr>
              <w:t>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10BCFC" w14:textId="77777777" w:rsidR="00C82BCC" w:rsidRDefault="00C82BCC" w:rsidP="00F846F0">
            <w:pPr>
              <w:spacing w:after="0" w:line="240" w:lineRule="auto"/>
              <w:jc w:val="center"/>
              <w:rPr>
                <w:rFonts w:cs="Times New Roman"/>
                <w:color w:val="000000"/>
                <w:szCs w:val="24"/>
              </w:rPr>
            </w:pPr>
            <w:r>
              <w:rPr>
                <w:rFonts w:cs="Times New Roman"/>
                <w:color w:val="000000"/>
                <w:szCs w:val="24"/>
              </w:rPr>
              <w:t>2,22</w:t>
            </w:r>
          </w:p>
        </w:tc>
      </w:tr>
      <w:tr w:rsidR="00C82BCC" w14:paraId="3E0CBD71" w14:textId="77777777" w:rsidTr="00D255AC">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0A972F" w14:textId="77777777" w:rsidR="00C82BCC" w:rsidRDefault="00C82BCC" w:rsidP="00F846F0">
            <w:pPr>
              <w:spacing w:after="0" w:line="240" w:lineRule="auto"/>
              <w:jc w:val="center"/>
              <w:rPr>
                <w:rFonts w:cs="Times New Roman"/>
                <w:color w:val="000000"/>
                <w:szCs w:val="24"/>
              </w:rPr>
            </w:pPr>
            <w:r>
              <w:rPr>
                <w:rFonts w:cs="Times New Roman"/>
                <w:color w:val="000000"/>
                <w:szCs w:val="24"/>
              </w:rPr>
              <w:t>46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56CC94" w14:textId="77777777" w:rsidR="00C82BCC" w:rsidRDefault="00C82BCC" w:rsidP="00F846F0">
            <w:pPr>
              <w:spacing w:after="0" w:line="240" w:lineRule="auto"/>
              <w:jc w:val="center"/>
              <w:rPr>
                <w:rFonts w:cs="Times New Roman"/>
                <w:color w:val="000000"/>
                <w:szCs w:val="24"/>
              </w:rPr>
            </w:pPr>
            <w:r>
              <w:rPr>
                <w:rFonts w:cs="Times New Roman"/>
                <w:color w:val="000000"/>
                <w:szCs w:val="24"/>
              </w:rPr>
              <w:t>18,44</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F30FD4" w14:textId="77777777" w:rsidR="00C82BCC" w:rsidRDefault="00C82BCC" w:rsidP="00F846F0">
            <w:pPr>
              <w:spacing w:after="0" w:line="240" w:lineRule="auto"/>
              <w:jc w:val="center"/>
              <w:rPr>
                <w:rFonts w:cs="Times New Roman"/>
                <w:color w:val="000000"/>
                <w:szCs w:val="24"/>
              </w:rPr>
            </w:pPr>
            <w:r>
              <w:rPr>
                <w:rFonts w:cs="Times New Roman"/>
                <w:color w:val="000000"/>
                <w:szCs w:val="24"/>
              </w:rPr>
              <w:t>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B2E51F" w14:textId="77777777" w:rsidR="00C82BCC" w:rsidRDefault="00C82BCC" w:rsidP="00F846F0">
            <w:pPr>
              <w:spacing w:after="0" w:line="240" w:lineRule="auto"/>
              <w:jc w:val="center"/>
              <w:rPr>
                <w:rFonts w:cs="Times New Roman"/>
                <w:color w:val="000000"/>
                <w:szCs w:val="24"/>
              </w:rPr>
            </w:pPr>
            <w:r>
              <w:rPr>
                <w:rFonts w:cs="Times New Roman"/>
                <w:color w:val="000000"/>
                <w:szCs w:val="24"/>
              </w:rPr>
              <w:t>3,14</w:t>
            </w:r>
          </w:p>
        </w:tc>
      </w:tr>
      <w:tr w:rsidR="00C82BCC" w14:paraId="3616EC2B" w14:textId="77777777" w:rsidTr="00D255AC">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CC671B" w14:textId="77777777" w:rsidR="00C82BCC" w:rsidRDefault="00C82BCC" w:rsidP="00F846F0">
            <w:pPr>
              <w:spacing w:after="0" w:line="240" w:lineRule="auto"/>
              <w:jc w:val="center"/>
              <w:rPr>
                <w:rFonts w:cs="Times New Roman"/>
                <w:color w:val="000000"/>
                <w:szCs w:val="24"/>
              </w:rPr>
            </w:pPr>
            <w:r>
              <w:rPr>
                <w:rFonts w:cs="Times New Roman"/>
                <w:color w:val="000000"/>
                <w:szCs w:val="24"/>
              </w:rPr>
              <w:t>60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9C1C21" w14:textId="77777777" w:rsidR="00C82BCC" w:rsidRDefault="00C82BCC" w:rsidP="00F846F0">
            <w:pPr>
              <w:spacing w:after="0" w:line="240" w:lineRule="auto"/>
              <w:jc w:val="center"/>
              <w:rPr>
                <w:rFonts w:cs="Times New Roman"/>
                <w:color w:val="000000"/>
                <w:szCs w:val="24"/>
              </w:rPr>
            </w:pPr>
            <w:r>
              <w:rPr>
                <w:rFonts w:cs="Times New Roman"/>
                <w:color w:val="000000"/>
                <w:szCs w:val="24"/>
              </w:rPr>
              <w:t>19,87</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EFBCA2" w14:textId="77777777" w:rsidR="00C82BCC" w:rsidRDefault="00C82BCC" w:rsidP="00F846F0">
            <w:pPr>
              <w:spacing w:after="0" w:line="240" w:lineRule="auto"/>
              <w:jc w:val="center"/>
              <w:rPr>
                <w:rFonts w:cs="Times New Roman"/>
                <w:color w:val="000000"/>
                <w:szCs w:val="24"/>
              </w:rPr>
            </w:pPr>
            <w:r>
              <w:rPr>
                <w:rFonts w:cs="Times New Roman"/>
                <w:color w:val="000000"/>
                <w:szCs w:val="24"/>
              </w:rPr>
              <w:t>31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2477DA" w14:textId="77777777" w:rsidR="00C82BCC" w:rsidRDefault="00C82BCC" w:rsidP="00F846F0">
            <w:pPr>
              <w:spacing w:after="0" w:line="240" w:lineRule="auto"/>
              <w:jc w:val="center"/>
              <w:rPr>
                <w:rFonts w:cs="Times New Roman"/>
                <w:color w:val="000000"/>
                <w:szCs w:val="24"/>
              </w:rPr>
            </w:pPr>
            <w:r>
              <w:rPr>
                <w:rFonts w:cs="Times New Roman"/>
                <w:color w:val="000000"/>
                <w:szCs w:val="24"/>
              </w:rPr>
              <w:t>0,58</w:t>
            </w:r>
          </w:p>
        </w:tc>
      </w:tr>
      <w:tr w:rsidR="00C82BCC" w14:paraId="07D8493C" w14:textId="77777777" w:rsidTr="00D255AC">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6EFEC5" w14:textId="77777777" w:rsidR="00C82BCC" w:rsidRDefault="00C82BCC" w:rsidP="00F846F0">
            <w:pPr>
              <w:spacing w:after="0" w:line="240" w:lineRule="auto"/>
              <w:jc w:val="center"/>
              <w:rPr>
                <w:rFonts w:cs="Times New Roman"/>
                <w:color w:val="000000"/>
                <w:szCs w:val="24"/>
              </w:rPr>
            </w:pPr>
            <w:r>
              <w:rPr>
                <w:rFonts w:cs="Times New Roman"/>
                <w:color w:val="000000"/>
                <w:szCs w:val="24"/>
              </w:rPr>
              <w:t>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309A8A" w14:textId="77777777" w:rsidR="00C82BCC" w:rsidRDefault="00C82BCC" w:rsidP="00F846F0">
            <w:pPr>
              <w:spacing w:after="0" w:line="240" w:lineRule="auto"/>
              <w:jc w:val="center"/>
              <w:rPr>
                <w:rFonts w:cs="Times New Roman"/>
                <w:color w:val="000000"/>
                <w:szCs w:val="24"/>
              </w:rPr>
            </w:pPr>
            <w:r>
              <w:rPr>
                <w:rFonts w:cs="Times New Roman"/>
                <w:color w:val="000000"/>
                <w:szCs w:val="24"/>
              </w:rPr>
              <w:t>21,85</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A58B34" w14:textId="77777777" w:rsidR="00C82BCC" w:rsidRDefault="00C82BCC" w:rsidP="00F846F0">
            <w:pPr>
              <w:spacing w:after="0" w:line="240" w:lineRule="auto"/>
              <w:jc w:val="center"/>
              <w:rPr>
                <w:rFonts w:cs="Times New Roman"/>
                <w:color w:val="000000"/>
                <w:szCs w:val="24"/>
              </w:rPr>
            </w:pPr>
            <w:r>
              <w:rPr>
                <w:rFonts w:cs="Times New Roman"/>
                <w:color w:val="000000"/>
                <w:szCs w:val="24"/>
              </w:rPr>
              <w:t>22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DA3963" w14:textId="77777777" w:rsidR="00C82BCC" w:rsidRDefault="00C82BCC" w:rsidP="00F846F0">
            <w:pPr>
              <w:spacing w:after="0" w:line="240" w:lineRule="auto"/>
              <w:jc w:val="center"/>
              <w:rPr>
                <w:rFonts w:cs="Times New Roman"/>
                <w:color w:val="000000"/>
                <w:szCs w:val="24"/>
              </w:rPr>
            </w:pPr>
            <w:r>
              <w:rPr>
                <w:rFonts w:cs="Times New Roman"/>
                <w:color w:val="000000"/>
                <w:szCs w:val="24"/>
              </w:rPr>
              <w:t>0,69</w:t>
            </w:r>
          </w:p>
        </w:tc>
      </w:tr>
      <w:tr w:rsidR="00C82BCC" w14:paraId="49BC6225" w14:textId="77777777" w:rsidTr="00D255AC">
        <w:trPr>
          <w:trHeight w:val="300"/>
          <w:jc w:val="center"/>
        </w:trPr>
        <w:tc>
          <w:tcPr>
            <w:tcW w:w="183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7E341A" w14:textId="77777777" w:rsidR="00C82BCC" w:rsidRDefault="00C82BCC" w:rsidP="00F846F0">
            <w:pPr>
              <w:spacing w:after="0" w:line="240" w:lineRule="auto"/>
              <w:jc w:val="center"/>
              <w:rPr>
                <w:rFonts w:cs="Times New Roman"/>
                <w:color w:val="000000"/>
                <w:szCs w:val="24"/>
              </w:rPr>
            </w:pPr>
            <w:r>
              <w:rPr>
                <w:rFonts w:cs="Times New Roman"/>
                <w:color w:val="000000"/>
                <w:szCs w:val="24"/>
              </w:rPr>
              <w:t>30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A190D9" w14:textId="77777777" w:rsidR="00C82BCC" w:rsidRDefault="00C82BCC" w:rsidP="00F846F0">
            <w:pPr>
              <w:spacing w:after="0" w:line="240" w:lineRule="auto"/>
              <w:jc w:val="center"/>
              <w:rPr>
                <w:rFonts w:cs="Times New Roman"/>
                <w:color w:val="000000"/>
                <w:szCs w:val="24"/>
              </w:rPr>
            </w:pPr>
            <w:r>
              <w:rPr>
                <w:rFonts w:cs="Times New Roman"/>
                <w:color w:val="000000"/>
                <w:szCs w:val="24"/>
              </w:rPr>
              <w:t>51,14</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3ED902" w14:textId="77777777" w:rsidR="00C82BCC" w:rsidRDefault="00C82BCC" w:rsidP="00F846F0">
            <w:pPr>
              <w:spacing w:after="0" w:line="240" w:lineRule="auto"/>
              <w:jc w:val="center"/>
              <w:rPr>
                <w:rFonts w:cs="Times New Roman"/>
                <w:color w:val="000000"/>
                <w:szCs w:val="24"/>
              </w:rPr>
            </w:pPr>
            <w:r>
              <w:rPr>
                <w:rFonts w:cs="Times New Roman"/>
                <w:color w:val="000000"/>
                <w:szCs w:val="24"/>
              </w:rPr>
              <w:t>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17E516" w14:textId="77777777" w:rsidR="00C82BCC" w:rsidRDefault="00C82BCC" w:rsidP="00F846F0">
            <w:pPr>
              <w:spacing w:after="0" w:line="240" w:lineRule="auto"/>
              <w:jc w:val="center"/>
              <w:rPr>
                <w:rFonts w:cs="Times New Roman"/>
                <w:color w:val="000000"/>
                <w:szCs w:val="24"/>
              </w:rPr>
            </w:pPr>
            <w:r>
              <w:rPr>
                <w:rFonts w:cs="Times New Roman"/>
                <w:color w:val="000000"/>
                <w:szCs w:val="24"/>
              </w:rPr>
              <w:t>3,14</w:t>
            </w:r>
          </w:p>
        </w:tc>
      </w:tr>
    </w:tbl>
    <w:p w14:paraId="2B438DE2" w14:textId="2CFB7246" w:rsidR="004175F6" w:rsidRPr="004175F6" w:rsidRDefault="004175F6" w:rsidP="00F846F0">
      <w:pPr>
        <w:pStyle w:val="Descripcin"/>
        <w:keepNext/>
        <w:spacing w:before="360"/>
        <w:rPr>
          <w:rFonts w:cs="Times New Roman"/>
          <w:i w:val="0"/>
          <w:iCs w:val="0"/>
          <w:color w:val="auto"/>
          <w:sz w:val="24"/>
          <w:szCs w:val="24"/>
          <w:lang w:eastAsia="en-US"/>
        </w:rPr>
      </w:pPr>
      <w:bookmarkStart w:id="1932" w:name="_Toc79314124"/>
      <w:r w:rsidRPr="004175F6">
        <w:rPr>
          <w:rFonts w:cs="Times New Roman"/>
          <w:b/>
          <w:i w:val="0"/>
          <w:iCs w:val="0"/>
          <w:color w:val="auto"/>
          <w:sz w:val="24"/>
          <w:szCs w:val="24"/>
          <w:lang w:eastAsia="en-US"/>
        </w:rPr>
        <w:t xml:space="preserve">Cuadro </w:t>
      </w:r>
      <w:r w:rsidRPr="004175F6">
        <w:rPr>
          <w:rFonts w:cs="Times New Roman"/>
          <w:b/>
          <w:i w:val="0"/>
          <w:iCs w:val="0"/>
          <w:color w:val="auto"/>
          <w:sz w:val="24"/>
          <w:szCs w:val="24"/>
          <w:lang w:eastAsia="en-US"/>
        </w:rPr>
        <w:fldChar w:fldCharType="begin"/>
      </w:r>
      <w:r w:rsidRPr="004175F6">
        <w:rPr>
          <w:rFonts w:cs="Times New Roman"/>
          <w:b/>
          <w:i w:val="0"/>
          <w:iCs w:val="0"/>
          <w:color w:val="auto"/>
          <w:sz w:val="24"/>
          <w:szCs w:val="24"/>
          <w:lang w:eastAsia="en-US"/>
        </w:rPr>
        <w:instrText xml:space="preserve"> SEQ Cuadro \* ARABIC </w:instrText>
      </w:r>
      <w:r w:rsidRPr="004175F6">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132</w:t>
      </w:r>
      <w:r w:rsidRPr="004175F6">
        <w:rPr>
          <w:rFonts w:cs="Times New Roman"/>
          <w:b/>
          <w:i w:val="0"/>
          <w:iCs w:val="0"/>
          <w:color w:val="auto"/>
          <w:sz w:val="24"/>
          <w:szCs w:val="24"/>
          <w:lang w:eastAsia="en-US"/>
        </w:rPr>
        <w:fldChar w:fldCharType="end"/>
      </w:r>
      <w:r w:rsidRPr="004175F6">
        <w:rPr>
          <w:rFonts w:cs="Times New Roman"/>
          <w:b/>
          <w:i w:val="0"/>
          <w:iCs w:val="0"/>
          <w:color w:val="auto"/>
          <w:sz w:val="24"/>
          <w:szCs w:val="24"/>
          <w:lang w:eastAsia="en-US"/>
        </w:rPr>
        <w:t xml:space="preserve">. </w:t>
      </w:r>
      <w:r w:rsidRPr="004175F6">
        <w:rPr>
          <w:rFonts w:cs="Times New Roman"/>
          <w:i w:val="0"/>
          <w:iCs w:val="0"/>
          <w:color w:val="auto"/>
          <w:sz w:val="24"/>
          <w:szCs w:val="24"/>
          <w:lang w:eastAsia="en-US"/>
        </w:rPr>
        <w:t>Absorción total de azufre de maíz suave para diversas dosis de potasio evaluadas en la provincia de Imbabura 2010-2015.</w:t>
      </w:r>
      <w:bookmarkEnd w:id="1932"/>
    </w:p>
    <w:tbl>
      <w:tblPr>
        <w:tblW w:w="5157" w:type="dxa"/>
        <w:jc w:val="center"/>
        <w:tblCellMar>
          <w:left w:w="0" w:type="dxa"/>
          <w:right w:w="0" w:type="dxa"/>
        </w:tblCellMar>
        <w:tblLook w:val="04A0" w:firstRow="1" w:lastRow="0" w:firstColumn="1" w:lastColumn="0" w:noHBand="0" w:noVBand="1"/>
      </w:tblPr>
      <w:tblGrid>
        <w:gridCol w:w="1980"/>
        <w:gridCol w:w="992"/>
        <w:gridCol w:w="425"/>
        <w:gridCol w:w="1760"/>
      </w:tblGrid>
      <w:tr w:rsidR="00C82BCC" w14:paraId="52EE0744" w14:textId="77777777" w:rsidTr="00D255AC">
        <w:trPr>
          <w:trHeight w:val="300"/>
          <w:jc w:val="center"/>
        </w:trPr>
        <w:tc>
          <w:tcPr>
            <w:tcW w:w="19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43A460"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Dosis K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9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005EE50"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Medias</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E943B12"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n </w:t>
            </w:r>
          </w:p>
        </w:tc>
        <w:tc>
          <w:tcPr>
            <w:tcW w:w="17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7AAEA5E" w14:textId="77777777" w:rsidR="00C82BCC" w:rsidRDefault="00C82BCC" w:rsidP="00F846F0">
            <w:pPr>
              <w:spacing w:after="0" w:line="240" w:lineRule="auto"/>
              <w:jc w:val="center"/>
              <w:rPr>
                <w:rFonts w:cs="Times New Roman"/>
                <w:b/>
                <w:bCs/>
                <w:color w:val="000000"/>
                <w:szCs w:val="24"/>
              </w:rPr>
            </w:pPr>
            <w:r>
              <w:rPr>
                <w:rFonts w:eastAsia="Times New Roman" w:cs="Times New Roman"/>
                <w:b/>
                <w:bCs/>
                <w:color w:val="000000"/>
                <w:szCs w:val="24"/>
                <w:lang w:eastAsia="es-EC"/>
              </w:rPr>
              <w:t>Error estándar</w:t>
            </w:r>
          </w:p>
        </w:tc>
      </w:tr>
      <w:tr w:rsidR="00C82BCC" w14:paraId="69C301A7" w14:textId="77777777" w:rsidTr="00D255AC">
        <w:trPr>
          <w:trHeight w:val="300"/>
          <w:jc w:val="center"/>
        </w:trPr>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099A3DB" w14:textId="77777777" w:rsidR="00C82BCC" w:rsidRDefault="00C82BCC" w:rsidP="00F846F0">
            <w:pPr>
              <w:spacing w:after="0" w:line="240" w:lineRule="auto"/>
              <w:jc w:val="center"/>
              <w:rPr>
                <w:rFonts w:cs="Times New Roman"/>
                <w:color w:val="000000"/>
                <w:szCs w:val="24"/>
              </w:rPr>
            </w:pPr>
            <w:r>
              <w:rPr>
                <w:rFonts w:cs="Times New Roman"/>
                <w:color w:val="000000"/>
                <w:szCs w:val="24"/>
              </w:rPr>
              <w:t>20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2FCE77" w14:textId="77777777" w:rsidR="00C82BCC" w:rsidRDefault="00C82BCC" w:rsidP="00F846F0">
            <w:pPr>
              <w:spacing w:after="0" w:line="240" w:lineRule="auto"/>
              <w:jc w:val="center"/>
              <w:rPr>
                <w:rFonts w:cs="Times New Roman"/>
                <w:color w:val="000000"/>
                <w:szCs w:val="24"/>
              </w:rPr>
            </w:pPr>
            <w:r>
              <w:rPr>
                <w:rFonts w:cs="Times New Roman"/>
                <w:color w:val="000000"/>
                <w:szCs w:val="24"/>
              </w:rPr>
              <w:t>8</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109720" w14:textId="77777777" w:rsidR="00C82BCC" w:rsidRDefault="00C82BCC" w:rsidP="00F846F0">
            <w:pPr>
              <w:spacing w:after="0" w:line="240" w:lineRule="auto"/>
              <w:jc w:val="center"/>
              <w:rPr>
                <w:rFonts w:cs="Times New Roman"/>
                <w:color w:val="000000"/>
                <w:szCs w:val="24"/>
              </w:rPr>
            </w:pPr>
            <w:r>
              <w:rPr>
                <w:rFonts w:cs="Times New Roman"/>
                <w:color w:val="000000"/>
                <w:szCs w:val="24"/>
              </w:rPr>
              <w:t>6</w:t>
            </w:r>
          </w:p>
        </w:tc>
        <w:tc>
          <w:tcPr>
            <w:tcW w:w="17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82960B" w14:textId="77777777" w:rsidR="00C82BCC" w:rsidRDefault="00C82BCC" w:rsidP="00F846F0">
            <w:pPr>
              <w:spacing w:after="0" w:line="240" w:lineRule="auto"/>
              <w:jc w:val="center"/>
              <w:rPr>
                <w:rFonts w:cs="Times New Roman"/>
                <w:color w:val="000000"/>
                <w:szCs w:val="24"/>
              </w:rPr>
            </w:pPr>
            <w:r>
              <w:rPr>
                <w:rFonts w:cs="Times New Roman"/>
                <w:color w:val="000000"/>
                <w:szCs w:val="24"/>
              </w:rPr>
              <w:t>1,28</w:t>
            </w:r>
          </w:p>
        </w:tc>
      </w:tr>
      <w:tr w:rsidR="00C82BCC" w14:paraId="431D705A" w14:textId="77777777" w:rsidTr="00D255AC">
        <w:trPr>
          <w:trHeight w:val="300"/>
          <w:jc w:val="center"/>
        </w:trPr>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92365D1" w14:textId="77777777" w:rsidR="00C82BCC" w:rsidRDefault="00C82BCC" w:rsidP="00F846F0">
            <w:pPr>
              <w:spacing w:after="0" w:line="240" w:lineRule="auto"/>
              <w:jc w:val="center"/>
              <w:rPr>
                <w:rFonts w:cs="Times New Roman"/>
                <w:color w:val="000000"/>
                <w:szCs w:val="24"/>
              </w:rPr>
            </w:pPr>
            <w:r>
              <w:rPr>
                <w:rFonts w:cs="Times New Roman"/>
                <w:color w:val="000000"/>
                <w:szCs w:val="24"/>
              </w:rPr>
              <w:t>30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05F052" w14:textId="77777777" w:rsidR="00C82BCC" w:rsidRDefault="00C82BCC" w:rsidP="00F846F0">
            <w:pPr>
              <w:spacing w:after="0" w:line="240" w:lineRule="auto"/>
              <w:jc w:val="center"/>
              <w:rPr>
                <w:rFonts w:cs="Times New Roman"/>
                <w:color w:val="000000"/>
                <w:szCs w:val="24"/>
              </w:rPr>
            </w:pPr>
            <w:r>
              <w:rPr>
                <w:rFonts w:cs="Times New Roman"/>
                <w:color w:val="000000"/>
                <w:szCs w:val="24"/>
              </w:rPr>
              <w:t>14,35</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E15B1F" w14:textId="77777777" w:rsidR="00C82BCC" w:rsidRDefault="00C82BCC" w:rsidP="00F846F0">
            <w:pPr>
              <w:spacing w:after="0" w:line="240" w:lineRule="auto"/>
              <w:jc w:val="center"/>
              <w:rPr>
                <w:rFonts w:cs="Times New Roman"/>
                <w:color w:val="000000"/>
                <w:szCs w:val="24"/>
              </w:rPr>
            </w:pPr>
            <w:r>
              <w:rPr>
                <w:rFonts w:cs="Times New Roman"/>
                <w:color w:val="000000"/>
                <w:szCs w:val="24"/>
              </w:rPr>
              <w:t>27</w:t>
            </w:r>
          </w:p>
        </w:tc>
        <w:tc>
          <w:tcPr>
            <w:tcW w:w="17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718C3A" w14:textId="77777777" w:rsidR="00C82BCC" w:rsidRDefault="00C82BCC" w:rsidP="00F846F0">
            <w:pPr>
              <w:spacing w:after="0" w:line="240" w:lineRule="auto"/>
              <w:jc w:val="center"/>
              <w:rPr>
                <w:rFonts w:cs="Times New Roman"/>
                <w:color w:val="000000"/>
                <w:szCs w:val="24"/>
              </w:rPr>
            </w:pPr>
            <w:r>
              <w:rPr>
                <w:rFonts w:cs="Times New Roman"/>
                <w:color w:val="000000"/>
                <w:szCs w:val="24"/>
              </w:rPr>
              <w:t>0,62</w:t>
            </w:r>
          </w:p>
        </w:tc>
      </w:tr>
      <w:tr w:rsidR="00C82BCC" w14:paraId="5B7B1C4A" w14:textId="77777777" w:rsidTr="00D255AC">
        <w:trPr>
          <w:trHeight w:val="300"/>
          <w:jc w:val="center"/>
        </w:trPr>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6BFA18" w14:textId="77777777" w:rsidR="00C82BCC" w:rsidRDefault="00C82BCC" w:rsidP="00F846F0">
            <w:pPr>
              <w:spacing w:after="0" w:line="240" w:lineRule="auto"/>
              <w:jc w:val="center"/>
              <w:rPr>
                <w:rFonts w:cs="Times New Roman"/>
                <w:color w:val="000000"/>
                <w:szCs w:val="24"/>
              </w:rPr>
            </w:pPr>
            <w:r>
              <w:rPr>
                <w:rFonts w:cs="Times New Roman"/>
                <w:color w:val="000000"/>
                <w:szCs w:val="24"/>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665CE9" w14:textId="77777777" w:rsidR="00C82BCC" w:rsidRDefault="00C82BCC" w:rsidP="00F846F0">
            <w:pPr>
              <w:spacing w:after="0" w:line="240" w:lineRule="auto"/>
              <w:jc w:val="center"/>
              <w:rPr>
                <w:rFonts w:cs="Times New Roman"/>
                <w:color w:val="000000"/>
                <w:szCs w:val="24"/>
              </w:rPr>
            </w:pPr>
            <w:r>
              <w:rPr>
                <w:rFonts w:cs="Times New Roman"/>
                <w:color w:val="000000"/>
                <w:szCs w:val="24"/>
              </w:rPr>
              <w:t>22,49</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072997" w14:textId="77777777" w:rsidR="00C82BCC" w:rsidRDefault="00C82BCC" w:rsidP="00F846F0">
            <w:pPr>
              <w:spacing w:after="0" w:line="240" w:lineRule="auto"/>
              <w:jc w:val="center"/>
              <w:rPr>
                <w:rFonts w:cs="Times New Roman"/>
                <w:color w:val="000000"/>
                <w:szCs w:val="24"/>
              </w:rPr>
            </w:pPr>
            <w:r>
              <w:rPr>
                <w:rFonts w:cs="Times New Roman"/>
                <w:color w:val="000000"/>
                <w:szCs w:val="24"/>
              </w:rPr>
              <w:t>20</w:t>
            </w:r>
          </w:p>
        </w:tc>
        <w:tc>
          <w:tcPr>
            <w:tcW w:w="17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D3629E" w14:textId="77777777" w:rsidR="00C82BCC" w:rsidRDefault="00C82BCC" w:rsidP="00F846F0">
            <w:pPr>
              <w:spacing w:after="0" w:line="240" w:lineRule="auto"/>
              <w:jc w:val="center"/>
              <w:rPr>
                <w:rFonts w:cs="Times New Roman"/>
                <w:color w:val="000000"/>
                <w:szCs w:val="24"/>
              </w:rPr>
            </w:pPr>
            <w:r>
              <w:rPr>
                <w:rFonts w:cs="Times New Roman"/>
                <w:color w:val="000000"/>
                <w:szCs w:val="24"/>
              </w:rPr>
              <w:t>0,72</w:t>
            </w:r>
          </w:p>
        </w:tc>
      </w:tr>
      <w:tr w:rsidR="00C82BCC" w14:paraId="64DB46A6" w14:textId="77777777" w:rsidTr="00D255AC">
        <w:trPr>
          <w:trHeight w:val="300"/>
          <w:jc w:val="center"/>
        </w:trPr>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F93B5F" w14:textId="77777777" w:rsidR="00C82BCC" w:rsidRDefault="00C82BCC" w:rsidP="00F846F0">
            <w:pPr>
              <w:spacing w:after="0" w:line="240" w:lineRule="auto"/>
              <w:jc w:val="center"/>
              <w:rPr>
                <w:rFonts w:cs="Times New Roman"/>
                <w:color w:val="000000"/>
                <w:szCs w:val="24"/>
              </w:rPr>
            </w:pPr>
            <w:r>
              <w:rPr>
                <w:rFonts w:cs="Times New Roman"/>
                <w:color w:val="000000"/>
                <w:szCs w:val="24"/>
              </w:rPr>
              <w:t>60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6761FD" w14:textId="77777777" w:rsidR="00C82BCC" w:rsidRDefault="00C82BCC" w:rsidP="00F846F0">
            <w:pPr>
              <w:spacing w:after="0" w:line="240" w:lineRule="auto"/>
              <w:jc w:val="center"/>
              <w:rPr>
                <w:rFonts w:cs="Times New Roman"/>
                <w:color w:val="000000"/>
                <w:szCs w:val="24"/>
              </w:rPr>
            </w:pPr>
            <w:r>
              <w:rPr>
                <w:rFonts w:cs="Times New Roman"/>
                <w:color w:val="000000"/>
                <w:szCs w:val="24"/>
              </w:rPr>
              <w:t>30,34</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26DC69" w14:textId="77777777" w:rsidR="00C82BCC" w:rsidRDefault="00C82BCC" w:rsidP="00F846F0">
            <w:pPr>
              <w:spacing w:after="0" w:line="240" w:lineRule="auto"/>
              <w:jc w:val="center"/>
              <w:rPr>
                <w:rFonts w:cs="Times New Roman"/>
                <w:color w:val="000000"/>
                <w:szCs w:val="24"/>
              </w:rPr>
            </w:pPr>
            <w:r>
              <w:rPr>
                <w:rFonts w:cs="Times New Roman"/>
                <w:color w:val="000000"/>
                <w:szCs w:val="24"/>
              </w:rPr>
              <w:t>16</w:t>
            </w:r>
          </w:p>
        </w:tc>
        <w:tc>
          <w:tcPr>
            <w:tcW w:w="17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E27626" w14:textId="77777777" w:rsidR="00C82BCC" w:rsidRDefault="00C82BCC" w:rsidP="00F846F0">
            <w:pPr>
              <w:spacing w:after="0" w:line="240" w:lineRule="auto"/>
              <w:jc w:val="center"/>
              <w:rPr>
                <w:rFonts w:cs="Times New Roman"/>
                <w:color w:val="000000"/>
                <w:szCs w:val="24"/>
              </w:rPr>
            </w:pPr>
            <w:r>
              <w:rPr>
                <w:rFonts w:cs="Times New Roman"/>
                <w:color w:val="000000"/>
                <w:szCs w:val="24"/>
              </w:rPr>
              <w:t>0,82</w:t>
            </w:r>
          </w:p>
        </w:tc>
      </w:tr>
    </w:tbl>
    <w:p w14:paraId="2A18EA99" w14:textId="68F52DC2" w:rsidR="004175F6" w:rsidRPr="004175F6" w:rsidRDefault="004175F6" w:rsidP="004175F6">
      <w:pPr>
        <w:pStyle w:val="Descripcin"/>
        <w:keepNext/>
        <w:rPr>
          <w:rFonts w:eastAsiaTheme="majorEastAsia" w:cs="Times New Roman"/>
          <w:i w:val="0"/>
          <w:iCs w:val="0"/>
          <w:color w:val="auto"/>
          <w:sz w:val="24"/>
          <w:szCs w:val="28"/>
          <w:lang w:val="es-ES" w:eastAsia="en-US"/>
        </w:rPr>
      </w:pPr>
      <w:bookmarkStart w:id="1933" w:name="_Toc79314125"/>
      <w:r w:rsidRPr="004175F6">
        <w:rPr>
          <w:rFonts w:eastAsiaTheme="majorEastAsia" w:cs="Times New Roman"/>
          <w:b/>
          <w:i w:val="0"/>
          <w:iCs w:val="0"/>
          <w:color w:val="auto"/>
          <w:sz w:val="24"/>
          <w:szCs w:val="28"/>
          <w:lang w:val="es-ES" w:eastAsia="en-US"/>
        </w:rPr>
        <w:lastRenderedPageBreak/>
        <w:t xml:space="preserve">Cuadro </w:t>
      </w:r>
      <w:r w:rsidRPr="004175F6">
        <w:rPr>
          <w:rFonts w:eastAsiaTheme="majorEastAsia" w:cs="Times New Roman"/>
          <w:b/>
          <w:i w:val="0"/>
          <w:iCs w:val="0"/>
          <w:color w:val="auto"/>
          <w:sz w:val="24"/>
          <w:szCs w:val="28"/>
          <w:lang w:val="es-ES" w:eastAsia="en-US"/>
        </w:rPr>
        <w:fldChar w:fldCharType="begin"/>
      </w:r>
      <w:r w:rsidRPr="004175F6">
        <w:rPr>
          <w:rFonts w:eastAsiaTheme="majorEastAsia" w:cs="Times New Roman"/>
          <w:b/>
          <w:i w:val="0"/>
          <w:iCs w:val="0"/>
          <w:color w:val="auto"/>
          <w:sz w:val="24"/>
          <w:szCs w:val="28"/>
          <w:lang w:val="es-ES" w:eastAsia="en-US"/>
        </w:rPr>
        <w:instrText xml:space="preserve"> SEQ Cuadro \* ARABIC </w:instrText>
      </w:r>
      <w:r w:rsidRPr="004175F6">
        <w:rPr>
          <w:rFonts w:eastAsiaTheme="majorEastAsia" w:cs="Times New Roman"/>
          <w:b/>
          <w:i w:val="0"/>
          <w:iCs w:val="0"/>
          <w:color w:val="auto"/>
          <w:sz w:val="24"/>
          <w:szCs w:val="28"/>
          <w:lang w:val="es-ES" w:eastAsia="en-US"/>
        </w:rPr>
        <w:fldChar w:fldCharType="separate"/>
      </w:r>
      <w:r w:rsidR="000D1F55">
        <w:rPr>
          <w:rFonts w:eastAsiaTheme="majorEastAsia" w:cs="Times New Roman"/>
          <w:b/>
          <w:i w:val="0"/>
          <w:iCs w:val="0"/>
          <w:noProof/>
          <w:color w:val="auto"/>
          <w:sz w:val="24"/>
          <w:szCs w:val="28"/>
          <w:lang w:val="es-ES" w:eastAsia="en-US"/>
        </w:rPr>
        <w:t>133</w:t>
      </w:r>
      <w:r w:rsidRPr="004175F6">
        <w:rPr>
          <w:rFonts w:eastAsiaTheme="majorEastAsia" w:cs="Times New Roman"/>
          <w:b/>
          <w:i w:val="0"/>
          <w:iCs w:val="0"/>
          <w:color w:val="auto"/>
          <w:sz w:val="24"/>
          <w:szCs w:val="28"/>
          <w:lang w:val="es-ES" w:eastAsia="en-US"/>
        </w:rPr>
        <w:fldChar w:fldCharType="end"/>
      </w:r>
      <w:r w:rsidRPr="004175F6">
        <w:rPr>
          <w:rFonts w:eastAsiaTheme="majorEastAsia" w:cs="Times New Roman"/>
          <w:b/>
          <w:i w:val="0"/>
          <w:iCs w:val="0"/>
          <w:color w:val="auto"/>
          <w:sz w:val="24"/>
          <w:szCs w:val="28"/>
          <w:lang w:val="es-ES" w:eastAsia="en-US"/>
        </w:rPr>
        <w:t xml:space="preserve">. </w:t>
      </w:r>
      <w:r w:rsidRPr="004175F6">
        <w:rPr>
          <w:rFonts w:eastAsiaTheme="majorEastAsia" w:cs="Times New Roman"/>
          <w:i w:val="0"/>
          <w:iCs w:val="0"/>
          <w:color w:val="auto"/>
          <w:sz w:val="24"/>
          <w:szCs w:val="28"/>
          <w:lang w:val="es-ES" w:eastAsia="en-US"/>
        </w:rPr>
        <w:t>Absorción total de azufre de maíz suave para diversas dosis de azufre evaluadas en la provincia de Imbabura 2010-2015.</w:t>
      </w:r>
      <w:bookmarkEnd w:id="1933"/>
    </w:p>
    <w:tbl>
      <w:tblPr>
        <w:tblW w:w="5000" w:type="pct"/>
        <w:tblCellMar>
          <w:left w:w="0" w:type="dxa"/>
          <w:right w:w="0" w:type="dxa"/>
        </w:tblCellMar>
        <w:tblLook w:val="04A0" w:firstRow="1" w:lastRow="0" w:firstColumn="1" w:lastColumn="0" w:noHBand="0" w:noVBand="1"/>
      </w:tblPr>
      <w:tblGrid>
        <w:gridCol w:w="1910"/>
        <w:gridCol w:w="920"/>
        <w:gridCol w:w="426"/>
        <w:gridCol w:w="1983"/>
        <w:gridCol w:w="338"/>
        <w:gridCol w:w="739"/>
        <w:gridCol w:w="737"/>
        <w:gridCol w:w="874"/>
      </w:tblGrid>
      <w:tr w:rsidR="00C82BCC" w14:paraId="3D65815D" w14:textId="77777777" w:rsidTr="00F4599F">
        <w:trPr>
          <w:trHeight w:val="300"/>
        </w:trPr>
        <w:tc>
          <w:tcPr>
            <w:tcW w:w="120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CA17E0"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Dosis S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8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702C7A2"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Medias</w:t>
            </w:r>
          </w:p>
        </w:tc>
        <w:tc>
          <w:tcPr>
            <w:tcW w:w="26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0B19B32"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n </w:t>
            </w:r>
          </w:p>
        </w:tc>
        <w:tc>
          <w:tcPr>
            <w:tcW w:w="125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89BA50D"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21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0617E667"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  </w:t>
            </w:r>
          </w:p>
        </w:tc>
        <w:tc>
          <w:tcPr>
            <w:tcW w:w="466"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DEEA880" w14:textId="77777777" w:rsidR="00C82BCC" w:rsidRDefault="00C82BCC" w:rsidP="00F846F0">
            <w:pPr>
              <w:spacing w:after="0" w:line="240" w:lineRule="auto"/>
              <w:jc w:val="right"/>
              <w:rPr>
                <w:rFonts w:cs="Times New Roman"/>
                <w:b/>
                <w:bCs/>
                <w:color w:val="000000"/>
                <w:szCs w:val="24"/>
              </w:rPr>
            </w:pPr>
            <w:r>
              <w:rPr>
                <w:rFonts w:cs="Times New Roman"/>
                <w:b/>
                <w:bCs/>
                <w:color w:val="000000"/>
                <w:szCs w:val="24"/>
              </w:rPr>
              <w:t xml:space="preserve">  Lsd</w:t>
            </w:r>
          </w:p>
        </w:tc>
        <w:tc>
          <w:tcPr>
            <w:tcW w:w="465"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27C32159" w14:textId="77777777" w:rsidR="00C82BCC" w:rsidRDefault="00C82BCC" w:rsidP="00F846F0">
            <w:pPr>
              <w:spacing w:after="0" w:line="240" w:lineRule="auto"/>
              <w:rPr>
                <w:rFonts w:cs="Times New Roman"/>
                <w:b/>
                <w:bCs/>
                <w:color w:val="000000"/>
                <w:szCs w:val="24"/>
              </w:rPr>
            </w:pPr>
            <w:r>
              <w:rPr>
                <w:rFonts w:cs="Times New Roman"/>
                <w:b/>
                <w:bCs/>
                <w:color w:val="000000"/>
                <w:szCs w:val="24"/>
              </w:rPr>
              <w:t xml:space="preserve"> 0,05 </w:t>
            </w:r>
          </w:p>
        </w:tc>
        <w:tc>
          <w:tcPr>
            <w:tcW w:w="55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3E32DED"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  </w:t>
            </w:r>
          </w:p>
        </w:tc>
      </w:tr>
      <w:tr w:rsidR="00C82BCC" w14:paraId="6048E074" w14:textId="77777777" w:rsidTr="00F4599F">
        <w:trPr>
          <w:trHeight w:val="300"/>
        </w:trPr>
        <w:tc>
          <w:tcPr>
            <w:tcW w:w="120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A20A353" w14:textId="77777777" w:rsidR="00C82BCC" w:rsidRDefault="00C82BCC" w:rsidP="00F846F0">
            <w:pPr>
              <w:spacing w:after="0" w:line="240" w:lineRule="auto"/>
              <w:jc w:val="center"/>
              <w:rPr>
                <w:rFonts w:cs="Times New Roman"/>
                <w:color w:val="000000"/>
                <w:szCs w:val="24"/>
              </w:rPr>
            </w:pPr>
            <w:r>
              <w:rPr>
                <w:rFonts w:cs="Times New Roman"/>
                <w:color w:val="000000"/>
                <w:szCs w:val="24"/>
              </w:rPr>
              <w:t>16</w:t>
            </w:r>
          </w:p>
        </w:tc>
        <w:tc>
          <w:tcPr>
            <w:tcW w:w="5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269F7D" w14:textId="77777777" w:rsidR="00C82BCC" w:rsidRDefault="00C82BCC" w:rsidP="00F846F0">
            <w:pPr>
              <w:spacing w:after="0" w:line="240" w:lineRule="auto"/>
              <w:jc w:val="center"/>
              <w:rPr>
                <w:rFonts w:cs="Times New Roman"/>
                <w:color w:val="000000"/>
                <w:szCs w:val="24"/>
              </w:rPr>
            </w:pPr>
            <w:r>
              <w:rPr>
                <w:rFonts w:cs="Times New Roman"/>
                <w:color w:val="000000"/>
                <w:szCs w:val="24"/>
              </w:rPr>
              <w:t>5,92</w:t>
            </w:r>
          </w:p>
        </w:tc>
        <w:tc>
          <w:tcPr>
            <w:tcW w:w="26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C14D75" w14:textId="77777777" w:rsidR="00C82BCC" w:rsidRDefault="00C82BCC" w:rsidP="00F846F0">
            <w:pPr>
              <w:spacing w:after="0" w:line="240" w:lineRule="auto"/>
              <w:jc w:val="center"/>
              <w:rPr>
                <w:rFonts w:cs="Times New Roman"/>
                <w:color w:val="000000"/>
                <w:szCs w:val="24"/>
              </w:rPr>
            </w:pPr>
            <w:r>
              <w:rPr>
                <w:rFonts w:cs="Times New Roman"/>
                <w:color w:val="000000"/>
                <w:szCs w:val="24"/>
              </w:rPr>
              <w:t>5</w:t>
            </w:r>
          </w:p>
        </w:tc>
        <w:tc>
          <w:tcPr>
            <w:tcW w:w="125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C5738B" w14:textId="77777777" w:rsidR="00C82BCC" w:rsidRDefault="00C82BCC" w:rsidP="00F846F0">
            <w:pPr>
              <w:spacing w:after="0" w:line="240" w:lineRule="auto"/>
              <w:jc w:val="center"/>
              <w:rPr>
                <w:rFonts w:cs="Times New Roman"/>
                <w:color w:val="000000"/>
                <w:szCs w:val="24"/>
              </w:rPr>
            </w:pPr>
            <w:r>
              <w:rPr>
                <w:rFonts w:cs="Times New Roman"/>
                <w:color w:val="000000"/>
                <w:szCs w:val="24"/>
              </w:rPr>
              <w:t>1,41</w:t>
            </w:r>
          </w:p>
        </w:tc>
        <w:tc>
          <w:tcPr>
            <w:tcW w:w="21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4EE86DE"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A </w:t>
            </w:r>
          </w:p>
        </w:tc>
        <w:tc>
          <w:tcPr>
            <w:tcW w:w="4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DB8D7BA"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46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738D5B0"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55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A6A6F9D"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r>
      <w:tr w:rsidR="00C82BCC" w14:paraId="30077680" w14:textId="77777777" w:rsidTr="00F4599F">
        <w:trPr>
          <w:trHeight w:val="300"/>
        </w:trPr>
        <w:tc>
          <w:tcPr>
            <w:tcW w:w="120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D7BD3F" w14:textId="77777777" w:rsidR="00C82BCC" w:rsidRDefault="00C82BCC" w:rsidP="00F846F0">
            <w:pPr>
              <w:spacing w:after="0" w:line="240" w:lineRule="auto"/>
              <w:jc w:val="center"/>
              <w:rPr>
                <w:rFonts w:cs="Times New Roman"/>
                <w:color w:val="000000"/>
                <w:szCs w:val="24"/>
              </w:rPr>
            </w:pPr>
            <w:r>
              <w:rPr>
                <w:rFonts w:cs="Times New Roman"/>
                <w:color w:val="000000"/>
                <w:szCs w:val="24"/>
              </w:rPr>
              <w:t>20</w:t>
            </w:r>
          </w:p>
        </w:tc>
        <w:tc>
          <w:tcPr>
            <w:tcW w:w="5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84046E" w14:textId="77777777" w:rsidR="00C82BCC" w:rsidRDefault="00C82BCC" w:rsidP="00F846F0">
            <w:pPr>
              <w:spacing w:after="0" w:line="240" w:lineRule="auto"/>
              <w:jc w:val="center"/>
              <w:rPr>
                <w:rFonts w:cs="Times New Roman"/>
                <w:color w:val="000000"/>
                <w:szCs w:val="24"/>
              </w:rPr>
            </w:pPr>
            <w:r>
              <w:rPr>
                <w:rFonts w:cs="Times New Roman"/>
                <w:color w:val="000000"/>
                <w:szCs w:val="24"/>
              </w:rPr>
              <w:t>11,23</w:t>
            </w:r>
          </w:p>
        </w:tc>
        <w:tc>
          <w:tcPr>
            <w:tcW w:w="26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AAFB67" w14:textId="77777777" w:rsidR="00C82BCC" w:rsidRDefault="00C82BCC" w:rsidP="00F846F0">
            <w:pPr>
              <w:spacing w:after="0" w:line="240" w:lineRule="auto"/>
              <w:jc w:val="center"/>
              <w:rPr>
                <w:rFonts w:cs="Times New Roman"/>
                <w:color w:val="000000"/>
                <w:szCs w:val="24"/>
              </w:rPr>
            </w:pPr>
            <w:r>
              <w:rPr>
                <w:rFonts w:cs="Times New Roman"/>
                <w:color w:val="000000"/>
                <w:szCs w:val="24"/>
              </w:rPr>
              <w:t>16</w:t>
            </w:r>
          </w:p>
        </w:tc>
        <w:tc>
          <w:tcPr>
            <w:tcW w:w="125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7B799B" w14:textId="77777777" w:rsidR="00C82BCC" w:rsidRDefault="00C82BCC" w:rsidP="00F846F0">
            <w:pPr>
              <w:spacing w:after="0" w:line="240" w:lineRule="auto"/>
              <w:jc w:val="center"/>
              <w:rPr>
                <w:rFonts w:cs="Times New Roman"/>
                <w:color w:val="000000"/>
                <w:szCs w:val="24"/>
              </w:rPr>
            </w:pPr>
            <w:r>
              <w:rPr>
                <w:rFonts w:cs="Times New Roman"/>
                <w:color w:val="000000"/>
                <w:szCs w:val="24"/>
              </w:rPr>
              <w:t>0,81</w:t>
            </w:r>
          </w:p>
        </w:tc>
        <w:tc>
          <w:tcPr>
            <w:tcW w:w="21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F50B52"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46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C024BA"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B </w:t>
            </w:r>
          </w:p>
        </w:tc>
        <w:tc>
          <w:tcPr>
            <w:tcW w:w="46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4DC889"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132F39"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r>
      <w:tr w:rsidR="00C82BCC" w14:paraId="238A2B32" w14:textId="77777777" w:rsidTr="00F4599F">
        <w:trPr>
          <w:trHeight w:val="300"/>
        </w:trPr>
        <w:tc>
          <w:tcPr>
            <w:tcW w:w="120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59C958" w14:textId="77777777" w:rsidR="00C82BCC" w:rsidRDefault="00C82BCC" w:rsidP="00F846F0">
            <w:pPr>
              <w:spacing w:after="0" w:line="240" w:lineRule="auto"/>
              <w:jc w:val="center"/>
              <w:rPr>
                <w:rFonts w:cs="Times New Roman"/>
                <w:color w:val="000000"/>
                <w:szCs w:val="24"/>
              </w:rPr>
            </w:pPr>
            <w:r>
              <w:rPr>
                <w:rFonts w:cs="Times New Roman"/>
                <w:color w:val="000000"/>
                <w:szCs w:val="24"/>
              </w:rPr>
              <w:t>30</w:t>
            </w:r>
          </w:p>
        </w:tc>
        <w:tc>
          <w:tcPr>
            <w:tcW w:w="5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8DFB53" w14:textId="77777777" w:rsidR="00C82BCC" w:rsidRDefault="00C82BCC" w:rsidP="00F846F0">
            <w:pPr>
              <w:spacing w:after="0" w:line="240" w:lineRule="auto"/>
              <w:jc w:val="center"/>
              <w:rPr>
                <w:rFonts w:cs="Times New Roman"/>
                <w:color w:val="000000"/>
                <w:szCs w:val="24"/>
              </w:rPr>
            </w:pPr>
            <w:r>
              <w:rPr>
                <w:rFonts w:cs="Times New Roman"/>
                <w:color w:val="000000"/>
                <w:szCs w:val="24"/>
              </w:rPr>
              <w:t>21,89</w:t>
            </w:r>
          </w:p>
        </w:tc>
        <w:tc>
          <w:tcPr>
            <w:tcW w:w="26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EF8E80" w14:textId="77777777" w:rsidR="00C82BCC" w:rsidRDefault="00C82BCC" w:rsidP="00F846F0">
            <w:pPr>
              <w:spacing w:after="0" w:line="240" w:lineRule="auto"/>
              <w:jc w:val="center"/>
              <w:rPr>
                <w:rFonts w:cs="Times New Roman"/>
                <w:color w:val="000000"/>
                <w:szCs w:val="24"/>
              </w:rPr>
            </w:pPr>
            <w:r>
              <w:rPr>
                <w:rFonts w:cs="Times New Roman"/>
                <w:color w:val="000000"/>
                <w:szCs w:val="24"/>
              </w:rPr>
              <w:t>26</w:t>
            </w:r>
          </w:p>
        </w:tc>
        <w:tc>
          <w:tcPr>
            <w:tcW w:w="125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3A74FA" w14:textId="77777777" w:rsidR="00C82BCC" w:rsidRDefault="00C82BCC" w:rsidP="00F846F0">
            <w:pPr>
              <w:spacing w:after="0" w:line="240" w:lineRule="auto"/>
              <w:jc w:val="center"/>
              <w:rPr>
                <w:rFonts w:cs="Times New Roman"/>
                <w:color w:val="000000"/>
                <w:szCs w:val="24"/>
              </w:rPr>
            </w:pPr>
            <w:r>
              <w:rPr>
                <w:rFonts w:cs="Times New Roman"/>
                <w:color w:val="000000"/>
                <w:szCs w:val="24"/>
              </w:rPr>
              <w:t>0,64</w:t>
            </w:r>
          </w:p>
        </w:tc>
        <w:tc>
          <w:tcPr>
            <w:tcW w:w="21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A688AB"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46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D5C689"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46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2E5B60"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C </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74310B"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r>
      <w:tr w:rsidR="00C82BCC" w14:paraId="1DDB8AB1" w14:textId="77777777" w:rsidTr="00F4599F">
        <w:trPr>
          <w:trHeight w:val="300"/>
        </w:trPr>
        <w:tc>
          <w:tcPr>
            <w:tcW w:w="120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A7D97C" w14:textId="77777777" w:rsidR="00C82BCC" w:rsidRDefault="00C82BCC" w:rsidP="00F846F0">
            <w:pPr>
              <w:spacing w:after="0" w:line="240" w:lineRule="auto"/>
              <w:jc w:val="center"/>
              <w:rPr>
                <w:rFonts w:cs="Times New Roman"/>
                <w:color w:val="000000"/>
                <w:szCs w:val="24"/>
              </w:rPr>
            </w:pPr>
            <w:r>
              <w:rPr>
                <w:rFonts w:cs="Times New Roman"/>
                <w:color w:val="000000"/>
                <w:szCs w:val="24"/>
              </w:rPr>
              <w:t>0</w:t>
            </w:r>
          </w:p>
        </w:tc>
        <w:tc>
          <w:tcPr>
            <w:tcW w:w="58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4F25FD" w14:textId="77777777" w:rsidR="00C82BCC" w:rsidRDefault="00C82BCC" w:rsidP="00F846F0">
            <w:pPr>
              <w:spacing w:after="0" w:line="240" w:lineRule="auto"/>
              <w:jc w:val="center"/>
              <w:rPr>
                <w:rFonts w:cs="Times New Roman"/>
                <w:color w:val="000000"/>
                <w:szCs w:val="24"/>
              </w:rPr>
            </w:pPr>
            <w:r>
              <w:rPr>
                <w:rFonts w:cs="Times New Roman"/>
                <w:color w:val="000000"/>
                <w:szCs w:val="24"/>
              </w:rPr>
              <w:t>25,5</w:t>
            </w:r>
          </w:p>
        </w:tc>
        <w:tc>
          <w:tcPr>
            <w:tcW w:w="26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7140BD" w14:textId="77777777" w:rsidR="00C82BCC" w:rsidRDefault="00C82BCC" w:rsidP="00F846F0">
            <w:pPr>
              <w:spacing w:after="0" w:line="240" w:lineRule="auto"/>
              <w:jc w:val="center"/>
              <w:rPr>
                <w:rFonts w:cs="Times New Roman"/>
                <w:color w:val="000000"/>
                <w:szCs w:val="24"/>
              </w:rPr>
            </w:pPr>
            <w:r>
              <w:rPr>
                <w:rFonts w:cs="Times New Roman"/>
                <w:color w:val="000000"/>
                <w:szCs w:val="24"/>
              </w:rPr>
              <w:t>22</w:t>
            </w:r>
          </w:p>
        </w:tc>
        <w:tc>
          <w:tcPr>
            <w:tcW w:w="125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CD66CE" w14:textId="77777777" w:rsidR="00C82BCC" w:rsidRDefault="00C82BCC" w:rsidP="00F846F0">
            <w:pPr>
              <w:spacing w:after="0" w:line="240" w:lineRule="auto"/>
              <w:jc w:val="center"/>
              <w:rPr>
                <w:rFonts w:cs="Times New Roman"/>
                <w:color w:val="000000"/>
                <w:szCs w:val="24"/>
              </w:rPr>
            </w:pPr>
            <w:r>
              <w:rPr>
                <w:rFonts w:cs="Times New Roman"/>
                <w:color w:val="000000"/>
                <w:szCs w:val="24"/>
              </w:rPr>
              <w:t>0,69</w:t>
            </w:r>
          </w:p>
        </w:tc>
        <w:tc>
          <w:tcPr>
            <w:tcW w:w="21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EDC600"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466"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D1CDB0"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46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CC8AB0"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  </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F17327" w14:textId="77777777" w:rsidR="00C82BCC" w:rsidRDefault="00C82BCC" w:rsidP="00F846F0">
            <w:pPr>
              <w:spacing w:after="0" w:line="240" w:lineRule="auto"/>
              <w:jc w:val="center"/>
              <w:rPr>
                <w:rFonts w:cs="Times New Roman"/>
                <w:color w:val="000000"/>
                <w:szCs w:val="24"/>
              </w:rPr>
            </w:pPr>
            <w:r>
              <w:rPr>
                <w:rFonts w:cs="Times New Roman"/>
                <w:color w:val="000000"/>
                <w:szCs w:val="24"/>
              </w:rPr>
              <w:t xml:space="preserve">D </w:t>
            </w:r>
          </w:p>
        </w:tc>
      </w:tr>
    </w:tbl>
    <w:p w14:paraId="2F8C944D" w14:textId="707FED30" w:rsidR="004175F6" w:rsidRPr="004175F6" w:rsidRDefault="004175F6" w:rsidP="00F846F0">
      <w:pPr>
        <w:pStyle w:val="Descripcin"/>
        <w:keepNext/>
        <w:spacing w:before="360"/>
        <w:rPr>
          <w:rFonts w:cs="Times New Roman"/>
          <w:i w:val="0"/>
          <w:iCs w:val="0"/>
          <w:color w:val="auto"/>
          <w:sz w:val="24"/>
          <w:szCs w:val="24"/>
          <w:lang w:eastAsia="en-US"/>
        </w:rPr>
      </w:pPr>
      <w:bookmarkStart w:id="1934" w:name="_Toc79314126"/>
      <w:r w:rsidRPr="004175F6">
        <w:rPr>
          <w:rFonts w:cs="Times New Roman"/>
          <w:b/>
          <w:i w:val="0"/>
          <w:iCs w:val="0"/>
          <w:color w:val="auto"/>
          <w:sz w:val="24"/>
          <w:szCs w:val="24"/>
          <w:lang w:eastAsia="en-US"/>
        </w:rPr>
        <w:t xml:space="preserve">Cuadro </w:t>
      </w:r>
      <w:r w:rsidRPr="004175F6">
        <w:rPr>
          <w:rFonts w:cs="Times New Roman"/>
          <w:b/>
          <w:i w:val="0"/>
          <w:iCs w:val="0"/>
          <w:color w:val="auto"/>
          <w:sz w:val="24"/>
          <w:szCs w:val="24"/>
          <w:lang w:eastAsia="en-US"/>
        </w:rPr>
        <w:fldChar w:fldCharType="begin"/>
      </w:r>
      <w:r w:rsidRPr="004175F6">
        <w:rPr>
          <w:rFonts w:cs="Times New Roman"/>
          <w:b/>
          <w:i w:val="0"/>
          <w:iCs w:val="0"/>
          <w:color w:val="auto"/>
          <w:sz w:val="24"/>
          <w:szCs w:val="24"/>
          <w:lang w:eastAsia="en-US"/>
        </w:rPr>
        <w:instrText xml:space="preserve"> SEQ Cuadro \* ARABIC </w:instrText>
      </w:r>
      <w:r w:rsidRPr="004175F6">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134</w:t>
      </w:r>
      <w:r w:rsidRPr="004175F6">
        <w:rPr>
          <w:rFonts w:cs="Times New Roman"/>
          <w:b/>
          <w:i w:val="0"/>
          <w:iCs w:val="0"/>
          <w:color w:val="auto"/>
          <w:sz w:val="24"/>
          <w:szCs w:val="24"/>
          <w:lang w:eastAsia="en-US"/>
        </w:rPr>
        <w:fldChar w:fldCharType="end"/>
      </w:r>
      <w:r w:rsidRPr="004175F6">
        <w:rPr>
          <w:rFonts w:cs="Times New Roman"/>
          <w:b/>
          <w:i w:val="0"/>
          <w:iCs w:val="0"/>
          <w:color w:val="auto"/>
          <w:sz w:val="24"/>
          <w:szCs w:val="24"/>
          <w:lang w:eastAsia="en-US"/>
        </w:rPr>
        <w:t>.</w:t>
      </w:r>
      <w:r w:rsidRPr="004175F6">
        <w:rPr>
          <w:rFonts w:cs="Times New Roman"/>
          <w:i w:val="0"/>
          <w:iCs w:val="0"/>
          <w:color w:val="auto"/>
          <w:sz w:val="24"/>
          <w:szCs w:val="24"/>
          <w:lang w:eastAsia="en-US"/>
        </w:rPr>
        <w:t xml:space="preserve"> Absorción total de azufre de maíz suave para diversas dosis de magnesio evaluadas en la provincia de Imbabura 2010-2015.</w:t>
      </w:r>
      <w:bookmarkEnd w:id="1934"/>
    </w:p>
    <w:tbl>
      <w:tblPr>
        <w:tblW w:w="5577" w:type="dxa"/>
        <w:jc w:val="center"/>
        <w:tblCellMar>
          <w:left w:w="0" w:type="dxa"/>
          <w:right w:w="0" w:type="dxa"/>
        </w:tblCellMar>
        <w:tblLook w:val="04A0" w:firstRow="1" w:lastRow="0" w:firstColumn="1" w:lastColumn="0" w:noHBand="0" w:noVBand="1"/>
      </w:tblPr>
      <w:tblGrid>
        <w:gridCol w:w="2400"/>
        <w:gridCol w:w="997"/>
        <w:gridCol w:w="426"/>
        <w:gridCol w:w="1754"/>
      </w:tblGrid>
      <w:tr w:rsidR="00C82BCC" w14:paraId="288166F9" w14:textId="77777777" w:rsidTr="00321857">
        <w:trPr>
          <w:trHeight w:val="300"/>
          <w:jc w:val="center"/>
        </w:trPr>
        <w:tc>
          <w:tcPr>
            <w:tcW w:w="24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BB8726A"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Dosis Mg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9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E0A21C7"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Medias</w:t>
            </w:r>
          </w:p>
        </w:tc>
        <w:tc>
          <w:tcPr>
            <w:tcW w:w="4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5BE9DE4" w14:textId="77777777" w:rsidR="00C82BCC" w:rsidRDefault="00C82BCC" w:rsidP="00F846F0">
            <w:pPr>
              <w:spacing w:after="0" w:line="240" w:lineRule="auto"/>
              <w:jc w:val="center"/>
              <w:rPr>
                <w:rFonts w:cs="Times New Roman"/>
                <w:b/>
                <w:bCs/>
                <w:color w:val="000000"/>
                <w:szCs w:val="24"/>
              </w:rPr>
            </w:pPr>
            <w:r>
              <w:rPr>
                <w:rFonts w:cs="Times New Roman"/>
                <w:b/>
                <w:bCs/>
                <w:color w:val="000000"/>
                <w:szCs w:val="24"/>
              </w:rPr>
              <w:t xml:space="preserve">n </w:t>
            </w:r>
          </w:p>
        </w:tc>
        <w:tc>
          <w:tcPr>
            <w:tcW w:w="17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CBC226D" w14:textId="77777777" w:rsidR="00C82BCC" w:rsidRDefault="00C82BCC" w:rsidP="00F846F0">
            <w:pPr>
              <w:spacing w:after="0" w:line="240" w:lineRule="auto"/>
              <w:jc w:val="center"/>
              <w:rPr>
                <w:rFonts w:cs="Times New Roman"/>
                <w:b/>
                <w:bCs/>
                <w:color w:val="000000"/>
                <w:szCs w:val="24"/>
              </w:rPr>
            </w:pPr>
            <w:r>
              <w:rPr>
                <w:rFonts w:eastAsia="Times New Roman" w:cs="Times New Roman"/>
                <w:b/>
                <w:bCs/>
                <w:color w:val="000000"/>
                <w:szCs w:val="24"/>
                <w:lang w:eastAsia="es-EC"/>
              </w:rPr>
              <w:t>Error estándar</w:t>
            </w:r>
          </w:p>
        </w:tc>
      </w:tr>
      <w:tr w:rsidR="00C82BCC" w14:paraId="409638CE" w14:textId="77777777" w:rsidTr="00321857">
        <w:trPr>
          <w:trHeight w:val="300"/>
          <w:jc w:val="center"/>
        </w:trPr>
        <w:tc>
          <w:tcPr>
            <w:tcW w:w="2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581ADA" w14:textId="77777777" w:rsidR="00C82BCC" w:rsidRDefault="00C82BCC" w:rsidP="00F846F0">
            <w:pPr>
              <w:spacing w:after="0" w:line="240" w:lineRule="auto"/>
              <w:jc w:val="center"/>
              <w:rPr>
                <w:rFonts w:cs="Times New Roman"/>
                <w:color w:val="000000"/>
                <w:szCs w:val="24"/>
              </w:rPr>
            </w:pPr>
            <w:r>
              <w:rPr>
                <w:rFonts w:cs="Times New Roman"/>
                <w:color w:val="000000"/>
                <w:szCs w:val="24"/>
              </w:rPr>
              <w:t>10</w:t>
            </w:r>
          </w:p>
        </w:tc>
        <w:tc>
          <w:tcPr>
            <w:tcW w:w="99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0AE01B" w14:textId="77777777" w:rsidR="00C82BCC" w:rsidRDefault="00C82BCC" w:rsidP="00F846F0">
            <w:pPr>
              <w:spacing w:after="0" w:line="240" w:lineRule="auto"/>
              <w:jc w:val="center"/>
              <w:rPr>
                <w:rFonts w:cs="Times New Roman"/>
                <w:color w:val="000000"/>
                <w:szCs w:val="24"/>
              </w:rPr>
            </w:pPr>
            <w:r>
              <w:rPr>
                <w:rFonts w:cs="Times New Roman"/>
                <w:color w:val="000000"/>
                <w:szCs w:val="24"/>
              </w:rPr>
              <w:t>5,92</w:t>
            </w:r>
          </w:p>
        </w:tc>
        <w:tc>
          <w:tcPr>
            <w:tcW w:w="4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444D83" w14:textId="77777777" w:rsidR="00C82BCC" w:rsidRDefault="00C82BCC" w:rsidP="00F846F0">
            <w:pPr>
              <w:spacing w:after="0" w:line="240" w:lineRule="auto"/>
              <w:jc w:val="center"/>
              <w:rPr>
                <w:rFonts w:cs="Times New Roman"/>
                <w:color w:val="000000"/>
                <w:szCs w:val="24"/>
              </w:rPr>
            </w:pPr>
            <w:r>
              <w:rPr>
                <w:rFonts w:cs="Times New Roman"/>
                <w:color w:val="000000"/>
                <w:szCs w:val="24"/>
              </w:rPr>
              <w:t>5</w:t>
            </w:r>
          </w:p>
        </w:tc>
        <w:tc>
          <w:tcPr>
            <w:tcW w:w="175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5E9566" w14:textId="77777777" w:rsidR="00C82BCC" w:rsidRDefault="00C82BCC" w:rsidP="00F846F0">
            <w:pPr>
              <w:spacing w:after="0" w:line="240" w:lineRule="auto"/>
              <w:jc w:val="center"/>
              <w:rPr>
                <w:rFonts w:cs="Times New Roman"/>
                <w:color w:val="000000"/>
                <w:szCs w:val="24"/>
              </w:rPr>
            </w:pPr>
            <w:r>
              <w:rPr>
                <w:rFonts w:cs="Times New Roman"/>
                <w:color w:val="000000"/>
                <w:szCs w:val="24"/>
              </w:rPr>
              <w:t>1,41</w:t>
            </w:r>
          </w:p>
        </w:tc>
      </w:tr>
      <w:tr w:rsidR="00C82BCC" w14:paraId="71DC4DDA" w14:textId="77777777" w:rsidTr="00321857">
        <w:trPr>
          <w:trHeight w:val="300"/>
          <w:jc w:val="center"/>
        </w:trPr>
        <w:tc>
          <w:tcPr>
            <w:tcW w:w="2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E0E0D01" w14:textId="77777777" w:rsidR="00C82BCC" w:rsidRDefault="00C82BCC" w:rsidP="00F846F0">
            <w:pPr>
              <w:spacing w:after="0" w:line="240" w:lineRule="auto"/>
              <w:jc w:val="center"/>
              <w:rPr>
                <w:rFonts w:cs="Times New Roman"/>
                <w:color w:val="000000"/>
                <w:szCs w:val="24"/>
              </w:rPr>
            </w:pPr>
            <w:r>
              <w:rPr>
                <w:rFonts w:cs="Times New Roman"/>
                <w:color w:val="000000"/>
                <w:szCs w:val="24"/>
              </w:rPr>
              <w:t>20</w:t>
            </w:r>
          </w:p>
        </w:tc>
        <w:tc>
          <w:tcPr>
            <w:tcW w:w="99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15B4DB" w14:textId="77777777" w:rsidR="00C82BCC" w:rsidRDefault="00C82BCC" w:rsidP="00F846F0">
            <w:pPr>
              <w:spacing w:after="0" w:line="240" w:lineRule="auto"/>
              <w:jc w:val="center"/>
              <w:rPr>
                <w:rFonts w:cs="Times New Roman"/>
                <w:color w:val="000000"/>
                <w:szCs w:val="24"/>
              </w:rPr>
            </w:pPr>
            <w:r>
              <w:rPr>
                <w:rFonts w:cs="Times New Roman"/>
                <w:color w:val="000000"/>
                <w:szCs w:val="24"/>
              </w:rPr>
              <w:t>9,36</w:t>
            </w:r>
          </w:p>
        </w:tc>
        <w:tc>
          <w:tcPr>
            <w:tcW w:w="4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C81910" w14:textId="77777777" w:rsidR="00C82BCC" w:rsidRDefault="00C82BCC" w:rsidP="00F846F0">
            <w:pPr>
              <w:spacing w:after="0" w:line="240" w:lineRule="auto"/>
              <w:jc w:val="center"/>
              <w:rPr>
                <w:rFonts w:cs="Times New Roman"/>
                <w:color w:val="000000"/>
                <w:szCs w:val="24"/>
              </w:rPr>
            </w:pPr>
            <w:r>
              <w:rPr>
                <w:rFonts w:cs="Times New Roman"/>
                <w:color w:val="000000"/>
                <w:szCs w:val="24"/>
              </w:rPr>
              <w:t>12</w:t>
            </w:r>
          </w:p>
        </w:tc>
        <w:tc>
          <w:tcPr>
            <w:tcW w:w="175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765D0B" w14:textId="77777777" w:rsidR="00C82BCC" w:rsidRDefault="00C82BCC" w:rsidP="00F846F0">
            <w:pPr>
              <w:spacing w:after="0" w:line="240" w:lineRule="auto"/>
              <w:jc w:val="center"/>
              <w:rPr>
                <w:rFonts w:cs="Times New Roman"/>
                <w:color w:val="000000"/>
                <w:szCs w:val="24"/>
              </w:rPr>
            </w:pPr>
            <w:r>
              <w:rPr>
                <w:rFonts w:cs="Times New Roman"/>
                <w:color w:val="000000"/>
                <w:szCs w:val="24"/>
              </w:rPr>
              <w:t>0,93</w:t>
            </w:r>
          </w:p>
        </w:tc>
      </w:tr>
      <w:tr w:rsidR="00C82BCC" w14:paraId="594C5E0E" w14:textId="77777777" w:rsidTr="00321857">
        <w:trPr>
          <w:trHeight w:val="300"/>
          <w:jc w:val="center"/>
        </w:trPr>
        <w:tc>
          <w:tcPr>
            <w:tcW w:w="2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A3A2C0" w14:textId="77777777" w:rsidR="00C82BCC" w:rsidRDefault="00C82BCC" w:rsidP="00F846F0">
            <w:pPr>
              <w:spacing w:after="0" w:line="240" w:lineRule="auto"/>
              <w:jc w:val="center"/>
              <w:rPr>
                <w:rFonts w:cs="Times New Roman"/>
                <w:color w:val="000000"/>
                <w:szCs w:val="24"/>
              </w:rPr>
            </w:pPr>
            <w:r>
              <w:rPr>
                <w:rFonts w:cs="Times New Roman"/>
                <w:color w:val="000000"/>
                <w:szCs w:val="24"/>
              </w:rPr>
              <w:t>30</w:t>
            </w:r>
          </w:p>
        </w:tc>
        <w:tc>
          <w:tcPr>
            <w:tcW w:w="99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A771A6" w14:textId="77777777" w:rsidR="00C82BCC" w:rsidRDefault="00C82BCC" w:rsidP="00F846F0">
            <w:pPr>
              <w:spacing w:after="0" w:line="240" w:lineRule="auto"/>
              <w:jc w:val="center"/>
              <w:rPr>
                <w:rFonts w:cs="Times New Roman"/>
                <w:color w:val="000000"/>
                <w:szCs w:val="24"/>
              </w:rPr>
            </w:pPr>
            <w:r>
              <w:rPr>
                <w:rFonts w:cs="Times New Roman"/>
                <w:color w:val="000000"/>
                <w:szCs w:val="24"/>
              </w:rPr>
              <w:t>13,18</w:t>
            </w:r>
          </w:p>
        </w:tc>
        <w:tc>
          <w:tcPr>
            <w:tcW w:w="4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BFB53D" w14:textId="77777777" w:rsidR="00C82BCC" w:rsidRDefault="00C82BCC" w:rsidP="00F846F0">
            <w:pPr>
              <w:spacing w:after="0" w:line="240" w:lineRule="auto"/>
              <w:jc w:val="center"/>
              <w:rPr>
                <w:rFonts w:cs="Times New Roman"/>
                <w:color w:val="000000"/>
                <w:szCs w:val="24"/>
              </w:rPr>
            </w:pPr>
            <w:r>
              <w:rPr>
                <w:rFonts w:cs="Times New Roman"/>
                <w:color w:val="000000"/>
                <w:szCs w:val="24"/>
              </w:rPr>
              <w:t>5</w:t>
            </w:r>
          </w:p>
        </w:tc>
        <w:tc>
          <w:tcPr>
            <w:tcW w:w="175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98A705" w14:textId="77777777" w:rsidR="00C82BCC" w:rsidRDefault="00C82BCC" w:rsidP="00F846F0">
            <w:pPr>
              <w:spacing w:after="0" w:line="240" w:lineRule="auto"/>
              <w:jc w:val="center"/>
              <w:rPr>
                <w:rFonts w:cs="Times New Roman"/>
                <w:color w:val="000000"/>
                <w:szCs w:val="24"/>
              </w:rPr>
            </w:pPr>
            <w:r>
              <w:rPr>
                <w:rFonts w:cs="Times New Roman"/>
                <w:color w:val="000000"/>
                <w:szCs w:val="24"/>
              </w:rPr>
              <w:t>1,41</w:t>
            </w:r>
          </w:p>
        </w:tc>
      </w:tr>
      <w:tr w:rsidR="00C82BCC" w14:paraId="4A3F2C8F" w14:textId="77777777" w:rsidTr="00321857">
        <w:trPr>
          <w:trHeight w:val="300"/>
          <w:jc w:val="center"/>
        </w:trPr>
        <w:tc>
          <w:tcPr>
            <w:tcW w:w="24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C12702" w14:textId="77777777" w:rsidR="00C82BCC" w:rsidRDefault="00C82BCC" w:rsidP="00F846F0">
            <w:pPr>
              <w:spacing w:after="0" w:line="240" w:lineRule="auto"/>
              <w:jc w:val="center"/>
              <w:rPr>
                <w:rFonts w:cs="Times New Roman"/>
                <w:color w:val="000000"/>
                <w:szCs w:val="24"/>
              </w:rPr>
            </w:pPr>
            <w:r>
              <w:rPr>
                <w:rFonts w:cs="Times New Roman"/>
                <w:color w:val="000000"/>
                <w:szCs w:val="24"/>
              </w:rPr>
              <w:t>0</w:t>
            </w:r>
          </w:p>
        </w:tc>
        <w:tc>
          <w:tcPr>
            <w:tcW w:w="99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027575" w14:textId="77777777" w:rsidR="00C82BCC" w:rsidRDefault="00C82BCC" w:rsidP="00F846F0">
            <w:pPr>
              <w:spacing w:after="0" w:line="240" w:lineRule="auto"/>
              <w:jc w:val="center"/>
              <w:rPr>
                <w:rFonts w:cs="Times New Roman"/>
                <w:color w:val="000000"/>
                <w:szCs w:val="24"/>
              </w:rPr>
            </w:pPr>
            <w:r>
              <w:rPr>
                <w:rFonts w:cs="Times New Roman"/>
                <w:color w:val="000000"/>
                <w:szCs w:val="24"/>
              </w:rPr>
              <w:t>23,93</w:t>
            </w:r>
          </w:p>
        </w:tc>
        <w:tc>
          <w:tcPr>
            <w:tcW w:w="4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60DB66" w14:textId="77777777" w:rsidR="00C82BCC" w:rsidRDefault="00C82BCC" w:rsidP="00F846F0">
            <w:pPr>
              <w:spacing w:after="0" w:line="240" w:lineRule="auto"/>
              <w:jc w:val="center"/>
              <w:rPr>
                <w:rFonts w:cs="Times New Roman"/>
                <w:color w:val="000000"/>
                <w:szCs w:val="24"/>
              </w:rPr>
            </w:pPr>
            <w:r>
              <w:rPr>
                <w:rFonts w:cs="Times New Roman"/>
                <w:color w:val="000000"/>
                <w:szCs w:val="24"/>
              </w:rPr>
              <w:t>47</w:t>
            </w:r>
          </w:p>
        </w:tc>
        <w:tc>
          <w:tcPr>
            <w:tcW w:w="175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CDC65A" w14:textId="77777777" w:rsidR="00C82BCC" w:rsidRDefault="00C82BCC" w:rsidP="00F846F0">
            <w:pPr>
              <w:spacing w:after="0" w:line="240" w:lineRule="auto"/>
              <w:jc w:val="center"/>
              <w:rPr>
                <w:rFonts w:cs="Times New Roman"/>
                <w:color w:val="000000"/>
                <w:szCs w:val="24"/>
              </w:rPr>
            </w:pPr>
            <w:r>
              <w:rPr>
                <w:rFonts w:cs="Times New Roman"/>
                <w:color w:val="000000"/>
                <w:szCs w:val="24"/>
              </w:rPr>
              <w:t>0,47</w:t>
            </w:r>
          </w:p>
        </w:tc>
      </w:tr>
    </w:tbl>
    <w:p w14:paraId="749D36D3" w14:textId="77777777" w:rsidR="00C82BCC" w:rsidRDefault="00C82BCC" w:rsidP="00C82BCC">
      <w:pPr>
        <w:spacing w:after="0" w:line="360" w:lineRule="auto"/>
        <w:rPr>
          <w:rFonts w:cs="Times New Roman"/>
          <w:szCs w:val="24"/>
        </w:rPr>
      </w:pPr>
      <w:r>
        <w:rPr>
          <w:rFonts w:cs="Times New Roman"/>
          <w:szCs w:val="24"/>
        </w:rPr>
        <w:t xml:space="preserve"> </w:t>
      </w:r>
    </w:p>
    <w:p w14:paraId="4E4D246D" w14:textId="7CFB0587" w:rsidR="00C82BCC" w:rsidRDefault="00C82BCC" w:rsidP="00C82BCC">
      <w:pPr>
        <w:autoSpaceDE w:val="0"/>
        <w:autoSpaceDN w:val="0"/>
        <w:adjustRightInd w:val="0"/>
        <w:spacing w:after="0" w:line="360" w:lineRule="auto"/>
        <w:rPr>
          <w:rFonts w:cs="Times New Roman"/>
          <w:bCs/>
          <w:szCs w:val="24"/>
        </w:rPr>
      </w:pPr>
      <w:r>
        <w:rPr>
          <w:rFonts w:cs="Times New Roman"/>
          <w:bCs/>
          <w:szCs w:val="24"/>
        </w:rPr>
        <w:t>El efecto de los nutrientes que fueron significativos</w:t>
      </w:r>
      <w:r w:rsidR="003D75C6">
        <w:rPr>
          <w:rFonts w:cs="Times New Roman"/>
          <w:bCs/>
          <w:szCs w:val="24"/>
        </w:rPr>
        <w:t xml:space="preserve"> (p&lt;0,001)</w:t>
      </w:r>
      <w:r>
        <w:rPr>
          <w:rFonts w:cs="Times New Roman"/>
          <w:bCs/>
          <w:szCs w:val="24"/>
        </w:rPr>
        <w:t xml:space="preserve"> sobre la absorción de azufre en la provincia de Imbabura se observa en </w:t>
      </w:r>
      <w:r w:rsidR="000D1A0C">
        <w:rPr>
          <w:rFonts w:cs="Times New Roman"/>
          <w:bCs/>
          <w:szCs w:val="24"/>
        </w:rPr>
        <w:t>la</w:t>
      </w:r>
      <w:r>
        <w:rPr>
          <w:rFonts w:cs="Times New Roman"/>
          <w:bCs/>
          <w:szCs w:val="24"/>
        </w:rPr>
        <w:t xml:space="preserve"> siguiente </w:t>
      </w:r>
      <w:r w:rsidR="000D1A0C">
        <w:rPr>
          <w:rFonts w:cs="Times New Roman"/>
          <w:bCs/>
          <w:szCs w:val="24"/>
        </w:rPr>
        <w:t>figura</w:t>
      </w:r>
      <w:r w:rsidR="00381373">
        <w:rPr>
          <w:rFonts w:cs="Times New Roman"/>
          <w:bCs/>
          <w:szCs w:val="24"/>
        </w:rPr>
        <w:t>:</w:t>
      </w:r>
    </w:p>
    <w:p w14:paraId="612C4F49" w14:textId="1576B852" w:rsidR="00073E81" w:rsidRDefault="001E7468" w:rsidP="00F846F0">
      <w:pPr>
        <w:pStyle w:val="Ttulo1"/>
        <w:numPr>
          <w:ilvl w:val="0"/>
          <w:numId w:val="38"/>
        </w:numPr>
        <w:spacing w:before="360" w:after="360"/>
        <w:ind w:left="714" w:hanging="357"/>
        <w:rPr>
          <w:b w:val="0"/>
          <w:bCs w:val="0"/>
        </w:rPr>
      </w:pPr>
      <w:bookmarkStart w:id="1935" w:name="_Toc75606522"/>
      <w:bookmarkStart w:id="1936" w:name="_Toc75612001"/>
      <w:bookmarkStart w:id="1937" w:name="_Toc75612847"/>
      <w:bookmarkStart w:id="1938" w:name="_Toc75680003"/>
      <w:bookmarkStart w:id="1939" w:name="_Toc75702611"/>
      <w:bookmarkStart w:id="1940" w:name="_Toc79313241"/>
      <w:bookmarkStart w:id="1941" w:name="_Toc80008455"/>
      <w:bookmarkStart w:id="1942" w:name="_Toc80312348"/>
      <w:r>
        <w:rPr>
          <w:b w:val="0"/>
          <w:bCs w:val="0"/>
        </w:rPr>
        <w:t>Nitrógeno</w:t>
      </w:r>
      <w:bookmarkEnd w:id="1935"/>
      <w:bookmarkEnd w:id="1936"/>
      <w:bookmarkEnd w:id="1937"/>
      <w:bookmarkEnd w:id="1938"/>
      <w:bookmarkEnd w:id="1939"/>
      <w:bookmarkEnd w:id="1940"/>
      <w:bookmarkEnd w:id="1941"/>
      <w:bookmarkEnd w:id="1942"/>
    </w:p>
    <w:p w14:paraId="13EF820E" w14:textId="0E6C4CC9" w:rsidR="00C416FD" w:rsidRDefault="00073E81" w:rsidP="00F846F0">
      <w:pPr>
        <w:autoSpaceDE w:val="0"/>
        <w:autoSpaceDN w:val="0"/>
        <w:adjustRightInd w:val="0"/>
        <w:spacing w:after="0" w:line="360" w:lineRule="auto"/>
        <w:jc w:val="center"/>
        <w:rPr>
          <w:rFonts w:cs="Times New Roman"/>
          <w:szCs w:val="24"/>
        </w:rPr>
      </w:pPr>
      <w:r>
        <w:rPr>
          <w:b/>
          <w:bCs/>
          <w:noProof/>
          <w:lang w:eastAsia="es-EC"/>
        </w:rPr>
        <w:drawing>
          <wp:inline distT="0" distB="0" distL="0" distR="0" wp14:anchorId="04F7F31C" wp14:editId="39EE84E0">
            <wp:extent cx="3941806" cy="1779373"/>
            <wp:effectExtent l="0" t="0" r="1905" b="11430"/>
            <wp:docPr id="8" name="Gráfico 8">
              <a:extLst xmlns:a="http://schemas.openxmlformats.org/drawingml/2006/main">
                <a:ext uri="{FF2B5EF4-FFF2-40B4-BE49-F238E27FC236}">
                  <a16:creationId xmlns:a16="http://schemas.microsoft.com/office/drawing/2014/main" id="{035ED699-096E-4D57-92D5-D6973D27C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3933E7" w14:textId="665D1F96" w:rsidR="00C82BCC" w:rsidRDefault="00425537" w:rsidP="00C416FD">
      <w:pPr>
        <w:autoSpaceDE w:val="0"/>
        <w:autoSpaceDN w:val="0"/>
        <w:adjustRightInd w:val="0"/>
        <w:spacing w:after="0" w:line="360" w:lineRule="auto"/>
        <w:rPr>
          <w:rFonts w:cs="Times New Roman"/>
          <w:szCs w:val="24"/>
        </w:rPr>
      </w:pPr>
      <w:r>
        <w:rPr>
          <w:rFonts w:cs="Times New Roman"/>
          <w:szCs w:val="24"/>
        </w:rPr>
        <w:t>E</w:t>
      </w:r>
      <w:r w:rsidR="00C82BCC">
        <w:rPr>
          <w:rFonts w:cs="Times New Roman"/>
          <w:szCs w:val="24"/>
        </w:rPr>
        <w:t>fecto</w:t>
      </w:r>
      <w:r w:rsidR="00FC53D5" w:rsidRPr="00FC53D5">
        <w:rPr>
          <w:rFonts w:cs="Times New Roman"/>
          <w:szCs w:val="24"/>
        </w:rPr>
        <w:t xml:space="preserve"> </w:t>
      </w:r>
      <w:r w:rsidR="00FC53D5" w:rsidRPr="00515E28">
        <w:rPr>
          <w:rFonts w:cs="Times New Roman"/>
          <w:szCs w:val="24"/>
        </w:rPr>
        <w:t>de los macronutrientes</w:t>
      </w:r>
      <w:r w:rsidR="00C82BCC">
        <w:rPr>
          <w:rFonts w:cs="Times New Roman"/>
          <w:szCs w:val="24"/>
        </w:rPr>
        <w:t xml:space="preserve"> </w:t>
      </w:r>
      <w:r w:rsidR="00FC53D5">
        <w:rPr>
          <w:rFonts w:cs="Times New Roman"/>
          <w:szCs w:val="24"/>
        </w:rPr>
        <w:t xml:space="preserve">a) </w:t>
      </w:r>
      <w:r w:rsidR="003D75C6">
        <w:rPr>
          <w:rFonts w:cs="Times New Roman"/>
          <w:szCs w:val="24"/>
        </w:rPr>
        <w:t xml:space="preserve">nitrógeno </w:t>
      </w:r>
      <w:r w:rsidR="00C82BCC">
        <w:rPr>
          <w:rFonts w:cs="Times New Roman"/>
          <w:szCs w:val="24"/>
        </w:rPr>
        <w:t>sobre la a</w:t>
      </w:r>
      <w:r w:rsidR="00A11074">
        <w:rPr>
          <w:rFonts w:cs="Times New Roman"/>
          <w:szCs w:val="24"/>
        </w:rPr>
        <w:t>b</w:t>
      </w:r>
      <w:r w:rsidR="00C82BCC">
        <w:rPr>
          <w:rFonts w:cs="Times New Roman"/>
          <w:szCs w:val="24"/>
        </w:rPr>
        <w:t>sorción de azufre en maíz suave en la provincia de Imbabura (2010-2015).</w:t>
      </w:r>
    </w:p>
    <w:p w14:paraId="5FC78877" w14:textId="560FC0BD" w:rsidR="00C82BCC" w:rsidRPr="00F846F0" w:rsidRDefault="00C82BCC" w:rsidP="00F846F0">
      <w:pPr>
        <w:pStyle w:val="Ttulo3"/>
        <w:numPr>
          <w:ilvl w:val="2"/>
          <w:numId w:val="52"/>
        </w:numPr>
        <w:autoSpaceDE w:val="0"/>
        <w:autoSpaceDN w:val="0"/>
        <w:adjustRightInd w:val="0"/>
        <w:spacing w:before="360" w:after="360"/>
      </w:pPr>
      <w:bookmarkStart w:id="1943" w:name="_Toc80312349"/>
      <w:r w:rsidRPr="00F846F0">
        <w:rPr>
          <w:color w:val="000000"/>
        </w:rPr>
        <w:t>A</w:t>
      </w:r>
      <w:r w:rsidR="0089298E" w:rsidRPr="00F846F0">
        <w:rPr>
          <w:color w:val="000000"/>
        </w:rPr>
        <w:t>b</w:t>
      </w:r>
      <w:r w:rsidRPr="00F846F0">
        <w:rPr>
          <w:color w:val="000000"/>
        </w:rPr>
        <w:t>sorción de magnesio (</w:t>
      </w:r>
      <w:r w:rsidRPr="00F846F0">
        <w:t>Kg</w:t>
      </w:r>
      <w:r w:rsidRPr="00F846F0">
        <w:rPr>
          <w:rFonts w:eastAsia="Times New Roman"/>
          <w:color w:val="000000"/>
          <w:lang w:eastAsia="es-EC"/>
        </w:rPr>
        <w:t>/</w:t>
      </w:r>
      <w:r w:rsidRPr="00F846F0">
        <w:t>ha</w:t>
      </w:r>
      <w:r w:rsidRPr="00F846F0">
        <w:rPr>
          <w:vertAlign w:val="superscript"/>
        </w:rPr>
        <w:t>-1</w:t>
      </w:r>
      <w:r w:rsidRPr="00F846F0">
        <w:rPr>
          <w:rFonts w:eastAsia="Times New Roman"/>
          <w:color w:val="000000"/>
          <w:lang w:eastAsia="es-EC"/>
        </w:rPr>
        <w:t>)</w:t>
      </w:r>
      <w:bookmarkEnd w:id="1943"/>
    </w:p>
    <w:p w14:paraId="04EE438B" w14:textId="77777777" w:rsidR="00F846F0" w:rsidRDefault="00C82BCC" w:rsidP="00F846F0">
      <w:pPr>
        <w:autoSpaceDE w:val="0"/>
        <w:autoSpaceDN w:val="0"/>
        <w:adjustRightInd w:val="0"/>
        <w:spacing w:after="0" w:line="360" w:lineRule="auto"/>
        <w:rPr>
          <w:rFonts w:cs="Times New Roman"/>
          <w:b/>
          <w:bCs/>
          <w:color w:val="0000FF"/>
        </w:rPr>
      </w:pPr>
      <w:r>
        <w:rPr>
          <w:rFonts w:cs="Times New Roman"/>
          <w:szCs w:val="24"/>
        </w:rPr>
        <w:t xml:space="preserve">Al utilizar el modelo estadístico para la absorción total de magnesio, se detectaron diferencias estadísticas significativas (p &lt;0,05) para las fuentes de variación de </w:t>
      </w:r>
      <w:r>
        <w:rPr>
          <w:rFonts w:cs="Times New Roman"/>
          <w:szCs w:val="24"/>
        </w:rPr>
        <w:lastRenderedPageBreak/>
        <w:t>parroquia, nitrógeno, fósforo y potasio; mientras que no fueron significativos para dosis de azufre y magnesio (</w:t>
      </w:r>
      <w:r w:rsidR="00F4599F">
        <w:rPr>
          <w:rFonts w:cs="Times New Roman"/>
          <w:szCs w:val="24"/>
        </w:rPr>
        <w:t>Cuadro</w:t>
      </w:r>
      <w:r>
        <w:rPr>
          <w:rFonts w:cs="Times New Roman"/>
          <w:szCs w:val="24"/>
        </w:rPr>
        <w:t xml:space="preserve"> 13</w:t>
      </w:r>
      <w:r w:rsidR="0039325D">
        <w:rPr>
          <w:rFonts w:cs="Times New Roman"/>
          <w:szCs w:val="24"/>
        </w:rPr>
        <w:t>4</w:t>
      </w:r>
      <w:r>
        <w:rPr>
          <w:rFonts w:cs="Times New Roman"/>
          <w:szCs w:val="24"/>
        </w:rPr>
        <w:t>). Por lo tanto, las dosis de los fertilizantes con nitrógeno, fósforo y potasio afectaron a esta variable. El promedio general de la absorción total de magnesio fue 24,53 Kg</w:t>
      </w:r>
      <w:r w:rsidR="007E3FEF">
        <w:rPr>
          <w:rFonts w:cs="Times New Roman"/>
          <w:szCs w:val="24"/>
        </w:rPr>
        <w:t xml:space="preserve"> </w:t>
      </w:r>
      <w:r>
        <w:rPr>
          <w:rFonts w:cs="Times New Roman"/>
          <w:szCs w:val="24"/>
        </w:rPr>
        <w:t>ha</w:t>
      </w:r>
      <w:r w:rsidR="007E3FEF" w:rsidRPr="00C416FD">
        <w:rPr>
          <w:rFonts w:cs="Times New Roman"/>
          <w:szCs w:val="24"/>
          <w:vertAlign w:val="superscript"/>
        </w:rPr>
        <w:t>-1</w:t>
      </w:r>
      <w:r>
        <w:rPr>
          <w:rFonts w:cs="Times New Roman"/>
          <w:szCs w:val="24"/>
        </w:rPr>
        <w:t>; con un R</w:t>
      </w:r>
      <w:r>
        <w:rPr>
          <w:rFonts w:cs="Times New Roman"/>
          <w:szCs w:val="24"/>
          <w:vertAlign w:val="superscript"/>
        </w:rPr>
        <w:t xml:space="preserve">2 </w:t>
      </w:r>
      <w:r>
        <w:rPr>
          <w:rFonts w:cs="Times New Roman"/>
          <w:szCs w:val="24"/>
        </w:rPr>
        <w:t>de 0,97 y un coeficiente de variación fue de 10,75 %</w:t>
      </w:r>
      <w:r w:rsidR="004175F6">
        <w:rPr>
          <w:rFonts w:cs="Times New Roman"/>
          <w:b/>
          <w:bCs/>
          <w:color w:val="0000FF"/>
        </w:rPr>
        <w:t>.</w:t>
      </w:r>
      <w:bookmarkStart w:id="1944" w:name="_Toc79314127"/>
    </w:p>
    <w:p w14:paraId="6C4099AD" w14:textId="16E9F1A7" w:rsidR="004175F6" w:rsidRPr="00F846F0" w:rsidRDefault="004175F6" w:rsidP="00F846F0">
      <w:pPr>
        <w:autoSpaceDE w:val="0"/>
        <w:autoSpaceDN w:val="0"/>
        <w:adjustRightInd w:val="0"/>
        <w:spacing w:before="360" w:after="0" w:line="360" w:lineRule="auto"/>
        <w:rPr>
          <w:rFonts w:cs="Times New Roman"/>
          <w:b/>
          <w:bCs/>
          <w:color w:val="0000FF"/>
        </w:rPr>
      </w:pPr>
      <w:r w:rsidRPr="004175F6">
        <w:rPr>
          <w:rFonts w:cs="Times New Roman"/>
          <w:b/>
          <w:szCs w:val="24"/>
        </w:rPr>
        <w:t xml:space="preserve">Cuadro </w:t>
      </w:r>
      <w:r w:rsidRPr="004175F6">
        <w:rPr>
          <w:rFonts w:cs="Times New Roman"/>
          <w:b/>
          <w:i/>
          <w:iCs/>
          <w:szCs w:val="24"/>
        </w:rPr>
        <w:fldChar w:fldCharType="begin"/>
      </w:r>
      <w:r w:rsidRPr="004175F6">
        <w:rPr>
          <w:rFonts w:cs="Times New Roman"/>
          <w:b/>
          <w:szCs w:val="24"/>
        </w:rPr>
        <w:instrText xml:space="preserve"> SEQ Cuadro \* ARABIC </w:instrText>
      </w:r>
      <w:r w:rsidRPr="004175F6">
        <w:rPr>
          <w:rFonts w:cs="Times New Roman"/>
          <w:b/>
          <w:i/>
          <w:iCs/>
          <w:szCs w:val="24"/>
        </w:rPr>
        <w:fldChar w:fldCharType="separate"/>
      </w:r>
      <w:r w:rsidR="000D1F55">
        <w:rPr>
          <w:rFonts w:cs="Times New Roman"/>
          <w:b/>
          <w:noProof/>
          <w:szCs w:val="24"/>
        </w:rPr>
        <w:t>135</w:t>
      </w:r>
      <w:r w:rsidRPr="004175F6">
        <w:rPr>
          <w:rFonts w:cs="Times New Roman"/>
          <w:b/>
          <w:i/>
          <w:iCs/>
          <w:szCs w:val="24"/>
        </w:rPr>
        <w:fldChar w:fldCharType="end"/>
      </w:r>
      <w:r w:rsidRPr="004175F6">
        <w:rPr>
          <w:rFonts w:cs="Times New Roman"/>
          <w:b/>
          <w:szCs w:val="24"/>
        </w:rPr>
        <w:t xml:space="preserve">. </w:t>
      </w:r>
      <w:r w:rsidRPr="004175F6">
        <w:rPr>
          <w:rFonts w:cs="Times New Roman"/>
          <w:szCs w:val="24"/>
        </w:rPr>
        <w:t>Análisis de la Varianza (SC tipo I) y porcentaje de varianza para absorción de magnesio de maíz suave en grano seco, evaluado en la provincia de Imbabura (2010-2015).</w:t>
      </w:r>
      <w:bookmarkEnd w:id="1944"/>
    </w:p>
    <w:tbl>
      <w:tblPr>
        <w:tblW w:w="5000" w:type="pct"/>
        <w:tblCellMar>
          <w:left w:w="70" w:type="dxa"/>
          <w:right w:w="70" w:type="dxa"/>
        </w:tblCellMar>
        <w:tblLook w:val="04A0" w:firstRow="1" w:lastRow="0" w:firstColumn="1" w:lastColumn="0" w:noHBand="0" w:noVBand="1"/>
      </w:tblPr>
      <w:tblGrid>
        <w:gridCol w:w="1728"/>
        <w:gridCol w:w="1040"/>
        <w:gridCol w:w="752"/>
        <w:gridCol w:w="966"/>
        <w:gridCol w:w="844"/>
        <w:gridCol w:w="1210"/>
        <w:gridCol w:w="1387"/>
      </w:tblGrid>
      <w:tr w:rsidR="00C82BCC" w14:paraId="3A0A4656" w14:textId="77777777" w:rsidTr="004175F6">
        <w:trPr>
          <w:trHeight w:val="300"/>
        </w:trPr>
        <w:tc>
          <w:tcPr>
            <w:tcW w:w="1096" w:type="pct"/>
            <w:tcBorders>
              <w:top w:val="single" w:sz="4" w:space="0" w:color="auto"/>
              <w:left w:val="single" w:sz="4" w:space="0" w:color="auto"/>
              <w:bottom w:val="single" w:sz="4" w:space="0" w:color="auto"/>
              <w:right w:val="single" w:sz="4" w:space="0" w:color="auto"/>
            </w:tcBorders>
            <w:noWrap/>
            <w:vAlign w:val="bottom"/>
            <w:hideMark/>
          </w:tcPr>
          <w:p w14:paraId="5B53AC64"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651" w:type="pct"/>
            <w:tcBorders>
              <w:top w:val="single" w:sz="4" w:space="0" w:color="auto"/>
              <w:left w:val="nil"/>
              <w:bottom w:val="single" w:sz="4" w:space="0" w:color="auto"/>
              <w:right w:val="single" w:sz="4" w:space="0" w:color="auto"/>
            </w:tcBorders>
            <w:noWrap/>
            <w:vAlign w:val="bottom"/>
            <w:hideMark/>
          </w:tcPr>
          <w:p w14:paraId="340956B4"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480" w:type="pct"/>
            <w:tcBorders>
              <w:top w:val="single" w:sz="4" w:space="0" w:color="auto"/>
              <w:left w:val="nil"/>
              <w:bottom w:val="single" w:sz="4" w:space="0" w:color="auto"/>
              <w:right w:val="single" w:sz="4" w:space="0" w:color="auto"/>
            </w:tcBorders>
            <w:noWrap/>
            <w:vAlign w:val="bottom"/>
            <w:hideMark/>
          </w:tcPr>
          <w:p w14:paraId="654FF56E"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gl</w:t>
            </w:r>
          </w:p>
        </w:tc>
        <w:tc>
          <w:tcPr>
            <w:tcW w:w="615" w:type="pct"/>
            <w:tcBorders>
              <w:top w:val="single" w:sz="4" w:space="0" w:color="auto"/>
              <w:left w:val="nil"/>
              <w:bottom w:val="single" w:sz="4" w:space="0" w:color="auto"/>
              <w:right w:val="single" w:sz="4" w:space="0" w:color="auto"/>
            </w:tcBorders>
            <w:noWrap/>
            <w:vAlign w:val="bottom"/>
            <w:hideMark/>
          </w:tcPr>
          <w:p w14:paraId="47876616"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538" w:type="pct"/>
            <w:tcBorders>
              <w:top w:val="single" w:sz="4" w:space="0" w:color="auto"/>
              <w:left w:val="nil"/>
              <w:bottom w:val="single" w:sz="4" w:space="0" w:color="auto"/>
              <w:right w:val="single" w:sz="4" w:space="0" w:color="auto"/>
            </w:tcBorders>
            <w:noWrap/>
            <w:vAlign w:val="bottom"/>
            <w:hideMark/>
          </w:tcPr>
          <w:p w14:paraId="30642DC3"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769" w:type="pct"/>
            <w:tcBorders>
              <w:top w:val="single" w:sz="4" w:space="0" w:color="auto"/>
              <w:left w:val="nil"/>
              <w:bottom w:val="single" w:sz="4" w:space="0" w:color="auto"/>
              <w:right w:val="single" w:sz="4" w:space="0" w:color="auto"/>
            </w:tcBorders>
            <w:noWrap/>
            <w:vAlign w:val="bottom"/>
            <w:hideMark/>
          </w:tcPr>
          <w:p w14:paraId="0E3C6E88"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851" w:type="pct"/>
            <w:tcBorders>
              <w:top w:val="single" w:sz="4" w:space="0" w:color="auto"/>
              <w:left w:val="nil"/>
              <w:bottom w:val="single" w:sz="4" w:space="0" w:color="auto"/>
              <w:right w:val="single" w:sz="4" w:space="0" w:color="auto"/>
            </w:tcBorders>
            <w:noWrap/>
            <w:vAlign w:val="bottom"/>
            <w:hideMark/>
          </w:tcPr>
          <w:p w14:paraId="3F68FEF8"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3090D570"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37392DB4"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51" w:type="pct"/>
            <w:tcBorders>
              <w:top w:val="nil"/>
              <w:left w:val="nil"/>
              <w:bottom w:val="single" w:sz="4" w:space="0" w:color="auto"/>
              <w:right w:val="single" w:sz="4" w:space="0" w:color="auto"/>
            </w:tcBorders>
            <w:noWrap/>
            <w:vAlign w:val="bottom"/>
            <w:hideMark/>
          </w:tcPr>
          <w:p w14:paraId="279B31C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10453,78</w:t>
            </w:r>
          </w:p>
        </w:tc>
        <w:tc>
          <w:tcPr>
            <w:tcW w:w="480" w:type="pct"/>
            <w:tcBorders>
              <w:top w:val="nil"/>
              <w:left w:val="nil"/>
              <w:bottom w:val="single" w:sz="4" w:space="0" w:color="auto"/>
              <w:right w:val="single" w:sz="4" w:space="0" w:color="auto"/>
            </w:tcBorders>
            <w:noWrap/>
            <w:vAlign w:val="bottom"/>
            <w:hideMark/>
          </w:tcPr>
          <w:p w14:paraId="07D15B8A"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615" w:type="pct"/>
            <w:tcBorders>
              <w:top w:val="nil"/>
              <w:left w:val="nil"/>
              <w:bottom w:val="single" w:sz="4" w:space="0" w:color="auto"/>
              <w:right w:val="single" w:sz="4" w:space="0" w:color="auto"/>
            </w:tcBorders>
            <w:noWrap/>
            <w:vAlign w:val="bottom"/>
            <w:hideMark/>
          </w:tcPr>
          <w:p w14:paraId="05B1721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497,8</w:t>
            </w:r>
          </w:p>
        </w:tc>
        <w:tc>
          <w:tcPr>
            <w:tcW w:w="538" w:type="pct"/>
            <w:tcBorders>
              <w:top w:val="nil"/>
              <w:left w:val="nil"/>
              <w:bottom w:val="single" w:sz="4" w:space="0" w:color="auto"/>
              <w:right w:val="single" w:sz="4" w:space="0" w:color="auto"/>
            </w:tcBorders>
            <w:noWrap/>
            <w:vAlign w:val="bottom"/>
            <w:hideMark/>
          </w:tcPr>
          <w:p w14:paraId="03735FC3"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71,64</w:t>
            </w:r>
          </w:p>
        </w:tc>
        <w:tc>
          <w:tcPr>
            <w:tcW w:w="769" w:type="pct"/>
            <w:tcBorders>
              <w:top w:val="nil"/>
              <w:left w:val="nil"/>
              <w:bottom w:val="single" w:sz="4" w:space="0" w:color="auto"/>
              <w:right w:val="single" w:sz="4" w:space="0" w:color="auto"/>
            </w:tcBorders>
            <w:noWrap/>
            <w:vAlign w:val="bottom"/>
            <w:hideMark/>
          </w:tcPr>
          <w:p w14:paraId="7C2D692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51" w:type="pct"/>
            <w:tcBorders>
              <w:top w:val="nil"/>
              <w:left w:val="nil"/>
              <w:bottom w:val="single" w:sz="4" w:space="0" w:color="auto"/>
              <w:right w:val="single" w:sz="4" w:space="0" w:color="auto"/>
            </w:tcBorders>
            <w:noWrap/>
            <w:vAlign w:val="bottom"/>
            <w:hideMark/>
          </w:tcPr>
          <w:p w14:paraId="752892B3"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96,97</w:t>
            </w:r>
          </w:p>
        </w:tc>
      </w:tr>
      <w:tr w:rsidR="00C82BCC" w14:paraId="27A5007B"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3F58FFA1"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Parroquia</w:t>
            </w:r>
          </w:p>
        </w:tc>
        <w:tc>
          <w:tcPr>
            <w:tcW w:w="651" w:type="pct"/>
            <w:tcBorders>
              <w:top w:val="nil"/>
              <w:left w:val="nil"/>
              <w:bottom w:val="single" w:sz="4" w:space="0" w:color="auto"/>
              <w:right w:val="single" w:sz="4" w:space="0" w:color="auto"/>
            </w:tcBorders>
            <w:noWrap/>
            <w:vAlign w:val="bottom"/>
            <w:hideMark/>
          </w:tcPr>
          <w:p w14:paraId="5453AA70"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9604,48</w:t>
            </w:r>
          </w:p>
        </w:tc>
        <w:tc>
          <w:tcPr>
            <w:tcW w:w="480" w:type="pct"/>
            <w:tcBorders>
              <w:top w:val="nil"/>
              <w:left w:val="nil"/>
              <w:bottom w:val="single" w:sz="4" w:space="0" w:color="auto"/>
              <w:right w:val="single" w:sz="4" w:space="0" w:color="auto"/>
            </w:tcBorders>
            <w:noWrap/>
            <w:vAlign w:val="bottom"/>
            <w:hideMark/>
          </w:tcPr>
          <w:p w14:paraId="28BE7A8F"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15" w:type="pct"/>
            <w:tcBorders>
              <w:top w:val="nil"/>
              <w:left w:val="nil"/>
              <w:bottom w:val="single" w:sz="4" w:space="0" w:color="auto"/>
              <w:right w:val="single" w:sz="4" w:space="0" w:color="auto"/>
            </w:tcBorders>
            <w:noWrap/>
            <w:vAlign w:val="bottom"/>
            <w:hideMark/>
          </w:tcPr>
          <w:p w14:paraId="2E707AB2"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2401,12</w:t>
            </w:r>
          </w:p>
        </w:tc>
        <w:tc>
          <w:tcPr>
            <w:tcW w:w="538" w:type="pct"/>
            <w:tcBorders>
              <w:top w:val="nil"/>
              <w:left w:val="nil"/>
              <w:bottom w:val="single" w:sz="4" w:space="0" w:color="auto"/>
              <w:right w:val="single" w:sz="4" w:space="0" w:color="auto"/>
            </w:tcBorders>
            <w:noWrap/>
            <w:vAlign w:val="bottom"/>
            <w:hideMark/>
          </w:tcPr>
          <w:p w14:paraId="2C1FC1BA"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345,53</w:t>
            </w:r>
          </w:p>
        </w:tc>
        <w:tc>
          <w:tcPr>
            <w:tcW w:w="769" w:type="pct"/>
            <w:tcBorders>
              <w:top w:val="nil"/>
              <w:left w:val="nil"/>
              <w:bottom w:val="single" w:sz="4" w:space="0" w:color="auto"/>
              <w:right w:val="single" w:sz="4" w:space="0" w:color="auto"/>
            </w:tcBorders>
            <w:noWrap/>
            <w:vAlign w:val="bottom"/>
            <w:hideMark/>
          </w:tcPr>
          <w:p w14:paraId="5957C5D9"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51" w:type="pct"/>
            <w:tcBorders>
              <w:top w:val="nil"/>
              <w:left w:val="nil"/>
              <w:bottom w:val="single" w:sz="4" w:space="0" w:color="auto"/>
              <w:right w:val="single" w:sz="4" w:space="0" w:color="auto"/>
            </w:tcBorders>
            <w:noWrap/>
            <w:vAlign w:val="bottom"/>
            <w:hideMark/>
          </w:tcPr>
          <w:p w14:paraId="174E086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89,09</w:t>
            </w:r>
          </w:p>
        </w:tc>
      </w:tr>
      <w:tr w:rsidR="00C82BCC" w14:paraId="42AE9FC6"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001036D8"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51" w:type="pct"/>
            <w:tcBorders>
              <w:top w:val="nil"/>
              <w:left w:val="nil"/>
              <w:bottom w:val="single" w:sz="4" w:space="0" w:color="auto"/>
              <w:right w:val="single" w:sz="4" w:space="0" w:color="auto"/>
            </w:tcBorders>
            <w:noWrap/>
            <w:vAlign w:val="bottom"/>
            <w:hideMark/>
          </w:tcPr>
          <w:p w14:paraId="0914ACE0"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416,62</w:t>
            </w:r>
          </w:p>
        </w:tc>
        <w:tc>
          <w:tcPr>
            <w:tcW w:w="480" w:type="pct"/>
            <w:tcBorders>
              <w:top w:val="nil"/>
              <w:left w:val="nil"/>
              <w:bottom w:val="single" w:sz="4" w:space="0" w:color="auto"/>
              <w:right w:val="single" w:sz="4" w:space="0" w:color="auto"/>
            </w:tcBorders>
            <w:noWrap/>
            <w:vAlign w:val="bottom"/>
            <w:hideMark/>
          </w:tcPr>
          <w:p w14:paraId="7938CDE3"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15" w:type="pct"/>
            <w:tcBorders>
              <w:top w:val="nil"/>
              <w:left w:val="nil"/>
              <w:bottom w:val="single" w:sz="4" w:space="0" w:color="auto"/>
              <w:right w:val="single" w:sz="4" w:space="0" w:color="auto"/>
            </w:tcBorders>
            <w:noWrap/>
            <w:vAlign w:val="bottom"/>
            <w:hideMark/>
          </w:tcPr>
          <w:p w14:paraId="133F740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69,44</w:t>
            </w:r>
          </w:p>
        </w:tc>
        <w:tc>
          <w:tcPr>
            <w:tcW w:w="538" w:type="pct"/>
            <w:tcBorders>
              <w:top w:val="nil"/>
              <w:left w:val="nil"/>
              <w:bottom w:val="single" w:sz="4" w:space="0" w:color="auto"/>
              <w:right w:val="single" w:sz="4" w:space="0" w:color="auto"/>
            </w:tcBorders>
            <w:noWrap/>
            <w:vAlign w:val="bottom"/>
            <w:hideMark/>
          </w:tcPr>
          <w:p w14:paraId="0452C381"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9,99</w:t>
            </w:r>
          </w:p>
        </w:tc>
        <w:tc>
          <w:tcPr>
            <w:tcW w:w="769" w:type="pct"/>
            <w:tcBorders>
              <w:top w:val="nil"/>
              <w:left w:val="nil"/>
              <w:bottom w:val="single" w:sz="4" w:space="0" w:color="auto"/>
              <w:right w:val="single" w:sz="4" w:space="0" w:color="auto"/>
            </w:tcBorders>
            <w:noWrap/>
            <w:vAlign w:val="bottom"/>
            <w:hideMark/>
          </w:tcPr>
          <w:p w14:paraId="7622DD9D"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51" w:type="pct"/>
            <w:tcBorders>
              <w:top w:val="nil"/>
              <w:left w:val="nil"/>
              <w:bottom w:val="single" w:sz="4" w:space="0" w:color="auto"/>
              <w:right w:val="single" w:sz="4" w:space="0" w:color="auto"/>
            </w:tcBorders>
            <w:noWrap/>
            <w:vAlign w:val="bottom"/>
            <w:hideMark/>
          </w:tcPr>
          <w:p w14:paraId="329CC141"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3,86</w:t>
            </w:r>
          </w:p>
        </w:tc>
      </w:tr>
      <w:tr w:rsidR="00C82BCC" w14:paraId="4A5B410C"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40343B82"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51" w:type="pct"/>
            <w:tcBorders>
              <w:top w:val="nil"/>
              <w:left w:val="nil"/>
              <w:bottom w:val="single" w:sz="4" w:space="0" w:color="auto"/>
              <w:right w:val="single" w:sz="4" w:space="0" w:color="auto"/>
            </w:tcBorders>
            <w:noWrap/>
            <w:vAlign w:val="bottom"/>
            <w:hideMark/>
          </w:tcPr>
          <w:p w14:paraId="2EDBB621"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201,71</w:t>
            </w:r>
          </w:p>
        </w:tc>
        <w:tc>
          <w:tcPr>
            <w:tcW w:w="480" w:type="pct"/>
            <w:tcBorders>
              <w:top w:val="nil"/>
              <w:left w:val="nil"/>
              <w:bottom w:val="single" w:sz="4" w:space="0" w:color="auto"/>
              <w:right w:val="single" w:sz="4" w:space="0" w:color="auto"/>
            </w:tcBorders>
            <w:noWrap/>
            <w:vAlign w:val="bottom"/>
            <w:hideMark/>
          </w:tcPr>
          <w:p w14:paraId="3DE6E9E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15" w:type="pct"/>
            <w:tcBorders>
              <w:top w:val="nil"/>
              <w:left w:val="nil"/>
              <w:bottom w:val="single" w:sz="4" w:space="0" w:color="auto"/>
              <w:right w:val="single" w:sz="4" w:space="0" w:color="auto"/>
            </w:tcBorders>
            <w:noWrap/>
            <w:vAlign w:val="bottom"/>
            <w:hideMark/>
          </w:tcPr>
          <w:p w14:paraId="5EA81B8E"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50,43</w:t>
            </w:r>
          </w:p>
        </w:tc>
        <w:tc>
          <w:tcPr>
            <w:tcW w:w="538" w:type="pct"/>
            <w:tcBorders>
              <w:top w:val="nil"/>
              <w:left w:val="nil"/>
              <w:bottom w:val="single" w:sz="4" w:space="0" w:color="auto"/>
              <w:right w:val="single" w:sz="4" w:space="0" w:color="auto"/>
            </w:tcBorders>
            <w:noWrap/>
            <w:vAlign w:val="bottom"/>
            <w:hideMark/>
          </w:tcPr>
          <w:p w14:paraId="7236123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7,26</w:t>
            </w:r>
          </w:p>
        </w:tc>
        <w:tc>
          <w:tcPr>
            <w:tcW w:w="769" w:type="pct"/>
            <w:tcBorders>
              <w:top w:val="nil"/>
              <w:left w:val="nil"/>
              <w:bottom w:val="single" w:sz="4" w:space="0" w:color="auto"/>
              <w:right w:val="single" w:sz="4" w:space="0" w:color="auto"/>
            </w:tcBorders>
            <w:noWrap/>
            <w:vAlign w:val="bottom"/>
            <w:hideMark/>
          </w:tcPr>
          <w:p w14:paraId="1F65BCF2"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0,0001</w:t>
            </w:r>
          </w:p>
        </w:tc>
        <w:tc>
          <w:tcPr>
            <w:tcW w:w="851" w:type="pct"/>
            <w:tcBorders>
              <w:top w:val="nil"/>
              <w:left w:val="nil"/>
              <w:bottom w:val="single" w:sz="4" w:space="0" w:color="auto"/>
              <w:right w:val="single" w:sz="4" w:space="0" w:color="auto"/>
            </w:tcBorders>
            <w:noWrap/>
            <w:vAlign w:val="bottom"/>
            <w:hideMark/>
          </w:tcPr>
          <w:p w14:paraId="1D0E5839"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1,87</w:t>
            </w:r>
          </w:p>
        </w:tc>
      </w:tr>
      <w:tr w:rsidR="00C82BCC" w14:paraId="7B1A6868"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29DB47FF"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51" w:type="pct"/>
            <w:tcBorders>
              <w:top w:val="nil"/>
              <w:left w:val="nil"/>
              <w:bottom w:val="single" w:sz="4" w:space="0" w:color="auto"/>
              <w:right w:val="single" w:sz="4" w:space="0" w:color="auto"/>
            </w:tcBorders>
            <w:noWrap/>
            <w:vAlign w:val="bottom"/>
            <w:hideMark/>
          </w:tcPr>
          <w:p w14:paraId="5C65C4E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208,66</w:t>
            </w:r>
          </w:p>
        </w:tc>
        <w:tc>
          <w:tcPr>
            <w:tcW w:w="480" w:type="pct"/>
            <w:tcBorders>
              <w:top w:val="nil"/>
              <w:left w:val="nil"/>
              <w:bottom w:val="single" w:sz="4" w:space="0" w:color="auto"/>
              <w:right w:val="single" w:sz="4" w:space="0" w:color="auto"/>
            </w:tcBorders>
            <w:noWrap/>
            <w:vAlign w:val="bottom"/>
            <w:hideMark/>
          </w:tcPr>
          <w:p w14:paraId="47406FE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615" w:type="pct"/>
            <w:tcBorders>
              <w:top w:val="nil"/>
              <w:left w:val="nil"/>
              <w:bottom w:val="single" w:sz="4" w:space="0" w:color="auto"/>
              <w:right w:val="single" w:sz="4" w:space="0" w:color="auto"/>
            </w:tcBorders>
            <w:noWrap/>
            <w:vAlign w:val="bottom"/>
            <w:hideMark/>
          </w:tcPr>
          <w:p w14:paraId="0E127094"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69,55</w:t>
            </w:r>
          </w:p>
        </w:tc>
        <w:tc>
          <w:tcPr>
            <w:tcW w:w="538" w:type="pct"/>
            <w:tcBorders>
              <w:top w:val="nil"/>
              <w:left w:val="nil"/>
              <w:bottom w:val="single" w:sz="4" w:space="0" w:color="auto"/>
              <w:right w:val="single" w:sz="4" w:space="0" w:color="auto"/>
            </w:tcBorders>
            <w:noWrap/>
            <w:vAlign w:val="bottom"/>
            <w:hideMark/>
          </w:tcPr>
          <w:p w14:paraId="747587F3"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10,01</w:t>
            </w:r>
          </w:p>
        </w:tc>
        <w:tc>
          <w:tcPr>
            <w:tcW w:w="769" w:type="pct"/>
            <w:tcBorders>
              <w:top w:val="nil"/>
              <w:left w:val="nil"/>
              <w:bottom w:val="single" w:sz="4" w:space="0" w:color="auto"/>
              <w:right w:val="single" w:sz="4" w:space="0" w:color="auto"/>
            </w:tcBorders>
            <w:noWrap/>
            <w:vAlign w:val="bottom"/>
            <w:hideMark/>
          </w:tcPr>
          <w:p w14:paraId="5BED593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51" w:type="pct"/>
            <w:tcBorders>
              <w:top w:val="nil"/>
              <w:left w:val="nil"/>
              <w:bottom w:val="single" w:sz="4" w:space="0" w:color="auto"/>
              <w:right w:val="single" w:sz="4" w:space="0" w:color="auto"/>
            </w:tcBorders>
            <w:noWrap/>
            <w:vAlign w:val="bottom"/>
            <w:hideMark/>
          </w:tcPr>
          <w:p w14:paraId="3B851243"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1,94</w:t>
            </w:r>
          </w:p>
        </w:tc>
      </w:tr>
      <w:tr w:rsidR="00C82BCC" w14:paraId="2DC28114"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3F24565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51" w:type="pct"/>
            <w:tcBorders>
              <w:top w:val="nil"/>
              <w:left w:val="nil"/>
              <w:bottom w:val="single" w:sz="4" w:space="0" w:color="auto"/>
              <w:right w:val="single" w:sz="4" w:space="0" w:color="auto"/>
            </w:tcBorders>
            <w:noWrap/>
            <w:vAlign w:val="bottom"/>
            <w:hideMark/>
          </w:tcPr>
          <w:p w14:paraId="70112B7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3,04</w:t>
            </w:r>
          </w:p>
        </w:tc>
        <w:tc>
          <w:tcPr>
            <w:tcW w:w="480" w:type="pct"/>
            <w:tcBorders>
              <w:top w:val="nil"/>
              <w:left w:val="nil"/>
              <w:bottom w:val="single" w:sz="4" w:space="0" w:color="auto"/>
              <w:right w:val="single" w:sz="4" w:space="0" w:color="auto"/>
            </w:tcBorders>
            <w:noWrap/>
            <w:vAlign w:val="bottom"/>
            <w:hideMark/>
          </w:tcPr>
          <w:p w14:paraId="5DBE12C1"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15" w:type="pct"/>
            <w:tcBorders>
              <w:top w:val="nil"/>
              <w:left w:val="nil"/>
              <w:bottom w:val="single" w:sz="4" w:space="0" w:color="auto"/>
              <w:right w:val="single" w:sz="4" w:space="0" w:color="auto"/>
            </w:tcBorders>
            <w:noWrap/>
            <w:vAlign w:val="bottom"/>
            <w:hideMark/>
          </w:tcPr>
          <w:p w14:paraId="5FE266B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1,52</w:t>
            </w:r>
          </w:p>
        </w:tc>
        <w:tc>
          <w:tcPr>
            <w:tcW w:w="538" w:type="pct"/>
            <w:tcBorders>
              <w:top w:val="nil"/>
              <w:left w:val="nil"/>
              <w:bottom w:val="single" w:sz="4" w:space="0" w:color="auto"/>
              <w:right w:val="single" w:sz="4" w:space="0" w:color="auto"/>
            </w:tcBorders>
            <w:noWrap/>
            <w:vAlign w:val="bottom"/>
            <w:hideMark/>
          </w:tcPr>
          <w:p w14:paraId="0B8BEE00"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0,22</w:t>
            </w:r>
          </w:p>
        </w:tc>
        <w:tc>
          <w:tcPr>
            <w:tcW w:w="769" w:type="pct"/>
            <w:tcBorders>
              <w:top w:val="nil"/>
              <w:left w:val="nil"/>
              <w:bottom w:val="single" w:sz="4" w:space="0" w:color="auto"/>
              <w:right w:val="single" w:sz="4" w:space="0" w:color="auto"/>
            </w:tcBorders>
            <w:noWrap/>
            <w:vAlign w:val="bottom"/>
            <w:hideMark/>
          </w:tcPr>
          <w:p w14:paraId="1236363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0,8044</w:t>
            </w:r>
          </w:p>
        </w:tc>
        <w:tc>
          <w:tcPr>
            <w:tcW w:w="851" w:type="pct"/>
            <w:tcBorders>
              <w:top w:val="nil"/>
              <w:left w:val="nil"/>
              <w:bottom w:val="single" w:sz="4" w:space="0" w:color="auto"/>
              <w:right w:val="single" w:sz="4" w:space="0" w:color="auto"/>
            </w:tcBorders>
            <w:noWrap/>
            <w:vAlign w:val="bottom"/>
            <w:hideMark/>
          </w:tcPr>
          <w:p w14:paraId="44CAA902"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0,03</w:t>
            </w:r>
          </w:p>
        </w:tc>
      </w:tr>
      <w:tr w:rsidR="00C82BCC" w14:paraId="794F0AD9"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19DE9D75"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651" w:type="pct"/>
            <w:tcBorders>
              <w:top w:val="nil"/>
              <w:left w:val="nil"/>
              <w:bottom w:val="single" w:sz="4" w:space="0" w:color="auto"/>
              <w:right w:val="single" w:sz="4" w:space="0" w:color="auto"/>
            </w:tcBorders>
            <w:noWrap/>
            <w:vAlign w:val="bottom"/>
            <w:hideMark/>
          </w:tcPr>
          <w:p w14:paraId="0C4B4608"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19,27</w:t>
            </w:r>
          </w:p>
        </w:tc>
        <w:tc>
          <w:tcPr>
            <w:tcW w:w="480" w:type="pct"/>
            <w:tcBorders>
              <w:top w:val="nil"/>
              <w:left w:val="nil"/>
              <w:bottom w:val="single" w:sz="4" w:space="0" w:color="auto"/>
              <w:right w:val="single" w:sz="4" w:space="0" w:color="auto"/>
            </w:tcBorders>
            <w:noWrap/>
            <w:vAlign w:val="bottom"/>
            <w:hideMark/>
          </w:tcPr>
          <w:p w14:paraId="3ECA610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15" w:type="pct"/>
            <w:tcBorders>
              <w:top w:val="nil"/>
              <w:left w:val="nil"/>
              <w:bottom w:val="single" w:sz="4" w:space="0" w:color="auto"/>
              <w:right w:val="single" w:sz="4" w:space="0" w:color="auto"/>
            </w:tcBorders>
            <w:noWrap/>
            <w:vAlign w:val="bottom"/>
            <w:hideMark/>
          </w:tcPr>
          <w:p w14:paraId="74F9CF6A"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9,64</w:t>
            </w:r>
          </w:p>
        </w:tc>
        <w:tc>
          <w:tcPr>
            <w:tcW w:w="538" w:type="pct"/>
            <w:tcBorders>
              <w:top w:val="nil"/>
              <w:left w:val="nil"/>
              <w:bottom w:val="single" w:sz="4" w:space="0" w:color="auto"/>
              <w:right w:val="single" w:sz="4" w:space="0" w:color="auto"/>
            </w:tcBorders>
            <w:noWrap/>
            <w:vAlign w:val="bottom"/>
            <w:hideMark/>
          </w:tcPr>
          <w:p w14:paraId="2E970F58"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1,39</w:t>
            </w:r>
          </w:p>
        </w:tc>
        <w:tc>
          <w:tcPr>
            <w:tcW w:w="769" w:type="pct"/>
            <w:tcBorders>
              <w:top w:val="nil"/>
              <w:left w:val="nil"/>
              <w:bottom w:val="single" w:sz="4" w:space="0" w:color="auto"/>
              <w:right w:val="single" w:sz="4" w:space="0" w:color="auto"/>
            </w:tcBorders>
            <w:noWrap/>
            <w:vAlign w:val="bottom"/>
            <w:hideMark/>
          </w:tcPr>
          <w:p w14:paraId="743463EE"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0,2599</w:t>
            </w:r>
          </w:p>
        </w:tc>
        <w:tc>
          <w:tcPr>
            <w:tcW w:w="851" w:type="pct"/>
            <w:tcBorders>
              <w:top w:val="nil"/>
              <w:left w:val="nil"/>
              <w:bottom w:val="single" w:sz="4" w:space="0" w:color="auto"/>
              <w:right w:val="single" w:sz="4" w:space="0" w:color="auto"/>
            </w:tcBorders>
            <w:noWrap/>
            <w:vAlign w:val="bottom"/>
            <w:hideMark/>
          </w:tcPr>
          <w:p w14:paraId="18EA8DCF"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0,18</w:t>
            </w:r>
          </w:p>
        </w:tc>
      </w:tr>
      <w:tr w:rsidR="00C82BCC" w14:paraId="7B47D309"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68602010"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51" w:type="pct"/>
            <w:tcBorders>
              <w:top w:val="nil"/>
              <w:left w:val="nil"/>
              <w:bottom w:val="single" w:sz="4" w:space="0" w:color="auto"/>
              <w:right w:val="single" w:sz="4" w:space="0" w:color="auto"/>
            </w:tcBorders>
            <w:noWrap/>
            <w:vAlign w:val="bottom"/>
            <w:hideMark/>
          </w:tcPr>
          <w:p w14:paraId="4ABB021E"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326,61</w:t>
            </w:r>
          </w:p>
        </w:tc>
        <w:tc>
          <w:tcPr>
            <w:tcW w:w="480" w:type="pct"/>
            <w:tcBorders>
              <w:top w:val="nil"/>
              <w:left w:val="nil"/>
              <w:bottom w:val="single" w:sz="4" w:space="0" w:color="auto"/>
              <w:right w:val="single" w:sz="4" w:space="0" w:color="auto"/>
            </w:tcBorders>
            <w:noWrap/>
            <w:vAlign w:val="bottom"/>
            <w:hideMark/>
          </w:tcPr>
          <w:p w14:paraId="034D1FD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615" w:type="pct"/>
            <w:tcBorders>
              <w:top w:val="nil"/>
              <w:left w:val="nil"/>
              <w:bottom w:val="single" w:sz="4" w:space="0" w:color="auto"/>
              <w:right w:val="single" w:sz="4" w:space="0" w:color="auto"/>
            </w:tcBorders>
            <w:noWrap/>
            <w:vAlign w:val="bottom"/>
            <w:hideMark/>
          </w:tcPr>
          <w:p w14:paraId="40CBB7B3"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6,95</w:t>
            </w:r>
          </w:p>
        </w:tc>
        <w:tc>
          <w:tcPr>
            <w:tcW w:w="538" w:type="pct"/>
            <w:tcBorders>
              <w:top w:val="nil"/>
              <w:left w:val="nil"/>
              <w:bottom w:val="single" w:sz="4" w:space="0" w:color="auto"/>
              <w:right w:val="single" w:sz="4" w:space="0" w:color="auto"/>
            </w:tcBorders>
            <w:noWrap/>
            <w:vAlign w:val="bottom"/>
            <w:hideMark/>
          </w:tcPr>
          <w:p w14:paraId="62532F23"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69" w:type="pct"/>
            <w:tcBorders>
              <w:top w:val="nil"/>
              <w:left w:val="nil"/>
              <w:bottom w:val="single" w:sz="4" w:space="0" w:color="auto"/>
              <w:right w:val="single" w:sz="4" w:space="0" w:color="auto"/>
            </w:tcBorders>
            <w:noWrap/>
            <w:vAlign w:val="bottom"/>
            <w:hideMark/>
          </w:tcPr>
          <w:p w14:paraId="2C442BC8"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51" w:type="pct"/>
            <w:tcBorders>
              <w:top w:val="nil"/>
              <w:left w:val="nil"/>
              <w:bottom w:val="single" w:sz="4" w:space="0" w:color="auto"/>
              <w:right w:val="single" w:sz="4" w:space="0" w:color="auto"/>
            </w:tcBorders>
            <w:noWrap/>
            <w:vAlign w:val="bottom"/>
            <w:hideMark/>
          </w:tcPr>
          <w:p w14:paraId="4E5057DF"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3,03</w:t>
            </w:r>
          </w:p>
        </w:tc>
      </w:tr>
      <w:tr w:rsidR="00C82BCC" w14:paraId="08F29D33" w14:textId="77777777" w:rsidTr="004175F6">
        <w:trPr>
          <w:trHeight w:val="300"/>
        </w:trPr>
        <w:tc>
          <w:tcPr>
            <w:tcW w:w="1096" w:type="pct"/>
            <w:tcBorders>
              <w:top w:val="nil"/>
              <w:left w:val="single" w:sz="4" w:space="0" w:color="auto"/>
              <w:bottom w:val="single" w:sz="4" w:space="0" w:color="auto"/>
              <w:right w:val="single" w:sz="4" w:space="0" w:color="auto"/>
            </w:tcBorders>
            <w:noWrap/>
            <w:vAlign w:val="bottom"/>
            <w:hideMark/>
          </w:tcPr>
          <w:p w14:paraId="0D77F5F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51" w:type="pct"/>
            <w:tcBorders>
              <w:top w:val="nil"/>
              <w:left w:val="nil"/>
              <w:bottom w:val="single" w:sz="4" w:space="0" w:color="auto"/>
              <w:right w:val="single" w:sz="4" w:space="0" w:color="auto"/>
            </w:tcBorders>
            <w:noWrap/>
            <w:vAlign w:val="bottom"/>
            <w:hideMark/>
          </w:tcPr>
          <w:p w14:paraId="4E2485CF"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10780,38</w:t>
            </w:r>
          </w:p>
        </w:tc>
        <w:tc>
          <w:tcPr>
            <w:tcW w:w="480" w:type="pct"/>
            <w:tcBorders>
              <w:top w:val="nil"/>
              <w:left w:val="nil"/>
              <w:bottom w:val="single" w:sz="4" w:space="0" w:color="auto"/>
              <w:right w:val="single" w:sz="4" w:space="0" w:color="auto"/>
            </w:tcBorders>
            <w:noWrap/>
            <w:vAlign w:val="bottom"/>
            <w:hideMark/>
          </w:tcPr>
          <w:p w14:paraId="6A2E380E"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w:t>
            </w:r>
          </w:p>
        </w:tc>
        <w:tc>
          <w:tcPr>
            <w:tcW w:w="615" w:type="pct"/>
            <w:tcBorders>
              <w:top w:val="nil"/>
              <w:left w:val="nil"/>
              <w:bottom w:val="single" w:sz="4" w:space="0" w:color="auto"/>
              <w:right w:val="single" w:sz="4" w:space="0" w:color="auto"/>
            </w:tcBorders>
            <w:noWrap/>
            <w:vAlign w:val="bottom"/>
            <w:hideMark/>
          </w:tcPr>
          <w:p w14:paraId="0A295378"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38" w:type="pct"/>
            <w:tcBorders>
              <w:top w:val="nil"/>
              <w:left w:val="nil"/>
              <w:bottom w:val="single" w:sz="4" w:space="0" w:color="auto"/>
              <w:right w:val="single" w:sz="4" w:space="0" w:color="auto"/>
            </w:tcBorders>
            <w:noWrap/>
            <w:vAlign w:val="bottom"/>
            <w:hideMark/>
          </w:tcPr>
          <w:p w14:paraId="6E73E90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69" w:type="pct"/>
            <w:tcBorders>
              <w:top w:val="nil"/>
              <w:left w:val="nil"/>
              <w:bottom w:val="single" w:sz="4" w:space="0" w:color="auto"/>
              <w:right w:val="single" w:sz="4" w:space="0" w:color="auto"/>
            </w:tcBorders>
            <w:noWrap/>
            <w:vAlign w:val="bottom"/>
            <w:hideMark/>
          </w:tcPr>
          <w:p w14:paraId="6FBF817D"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51" w:type="pct"/>
            <w:tcBorders>
              <w:top w:val="nil"/>
              <w:left w:val="nil"/>
              <w:bottom w:val="single" w:sz="4" w:space="0" w:color="auto"/>
              <w:right w:val="single" w:sz="4" w:space="0" w:color="auto"/>
            </w:tcBorders>
            <w:noWrap/>
            <w:vAlign w:val="bottom"/>
            <w:hideMark/>
          </w:tcPr>
          <w:p w14:paraId="20D7916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40AD3518" w14:textId="07AF1539" w:rsidR="00C82BCC" w:rsidRDefault="00C82BCC" w:rsidP="00F846F0">
      <w:pPr>
        <w:autoSpaceDE w:val="0"/>
        <w:autoSpaceDN w:val="0"/>
        <w:adjustRightInd w:val="0"/>
        <w:spacing w:before="360" w:after="0" w:line="360" w:lineRule="auto"/>
        <w:rPr>
          <w:rFonts w:cs="Times New Roman"/>
          <w:bCs/>
          <w:szCs w:val="24"/>
        </w:rPr>
      </w:pPr>
      <w:r>
        <w:rPr>
          <w:rFonts w:cs="Times New Roman"/>
          <w:bCs/>
          <w:szCs w:val="24"/>
        </w:rPr>
        <w:t xml:space="preserve">El modelo estadístico establecido explica el 96,97 % de la variación observada en los datos; el nitrógeno que explica el 3,86% % de la variación observada. El 3,03 % de la variación se les atribuyó a efectos aleatorios que el modelo no pudo explicar (error). La parroquia, el fósforo y potasio explicaron </w:t>
      </w:r>
      <w:bookmarkStart w:id="1945" w:name="_Hlk69903085"/>
      <w:r>
        <w:rPr>
          <w:rFonts w:cs="Times New Roman"/>
          <w:bCs/>
          <w:szCs w:val="24"/>
        </w:rPr>
        <w:t>89,09 %, 1,87 %, 1,94 %, de a</w:t>
      </w:r>
      <w:r w:rsidR="0089298E">
        <w:rPr>
          <w:rFonts w:cs="Times New Roman"/>
          <w:bCs/>
          <w:szCs w:val="24"/>
        </w:rPr>
        <w:t>b</w:t>
      </w:r>
      <w:r>
        <w:rPr>
          <w:rFonts w:cs="Times New Roman"/>
          <w:bCs/>
          <w:szCs w:val="24"/>
        </w:rPr>
        <w:t>sorción total de magnesio, respectivamente</w:t>
      </w:r>
      <w:bookmarkEnd w:id="1945"/>
      <w:r>
        <w:rPr>
          <w:rFonts w:cs="Times New Roman"/>
          <w:bCs/>
          <w:szCs w:val="24"/>
        </w:rPr>
        <w:t xml:space="preserve">. El azufre y el magnesio explicaron menos del 5% de la </w:t>
      </w:r>
      <w:r>
        <w:rPr>
          <w:rFonts w:cs="Times New Roman"/>
          <w:szCs w:val="24"/>
        </w:rPr>
        <w:t>absorción total de fósforo</w:t>
      </w:r>
      <w:r>
        <w:rPr>
          <w:rFonts w:cs="Times New Roman"/>
          <w:bCs/>
          <w:szCs w:val="24"/>
        </w:rPr>
        <w:t xml:space="preserve"> (</w:t>
      </w:r>
      <w:r w:rsidR="00F4599F">
        <w:rPr>
          <w:rFonts w:cs="Times New Roman"/>
          <w:bCs/>
          <w:szCs w:val="24"/>
        </w:rPr>
        <w:t>Cuadro</w:t>
      </w:r>
      <w:r>
        <w:rPr>
          <w:rFonts w:cs="Times New Roman"/>
          <w:bCs/>
          <w:szCs w:val="24"/>
        </w:rPr>
        <w:t xml:space="preserve"> 13</w:t>
      </w:r>
      <w:r w:rsidR="0039325D">
        <w:rPr>
          <w:rFonts w:cs="Times New Roman"/>
          <w:bCs/>
          <w:szCs w:val="24"/>
        </w:rPr>
        <w:t>5</w:t>
      </w:r>
      <w:r>
        <w:rPr>
          <w:rFonts w:cs="Times New Roman"/>
          <w:bCs/>
          <w:szCs w:val="24"/>
        </w:rPr>
        <w:t xml:space="preserve">).  </w:t>
      </w:r>
    </w:p>
    <w:p w14:paraId="3834B77F" w14:textId="0F23B099" w:rsidR="00C82BCC" w:rsidRDefault="00C82BCC" w:rsidP="00F846F0">
      <w:pPr>
        <w:autoSpaceDE w:val="0"/>
        <w:autoSpaceDN w:val="0"/>
        <w:adjustRightInd w:val="0"/>
        <w:spacing w:before="360" w:after="360" w:line="360" w:lineRule="auto"/>
        <w:rPr>
          <w:rFonts w:cs="Times New Roman"/>
          <w:bCs/>
          <w:szCs w:val="24"/>
        </w:rPr>
      </w:pPr>
      <w:r>
        <w:rPr>
          <w:rFonts w:cs="Times New Roman"/>
          <w:bCs/>
          <w:szCs w:val="24"/>
        </w:rPr>
        <w:t xml:space="preserve">En </w:t>
      </w:r>
      <w:r w:rsidR="00F4599F">
        <w:rPr>
          <w:rFonts w:cs="Times New Roman"/>
          <w:bCs/>
          <w:szCs w:val="24"/>
        </w:rPr>
        <w:t>los cuadros</w:t>
      </w:r>
      <w:r>
        <w:rPr>
          <w:rFonts w:cs="Times New Roman"/>
          <w:bCs/>
          <w:szCs w:val="24"/>
        </w:rPr>
        <w:t xml:space="preserve"> </w:t>
      </w:r>
      <w:r w:rsidR="0039325D">
        <w:rPr>
          <w:rFonts w:cs="Times New Roman"/>
          <w:bCs/>
          <w:szCs w:val="24"/>
        </w:rPr>
        <w:t xml:space="preserve">135, </w:t>
      </w:r>
      <w:r>
        <w:rPr>
          <w:rFonts w:cs="Times New Roman"/>
          <w:bCs/>
          <w:szCs w:val="24"/>
        </w:rPr>
        <w:t>136, 137, 138, 139</w:t>
      </w:r>
      <w:r w:rsidR="0039325D">
        <w:rPr>
          <w:rFonts w:cs="Times New Roman"/>
          <w:bCs/>
          <w:szCs w:val="24"/>
        </w:rPr>
        <w:t xml:space="preserve"> y </w:t>
      </w:r>
      <w:r>
        <w:rPr>
          <w:rFonts w:cs="Times New Roman"/>
          <w:bCs/>
          <w:szCs w:val="24"/>
        </w:rPr>
        <w:t>140 se presentan los promedios y el error estándar de a</w:t>
      </w:r>
      <w:r w:rsidR="0089298E">
        <w:rPr>
          <w:rFonts w:cs="Times New Roman"/>
          <w:bCs/>
          <w:szCs w:val="24"/>
        </w:rPr>
        <w:t>b</w:t>
      </w:r>
      <w:r>
        <w:rPr>
          <w:rFonts w:cs="Times New Roman"/>
          <w:bCs/>
          <w:szCs w:val="24"/>
        </w:rPr>
        <w:t>sorción de magnesio por efecto de las localidades (parroquia) y los niveles de nitrógeno, fósforo, potasio, azufre, magnesio con su respectiva prueba de Lsd Fisher (alfa=0,05).</w:t>
      </w:r>
    </w:p>
    <w:p w14:paraId="6B8BF6C5" w14:textId="792B3FB7" w:rsidR="00253EF4" w:rsidRPr="00F846F0" w:rsidRDefault="00F846F0" w:rsidP="00253EF4">
      <w:pPr>
        <w:pStyle w:val="Descripcin"/>
        <w:keepNext/>
        <w:rPr>
          <w:rFonts w:cs="Times New Roman"/>
          <w:b/>
          <w:bCs/>
          <w:i w:val="0"/>
          <w:iCs w:val="0"/>
          <w:color w:val="auto"/>
          <w:sz w:val="24"/>
          <w:szCs w:val="24"/>
          <w:lang w:eastAsia="en-US"/>
        </w:rPr>
      </w:pPr>
      <w:bookmarkStart w:id="1946" w:name="_Toc79314128"/>
      <w:r>
        <w:rPr>
          <w:rFonts w:cs="Times New Roman"/>
          <w:b/>
          <w:bCs/>
          <w:i w:val="0"/>
          <w:iCs w:val="0"/>
          <w:color w:val="auto"/>
          <w:sz w:val="24"/>
          <w:szCs w:val="24"/>
          <w:lang w:eastAsia="en-US"/>
        </w:rPr>
        <w:br w:type="page"/>
      </w:r>
      <w:r w:rsidR="00253EF4" w:rsidRPr="00253EF4">
        <w:rPr>
          <w:rFonts w:cs="Times New Roman"/>
          <w:b/>
          <w:bCs/>
          <w:i w:val="0"/>
          <w:iCs w:val="0"/>
          <w:color w:val="auto"/>
          <w:sz w:val="24"/>
          <w:szCs w:val="24"/>
          <w:lang w:eastAsia="en-US"/>
        </w:rPr>
        <w:lastRenderedPageBreak/>
        <w:t xml:space="preserve">Cuadro </w:t>
      </w:r>
      <w:r w:rsidR="00253EF4" w:rsidRPr="00253EF4">
        <w:rPr>
          <w:rFonts w:cs="Times New Roman"/>
          <w:b/>
          <w:bCs/>
          <w:i w:val="0"/>
          <w:iCs w:val="0"/>
          <w:color w:val="auto"/>
          <w:sz w:val="24"/>
          <w:szCs w:val="24"/>
          <w:lang w:eastAsia="en-US"/>
        </w:rPr>
        <w:fldChar w:fldCharType="begin"/>
      </w:r>
      <w:r w:rsidR="00253EF4" w:rsidRPr="00253EF4">
        <w:rPr>
          <w:rFonts w:cs="Times New Roman"/>
          <w:b/>
          <w:bCs/>
          <w:i w:val="0"/>
          <w:iCs w:val="0"/>
          <w:color w:val="auto"/>
          <w:sz w:val="24"/>
          <w:szCs w:val="24"/>
          <w:lang w:eastAsia="en-US"/>
        </w:rPr>
        <w:instrText xml:space="preserve"> SEQ Cuadro \* ARABIC </w:instrText>
      </w:r>
      <w:r w:rsidR="00253EF4" w:rsidRPr="00253EF4">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136</w:t>
      </w:r>
      <w:r w:rsidR="00253EF4" w:rsidRPr="00253EF4">
        <w:rPr>
          <w:rFonts w:cs="Times New Roman"/>
          <w:b/>
          <w:bCs/>
          <w:i w:val="0"/>
          <w:iCs w:val="0"/>
          <w:color w:val="auto"/>
          <w:sz w:val="24"/>
          <w:szCs w:val="24"/>
          <w:lang w:eastAsia="en-US"/>
        </w:rPr>
        <w:fldChar w:fldCharType="end"/>
      </w:r>
      <w:r w:rsidR="00253EF4" w:rsidRPr="00253EF4">
        <w:rPr>
          <w:rFonts w:cs="Times New Roman"/>
          <w:b/>
          <w:bCs/>
          <w:i w:val="0"/>
          <w:iCs w:val="0"/>
          <w:color w:val="auto"/>
          <w:sz w:val="24"/>
          <w:szCs w:val="24"/>
          <w:lang w:eastAsia="en-US"/>
        </w:rPr>
        <w:t xml:space="preserve">. </w:t>
      </w:r>
      <w:r w:rsidR="00253EF4" w:rsidRPr="00253EF4">
        <w:rPr>
          <w:rFonts w:cs="Times New Roman"/>
          <w:bCs/>
          <w:i w:val="0"/>
          <w:iCs w:val="0"/>
          <w:color w:val="auto"/>
          <w:sz w:val="24"/>
          <w:szCs w:val="24"/>
          <w:lang w:eastAsia="en-US"/>
        </w:rPr>
        <w:t>Absorción total de magnesio de plantas de maíz suave, evaluado por localidades (parroquia) en la provincia de Imbabura 2010-2015.</w:t>
      </w:r>
      <w:bookmarkEnd w:id="1946"/>
    </w:p>
    <w:tbl>
      <w:tblPr>
        <w:tblW w:w="5000" w:type="pct"/>
        <w:jc w:val="center"/>
        <w:tblCellMar>
          <w:left w:w="70" w:type="dxa"/>
          <w:right w:w="70" w:type="dxa"/>
        </w:tblCellMar>
        <w:tblLook w:val="04A0" w:firstRow="1" w:lastRow="0" w:firstColumn="1" w:lastColumn="0" w:noHBand="0" w:noVBand="1"/>
      </w:tblPr>
      <w:tblGrid>
        <w:gridCol w:w="1907"/>
        <w:gridCol w:w="1129"/>
        <w:gridCol w:w="473"/>
        <w:gridCol w:w="2255"/>
        <w:gridCol w:w="314"/>
        <w:gridCol w:w="663"/>
        <w:gridCol w:w="663"/>
        <w:gridCol w:w="523"/>
      </w:tblGrid>
      <w:tr w:rsidR="00C82BCC" w14:paraId="56B8CA37" w14:textId="77777777" w:rsidTr="00253EF4">
        <w:trPr>
          <w:trHeight w:val="271"/>
          <w:jc w:val="center"/>
        </w:trPr>
        <w:tc>
          <w:tcPr>
            <w:tcW w:w="1205" w:type="pct"/>
            <w:tcBorders>
              <w:top w:val="single" w:sz="4" w:space="0" w:color="auto"/>
              <w:left w:val="single" w:sz="4" w:space="0" w:color="auto"/>
              <w:bottom w:val="single" w:sz="4" w:space="0" w:color="auto"/>
              <w:right w:val="single" w:sz="4" w:space="0" w:color="auto"/>
            </w:tcBorders>
            <w:noWrap/>
            <w:vAlign w:val="bottom"/>
            <w:hideMark/>
          </w:tcPr>
          <w:p w14:paraId="5970497E"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Parroquia </w:t>
            </w:r>
          </w:p>
        </w:tc>
        <w:tc>
          <w:tcPr>
            <w:tcW w:w="714" w:type="pct"/>
            <w:tcBorders>
              <w:top w:val="single" w:sz="4" w:space="0" w:color="auto"/>
              <w:left w:val="nil"/>
              <w:bottom w:val="single" w:sz="4" w:space="0" w:color="auto"/>
              <w:right w:val="single" w:sz="4" w:space="0" w:color="auto"/>
            </w:tcBorders>
            <w:noWrap/>
            <w:vAlign w:val="bottom"/>
            <w:hideMark/>
          </w:tcPr>
          <w:p w14:paraId="43C0561E"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300" w:type="pct"/>
            <w:tcBorders>
              <w:top w:val="single" w:sz="4" w:space="0" w:color="auto"/>
              <w:left w:val="nil"/>
              <w:bottom w:val="single" w:sz="4" w:space="0" w:color="auto"/>
              <w:right w:val="single" w:sz="4" w:space="0" w:color="auto"/>
            </w:tcBorders>
            <w:noWrap/>
            <w:vAlign w:val="bottom"/>
            <w:hideMark/>
          </w:tcPr>
          <w:p w14:paraId="44B49397"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424" w:type="pct"/>
            <w:tcBorders>
              <w:top w:val="single" w:sz="4" w:space="0" w:color="auto"/>
              <w:left w:val="nil"/>
              <w:bottom w:val="single" w:sz="4" w:space="0" w:color="auto"/>
              <w:right w:val="single" w:sz="4" w:space="0" w:color="auto"/>
            </w:tcBorders>
            <w:noWrap/>
            <w:vAlign w:val="bottom"/>
            <w:hideMark/>
          </w:tcPr>
          <w:p w14:paraId="5E8EE7C3"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85" w:type="pct"/>
            <w:tcBorders>
              <w:top w:val="single" w:sz="4" w:space="0" w:color="auto"/>
              <w:left w:val="single" w:sz="4" w:space="0" w:color="auto"/>
              <w:bottom w:val="single" w:sz="4" w:space="0" w:color="auto"/>
              <w:right w:val="nil"/>
            </w:tcBorders>
            <w:noWrap/>
            <w:vAlign w:val="bottom"/>
            <w:hideMark/>
          </w:tcPr>
          <w:p w14:paraId="2B5E10DD"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420" w:type="pct"/>
            <w:tcBorders>
              <w:top w:val="single" w:sz="4" w:space="0" w:color="auto"/>
              <w:left w:val="nil"/>
              <w:bottom w:val="single" w:sz="4" w:space="0" w:color="auto"/>
              <w:right w:val="nil"/>
            </w:tcBorders>
            <w:noWrap/>
            <w:vAlign w:val="bottom"/>
            <w:hideMark/>
          </w:tcPr>
          <w:p w14:paraId="52B9ACC6" w14:textId="77777777" w:rsidR="00C82BCC" w:rsidRDefault="00C82BCC" w:rsidP="00F846F0">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420" w:type="pct"/>
            <w:tcBorders>
              <w:top w:val="single" w:sz="4" w:space="0" w:color="auto"/>
              <w:left w:val="nil"/>
              <w:bottom w:val="single" w:sz="4" w:space="0" w:color="auto"/>
              <w:right w:val="nil"/>
            </w:tcBorders>
            <w:noWrap/>
            <w:vAlign w:val="bottom"/>
            <w:hideMark/>
          </w:tcPr>
          <w:p w14:paraId="38261480" w14:textId="77777777" w:rsidR="00C82BCC" w:rsidRDefault="00C82BCC" w:rsidP="00F846F0">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c>
          <w:tcPr>
            <w:tcW w:w="332" w:type="pct"/>
            <w:tcBorders>
              <w:top w:val="single" w:sz="4" w:space="0" w:color="auto"/>
              <w:left w:val="nil"/>
              <w:bottom w:val="single" w:sz="4" w:space="0" w:color="auto"/>
              <w:right w:val="single" w:sz="4" w:space="0" w:color="auto"/>
            </w:tcBorders>
            <w:noWrap/>
            <w:vAlign w:val="bottom"/>
            <w:hideMark/>
          </w:tcPr>
          <w:p w14:paraId="27ED53E9" w14:textId="77777777" w:rsidR="00C82BCC" w:rsidRDefault="00C82BCC" w:rsidP="00F846F0">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669EB707" w14:textId="77777777" w:rsidTr="00253EF4">
        <w:trPr>
          <w:trHeight w:val="271"/>
          <w:jc w:val="center"/>
        </w:trPr>
        <w:tc>
          <w:tcPr>
            <w:tcW w:w="1205" w:type="pct"/>
            <w:tcBorders>
              <w:top w:val="nil"/>
              <w:left w:val="single" w:sz="4" w:space="0" w:color="auto"/>
              <w:bottom w:val="single" w:sz="4" w:space="0" w:color="auto"/>
              <w:right w:val="single" w:sz="4" w:space="0" w:color="auto"/>
            </w:tcBorders>
            <w:noWrap/>
            <w:vAlign w:val="bottom"/>
            <w:hideMark/>
          </w:tcPr>
          <w:p w14:paraId="0A327F25"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Miguel Egas</w:t>
            </w:r>
          </w:p>
        </w:tc>
        <w:tc>
          <w:tcPr>
            <w:tcW w:w="714" w:type="pct"/>
            <w:tcBorders>
              <w:top w:val="nil"/>
              <w:left w:val="nil"/>
              <w:bottom w:val="single" w:sz="4" w:space="0" w:color="auto"/>
              <w:right w:val="single" w:sz="4" w:space="0" w:color="auto"/>
            </w:tcBorders>
            <w:noWrap/>
            <w:vAlign w:val="bottom"/>
            <w:hideMark/>
          </w:tcPr>
          <w:p w14:paraId="4E4455C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300" w:type="pct"/>
            <w:tcBorders>
              <w:top w:val="nil"/>
              <w:left w:val="nil"/>
              <w:bottom w:val="single" w:sz="4" w:space="0" w:color="auto"/>
              <w:right w:val="single" w:sz="4" w:space="0" w:color="auto"/>
            </w:tcBorders>
            <w:noWrap/>
            <w:vAlign w:val="bottom"/>
            <w:hideMark/>
          </w:tcPr>
          <w:p w14:paraId="2E9B9AFF"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1424" w:type="pct"/>
            <w:tcBorders>
              <w:top w:val="nil"/>
              <w:left w:val="nil"/>
              <w:bottom w:val="single" w:sz="4" w:space="0" w:color="auto"/>
              <w:right w:val="single" w:sz="4" w:space="0" w:color="auto"/>
            </w:tcBorders>
            <w:noWrap/>
            <w:vAlign w:val="bottom"/>
            <w:hideMark/>
          </w:tcPr>
          <w:p w14:paraId="2295EB1A"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0,63</w:t>
            </w:r>
          </w:p>
        </w:tc>
        <w:tc>
          <w:tcPr>
            <w:tcW w:w="185" w:type="pct"/>
            <w:tcBorders>
              <w:top w:val="single" w:sz="4" w:space="0" w:color="auto"/>
              <w:left w:val="nil"/>
              <w:bottom w:val="single" w:sz="4" w:space="0" w:color="auto"/>
              <w:right w:val="single" w:sz="4" w:space="0" w:color="auto"/>
            </w:tcBorders>
            <w:noWrap/>
            <w:vAlign w:val="bottom"/>
            <w:hideMark/>
          </w:tcPr>
          <w:p w14:paraId="6C68FC5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420" w:type="pct"/>
            <w:tcBorders>
              <w:top w:val="single" w:sz="4" w:space="0" w:color="auto"/>
              <w:left w:val="nil"/>
              <w:bottom w:val="single" w:sz="4" w:space="0" w:color="auto"/>
              <w:right w:val="single" w:sz="4" w:space="0" w:color="auto"/>
            </w:tcBorders>
            <w:noWrap/>
            <w:vAlign w:val="bottom"/>
            <w:hideMark/>
          </w:tcPr>
          <w:p w14:paraId="12A582C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0" w:type="pct"/>
            <w:tcBorders>
              <w:top w:val="single" w:sz="4" w:space="0" w:color="auto"/>
              <w:left w:val="nil"/>
              <w:bottom w:val="single" w:sz="4" w:space="0" w:color="auto"/>
              <w:right w:val="single" w:sz="4" w:space="0" w:color="auto"/>
            </w:tcBorders>
            <w:noWrap/>
            <w:vAlign w:val="bottom"/>
            <w:hideMark/>
          </w:tcPr>
          <w:p w14:paraId="7296D8C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32" w:type="pct"/>
            <w:tcBorders>
              <w:top w:val="single" w:sz="4" w:space="0" w:color="auto"/>
              <w:left w:val="nil"/>
              <w:bottom w:val="single" w:sz="4" w:space="0" w:color="auto"/>
              <w:right w:val="single" w:sz="4" w:space="0" w:color="auto"/>
            </w:tcBorders>
            <w:noWrap/>
            <w:vAlign w:val="bottom"/>
            <w:hideMark/>
          </w:tcPr>
          <w:p w14:paraId="2007CF0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CA631F2" w14:textId="77777777" w:rsidTr="00253EF4">
        <w:trPr>
          <w:trHeight w:val="271"/>
          <w:jc w:val="center"/>
        </w:trPr>
        <w:tc>
          <w:tcPr>
            <w:tcW w:w="1205" w:type="pct"/>
            <w:tcBorders>
              <w:top w:val="nil"/>
              <w:left w:val="single" w:sz="4" w:space="0" w:color="auto"/>
              <w:bottom w:val="single" w:sz="4" w:space="0" w:color="auto"/>
              <w:right w:val="single" w:sz="4" w:space="0" w:color="auto"/>
            </w:tcBorders>
            <w:noWrap/>
            <w:vAlign w:val="bottom"/>
            <w:hideMark/>
          </w:tcPr>
          <w:p w14:paraId="71E0862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Paztavi    </w:t>
            </w:r>
          </w:p>
        </w:tc>
        <w:tc>
          <w:tcPr>
            <w:tcW w:w="714" w:type="pct"/>
            <w:tcBorders>
              <w:top w:val="nil"/>
              <w:left w:val="nil"/>
              <w:bottom w:val="single" w:sz="4" w:space="0" w:color="auto"/>
              <w:right w:val="single" w:sz="4" w:space="0" w:color="auto"/>
            </w:tcBorders>
            <w:noWrap/>
            <w:vAlign w:val="bottom"/>
            <w:hideMark/>
          </w:tcPr>
          <w:p w14:paraId="4D881EC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16,33</w:t>
            </w:r>
          </w:p>
        </w:tc>
        <w:tc>
          <w:tcPr>
            <w:tcW w:w="300" w:type="pct"/>
            <w:tcBorders>
              <w:top w:val="nil"/>
              <w:left w:val="nil"/>
              <w:bottom w:val="single" w:sz="4" w:space="0" w:color="auto"/>
              <w:right w:val="single" w:sz="4" w:space="0" w:color="auto"/>
            </w:tcBorders>
            <w:noWrap/>
            <w:vAlign w:val="bottom"/>
            <w:hideMark/>
          </w:tcPr>
          <w:p w14:paraId="7A117535"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424" w:type="pct"/>
            <w:tcBorders>
              <w:top w:val="nil"/>
              <w:left w:val="nil"/>
              <w:bottom w:val="single" w:sz="4" w:space="0" w:color="auto"/>
              <w:right w:val="single" w:sz="4" w:space="0" w:color="auto"/>
            </w:tcBorders>
            <w:noWrap/>
            <w:vAlign w:val="bottom"/>
            <w:hideMark/>
          </w:tcPr>
          <w:p w14:paraId="0ACA65F2"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1,11</w:t>
            </w:r>
          </w:p>
        </w:tc>
        <w:tc>
          <w:tcPr>
            <w:tcW w:w="185" w:type="pct"/>
            <w:tcBorders>
              <w:top w:val="nil"/>
              <w:left w:val="nil"/>
              <w:bottom w:val="single" w:sz="4" w:space="0" w:color="auto"/>
              <w:right w:val="single" w:sz="4" w:space="0" w:color="auto"/>
            </w:tcBorders>
            <w:noWrap/>
            <w:vAlign w:val="bottom"/>
            <w:hideMark/>
          </w:tcPr>
          <w:p w14:paraId="11B5B9C7"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0" w:type="pct"/>
            <w:tcBorders>
              <w:top w:val="nil"/>
              <w:left w:val="nil"/>
              <w:bottom w:val="single" w:sz="4" w:space="0" w:color="auto"/>
              <w:right w:val="single" w:sz="4" w:space="0" w:color="auto"/>
            </w:tcBorders>
            <w:noWrap/>
            <w:vAlign w:val="bottom"/>
            <w:hideMark/>
          </w:tcPr>
          <w:p w14:paraId="03A4B800"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20" w:type="pct"/>
            <w:tcBorders>
              <w:top w:val="nil"/>
              <w:left w:val="nil"/>
              <w:bottom w:val="single" w:sz="4" w:space="0" w:color="auto"/>
              <w:right w:val="single" w:sz="4" w:space="0" w:color="auto"/>
            </w:tcBorders>
            <w:noWrap/>
            <w:vAlign w:val="bottom"/>
            <w:hideMark/>
          </w:tcPr>
          <w:p w14:paraId="61338E0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32" w:type="pct"/>
            <w:tcBorders>
              <w:top w:val="nil"/>
              <w:left w:val="nil"/>
              <w:bottom w:val="single" w:sz="4" w:space="0" w:color="auto"/>
              <w:right w:val="single" w:sz="4" w:space="0" w:color="auto"/>
            </w:tcBorders>
            <w:noWrap/>
            <w:vAlign w:val="bottom"/>
            <w:hideMark/>
          </w:tcPr>
          <w:p w14:paraId="11DC5499"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11820AA" w14:textId="77777777" w:rsidTr="00253EF4">
        <w:trPr>
          <w:trHeight w:val="271"/>
          <w:jc w:val="center"/>
        </w:trPr>
        <w:tc>
          <w:tcPr>
            <w:tcW w:w="1205" w:type="pct"/>
            <w:tcBorders>
              <w:top w:val="nil"/>
              <w:left w:val="single" w:sz="4" w:space="0" w:color="auto"/>
              <w:bottom w:val="single" w:sz="4" w:space="0" w:color="auto"/>
              <w:right w:val="single" w:sz="4" w:space="0" w:color="auto"/>
            </w:tcBorders>
            <w:noWrap/>
            <w:vAlign w:val="bottom"/>
            <w:hideMark/>
          </w:tcPr>
          <w:p w14:paraId="1ED6EBE1"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Imantag    </w:t>
            </w:r>
          </w:p>
        </w:tc>
        <w:tc>
          <w:tcPr>
            <w:tcW w:w="714" w:type="pct"/>
            <w:tcBorders>
              <w:top w:val="nil"/>
              <w:left w:val="nil"/>
              <w:bottom w:val="single" w:sz="4" w:space="0" w:color="auto"/>
              <w:right w:val="single" w:sz="4" w:space="0" w:color="auto"/>
            </w:tcBorders>
            <w:noWrap/>
            <w:vAlign w:val="bottom"/>
            <w:hideMark/>
          </w:tcPr>
          <w:p w14:paraId="3623DDD9"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17,75</w:t>
            </w:r>
          </w:p>
        </w:tc>
        <w:tc>
          <w:tcPr>
            <w:tcW w:w="300" w:type="pct"/>
            <w:tcBorders>
              <w:top w:val="nil"/>
              <w:left w:val="nil"/>
              <w:bottom w:val="single" w:sz="4" w:space="0" w:color="auto"/>
              <w:right w:val="single" w:sz="4" w:space="0" w:color="auto"/>
            </w:tcBorders>
            <w:noWrap/>
            <w:vAlign w:val="bottom"/>
            <w:hideMark/>
          </w:tcPr>
          <w:p w14:paraId="19028FC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w:t>
            </w:r>
          </w:p>
        </w:tc>
        <w:tc>
          <w:tcPr>
            <w:tcW w:w="1424" w:type="pct"/>
            <w:tcBorders>
              <w:top w:val="nil"/>
              <w:left w:val="nil"/>
              <w:bottom w:val="single" w:sz="4" w:space="0" w:color="auto"/>
              <w:right w:val="single" w:sz="4" w:space="0" w:color="auto"/>
            </w:tcBorders>
            <w:noWrap/>
            <w:vAlign w:val="bottom"/>
            <w:hideMark/>
          </w:tcPr>
          <w:p w14:paraId="12524C6A"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0,66</w:t>
            </w:r>
          </w:p>
        </w:tc>
        <w:tc>
          <w:tcPr>
            <w:tcW w:w="185" w:type="pct"/>
            <w:tcBorders>
              <w:top w:val="nil"/>
              <w:left w:val="nil"/>
              <w:bottom w:val="single" w:sz="4" w:space="0" w:color="auto"/>
              <w:right w:val="single" w:sz="4" w:space="0" w:color="auto"/>
            </w:tcBorders>
            <w:noWrap/>
            <w:vAlign w:val="bottom"/>
            <w:hideMark/>
          </w:tcPr>
          <w:p w14:paraId="7A4A3BC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0" w:type="pct"/>
            <w:tcBorders>
              <w:top w:val="nil"/>
              <w:left w:val="nil"/>
              <w:bottom w:val="single" w:sz="4" w:space="0" w:color="auto"/>
              <w:right w:val="single" w:sz="4" w:space="0" w:color="auto"/>
            </w:tcBorders>
            <w:noWrap/>
            <w:vAlign w:val="bottom"/>
            <w:hideMark/>
          </w:tcPr>
          <w:p w14:paraId="0CE4F148"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20" w:type="pct"/>
            <w:tcBorders>
              <w:top w:val="nil"/>
              <w:left w:val="nil"/>
              <w:bottom w:val="single" w:sz="4" w:space="0" w:color="auto"/>
              <w:right w:val="single" w:sz="4" w:space="0" w:color="auto"/>
            </w:tcBorders>
            <w:noWrap/>
            <w:vAlign w:val="bottom"/>
            <w:hideMark/>
          </w:tcPr>
          <w:p w14:paraId="4609077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32" w:type="pct"/>
            <w:tcBorders>
              <w:top w:val="nil"/>
              <w:left w:val="nil"/>
              <w:bottom w:val="single" w:sz="4" w:space="0" w:color="auto"/>
              <w:right w:val="single" w:sz="4" w:space="0" w:color="auto"/>
            </w:tcBorders>
            <w:noWrap/>
            <w:vAlign w:val="bottom"/>
            <w:hideMark/>
          </w:tcPr>
          <w:p w14:paraId="6370FFF4"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2CBB78BA" w14:textId="77777777" w:rsidTr="00253EF4">
        <w:trPr>
          <w:trHeight w:val="271"/>
          <w:jc w:val="center"/>
        </w:trPr>
        <w:tc>
          <w:tcPr>
            <w:tcW w:w="1205" w:type="pct"/>
            <w:tcBorders>
              <w:top w:val="nil"/>
              <w:left w:val="single" w:sz="4" w:space="0" w:color="auto"/>
              <w:bottom w:val="single" w:sz="4" w:space="0" w:color="auto"/>
              <w:right w:val="single" w:sz="4" w:space="0" w:color="auto"/>
            </w:tcBorders>
            <w:noWrap/>
            <w:vAlign w:val="bottom"/>
            <w:hideMark/>
          </w:tcPr>
          <w:p w14:paraId="15A9D840"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Ilumán     </w:t>
            </w:r>
          </w:p>
        </w:tc>
        <w:tc>
          <w:tcPr>
            <w:tcW w:w="714" w:type="pct"/>
            <w:tcBorders>
              <w:top w:val="nil"/>
              <w:left w:val="nil"/>
              <w:bottom w:val="single" w:sz="4" w:space="0" w:color="auto"/>
              <w:right w:val="single" w:sz="4" w:space="0" w:color="auto"/>
            </w:tcBorders>
            <w:noWrap/>
            <w:vAlign w:val="bottom"/>
            <w:hideMark/>
          </w:tcPr>
          <w:p w14:paraId="2FD9D57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38,4</w:t>
            </w:r>
          </w:p>
        </w:tc>
        <w:tc>
          <w:tcPr>
            <w:tcW w:w="300" w:type="pct"/>
            <w:tcBorders>
              <w:top w:val="nil"/>
              <w:left w:val="nil"/>
              <w:bottom w:val="single" w:sz="4" w:space="0" w:color="auto"/>
              <w:right w:val="single" w:sz="4" w:space="0" w:color="auto"/>
            </w:tcBorders>
            <w:noWrap/>
            <w:vAlign w:val="bottom"/>
            <w:hideMark/>
          </w:tcPr>
          <w:p w14:paraId="52DED669"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424" w:type="pct"/>
            <w:tcBorders>
              <w:top w:val="nil"/>
              <w:left w:val="nil"/>
              <w:bottom w:val="single" w:sz="4" w:space="0" w:color="auto"/>
              <w:right w:val="single" w:sz="4" w:space="0" w:color="auto"/>
            </w:tcBorders>
            <w:noWrap/>
            <w:vAlign w:val="bottom"/>
            <w:hideMark/>
          </w:tcPr>
          <w:p w14:paraId="49D467BA"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0,73</w:t>
            </w:r>
          </w:p>
        </w:tc>
        <w:tc>
          <w:tcPr>
            <w:tcW w:w="185" w:type="pct"/>
            <w:tcBorders>
              <w:top w:val="nil"/>
              <w:left w:val="nil"/>
              <w:bottom w:val="single" w:sz="4" w:space="0" w:color="auto"/>
              <w:right w:val="single" w:sz="4" w:space="0" w:color="auto"/>
            </w:tcBorders>
            <w:noWrap/>
            <w:vAlign w:val="bottom"/>
            <w:hideMark/>
          </w:tcPr>
          <w:p w14:paraId="749C2A2D"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0" w:type="pct"/>
            <w:tcBorders>
              <w:top w:val="nil"/>
              <w:left w:val="nil"/>
              <w:bottom w:val="single" w:sz="4" w:space="0" w:color="auto"/>
              <w:right w:val="single" w:sz="4" w:space="0" w:color="auto"/>
            </w:tcBorders>
            <w:noWrap/>
            <w:vAlign w:val="bottom"/>
            <w:hideMark/>
          </w:tcPr>
          <w:p w14:paraId="260AF7D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0" w:type="pct"/>
            <w:tcBorders>
              <w:top w:val="nil"/>
              <w:left w:val="nil"/>
              <w:bottom w:val="single" w:sz="4" w:space="0" w:color="auto"/>
              <w:right w:val="single" w:sz="4" w:space="0" w:color="auto"/>
            </w:tcBorders>
            <w:noWrap/>
            <w:vAlign w:val="bottom"/>
            <w:hideMark/>
          </w:tcPr>
          <w:p w14:paraId="0DD381FA"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332" w:type="pct"/>
            <w:tcBorders>
              <w:top w:val="nil"/>
              <w:left w:val="nil"/>
              <w:bottom w:val="single" w:sz="4" w:space="0" w:color="auto"/>
              <w:right w:val="single" w:sz="4" w:space="0" w:color="auto"/>
            </w:tcBorders>
            <w:noWrap/>
            <w:vAlign w:val="bottom"/>
            <w:hideMark/>
          </w:tcPr>
          <w:p w14:paraId="062DF923"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54C6E16" w14:textId="77777777" w:rsidTr="00253EF4">
        <w:trPr>
          <w:trHeight w:val="271"/>
          <w:jc w:val="center"/>
        </w:trPr>
        <w:tc>
          <w:tcPr>
            <w:tcW w:w="1205" w:type="pct"/>
            <w:tcBorders>
              <w:top w:val="nil"/>
              <w:left w:val="single" w:sz="4" w:space="0" w:color="auto"/>
              <w:bottom w:val="single" w:sz="4" w:space="0" w:color="auto"/>
              <w:right w:val="single" w:sz="4" w:space="0" w:color="auto"/>
            </w:tcBorders>
            <w:noWrap/>
            <w:vAlign w:val="bottom"/>
            <w:hideMark/>
          </w:tcPr>
          <w:p w14:paraId="2F13363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El Sagrario</w:t>
            </w:r>
          </w:p>
        </w:tc>
        <w:tc>
          <w:tcPr>
            <w:tcW w:w="714" w:type="pct"/>
            <w:tcBorders>
              <w:top w:val="nil"/>
              <w:left w:val="nil"/>
              <w:bottom w:val="single" w:sz="4" w:space="0" w:color="auto"/>
              <w:right w:val="single" w:sz="4" w:space="0" w:color="auto"/>
            </w:tcBorders>
            <w:noWrap/>
            <w:vAlign w:val="bottom"/>
            <w:hideMark/>
          </w:tcPr>
          <w:p w14:paraId="0F1389C4"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41,83</w:t>
            </w:r>
          </w:p>
        </w:tc>
        <w:tc>
          <w:tcPr>
            <w:tcW w:w="300" w:type="pct"/>
            <w:tcBorders>
              <w:top w:val="nil"/>
              <w:left w:val="nil"/>
              <w:bottom w:val="single" w:sz="4" w:space="0" w:color="auto"/>
              <w:right w:val="single" w:sz="4" w:space="0" w:color="auto"/>
            </w:tcBorders>
            <w:noWrap/>
            <w:vAlign w:val="bottom"/>
            <w:hideMark/>
          </w:tcPr>
          <w:p w14:paraId="7B98D700"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1424" w:type="pct"/>
            <w:tcBorders>
              <w:top w:val="nil"/>
              <w:left w:val="nil"/>
              <w:bottom w:val="single" w:sz="4" w:space="0" w:color="auto"/>
              <w:right w:val="single" w:sz="4" w:space="0" w:color="auto"/>
            </w:tcBorders>
            <w:noWrap/>
            <w:vAlign w:val="bottom"/>
            <w:hideMark/>
          </w:tcPr>
          <w:p w14:paraId="317D210C"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0,86</w:t>
            </w:r>
          </w:p>
        </w:tc>
        <w:tc>
          <w:tcPr>
            <w:tcW w:w="185" w:type="pct"/>
            <w:tcBorders>
              <w:top w:val="nil"/>
              <w:left w:val="nil"/>
              <w:bottom w:val="single" w:sz="4" w:space="0" w:color="auto"/>
              <w:right w:val="single" w:sz="4" w:space="0" w:color="auto"/>
            </w:tcBorders>
            <w:noWrap/>
            <w:vAlign w:val="bottom"/>
            <w:hideMark/>
          </w:tcPr>
          <w:p w14:paraId="2869A18D"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0" w:type="pct"/>
            <w:tcBorders>
              <w:top w:val="nil"/>
              <w:left w:val="nil"/>
              <w:bottom w:val="single" w:sz="4" w:space="0" w:color="auto"/>
              <w:right w:val="single" w:sz="4" w:space="0" w:color="auto"/>
            </w:tcBorders>
            <w:noWrap/>
            <w:vAlign w:val="bottom"/>
            <w:hideMark/>
          </w:tcPr>
          <w:p w14:paraId="7767700B"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20" w:type="pct"/>
            <w:tcBorders>
              <w:top w:val="nil"/>
              <w:left w:val="nil"/>
              <w:bottom w:val="single" w:sz="4" w:space="0" w:color="auto"/>
              <w:right w:val="single" w:sz="4" w:space="0" w:color="auto"/>
            </w:tcBorders>
            <w:noWrap/>
            <w:vAlign w:val="bottom"/>
            <w:hideMark/>
          </w:tcPr>
          <w:p w14:paraId="56423D52"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32" w:type="pct"/>
            <w:tcBorders>
              <w:top w:val="nil"/>
              <w:left w:val="nil"/>
              <w:bottom w:val="single" w:sz="4" w:space="0" w:color="auto"/>
              <w:right w:val="single" w:sz="4" w:space="0" w:color="auto"/>
            </w:tcBorders>
            <w:noWrap/>
            <w:vAlign w:val="bottom"/>
            <w:hideMark/>
          </w:tcPr>
          <w:p w14:paraId="46375F36" w14:textId="77777777" w:rsidR="00C82BCC" w:rsidRDefault="00C82BCC" w:rsidP="00F846F0">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bl>
    <w:p w14:paraId="0C494671" w14:textId="77777777" w:rsidR="00F846F0" w:rsidRDefault="00C82BCC" w:rsidP="00F846F0">
      <w:pPr>
        <w:autoSpaceDE w:val="0"/>
        <w:autoSpaceDN w:val="0"/>
        <w:adjustRightInd w:val="0"/>
        <w:spacing w:after="0" w:line="360" w:lineRule="auto"/>
        <w:rPr>
          <w:rFonts w:cs="Times New Roman"/>
          <w:szCs w:val="24"/>
        </w:rPr>
      </w:pPr>
      <w:r>
        <w:rPr>
          <w:rFonts w:cs="Times New Roman"/>
          <w:szCs w:val="24"/>
        </w:rPr>
        <w:t>Medias con una letra común no son significa</w:t>
      </w:r>
      <w:r w:rsidR="00253EF4">
        <w:rPr>
          <w:rFonts w:cs="Times New Roman"/>
          <w:szCs w:val="24"/>
        </w:rPr>
        <w:t>tivamente diferentes (p &gt; 0,05)</w:t>
      </w:r>
      <w:bookmarkStart w:id="1947" w:name="_Toc79314129"/>
    </w:p>
    <w:p w14:paraId="5E9CAA0F" w14:textId="70AA7351" w:rsidR="00253EF4" w:rsidRPr="00F846F0" w:rsidRDefault="00253EF4" w:rsidP="00F846F0">
      <w:pPr>
        <w:autoSpaceDE w:val="0"/>
        <w:autoSpaceDN w:val="0"/>
        <w:adjustRightInd w:val="0"/>
        <w:spacing w:before="360" w:after="0" w:line="360" w:lineRule="auto"/>
        <w:rPr>
          <w:rFonts w:cs="Times New Roman"/>
          <w:szCs w:val="24"/>
        </w:rPr>
      </w:pPr>
      <w:r w:rsidRPr="00253EF4">
        <w:rPr>
          <w:rFonts w:cs="Times New Roman"/>
          <w:b/>
          <w:szCs w:val="24"/>
        </w:rPr>
        <w:t xml:space="preserve">Cuadro </w:t>
      </w:r>
      <w:r w:rsidRPr="00253EF4">
        <w:rPr>
          <w:rFonts w:cs="Times New Roman"/>
          <w:b/>
          <w:i/>
          <w:iCs/>
          <w:szCs w:val="24"/>
        </w:rPr>
        <w:fldChar w:fldCharType="begin"/>
      </w:r>
      <w:r w:rsidRPr="00253EF4">
        <w:rPr>
          <w:rFonts w:cs="Times New Roman"/>
          <w:b/>
          <w:szCs w:val="24"/>
        </w:rPr>
        <w:instrText xml:space="preserve"> SEQ Cuadro \* ARABIC </w:instrText>
      </w:r>
      <w:r w:rsidRPr="00253EF4">
        <w:rPr>
          <w:rFonts w:cs="Times New Roman"/>
          <w:b/>
          <w:i/>
          <w:iCs/>
          <w:szCs w:val="24"/>
        </w:rPr>
        <w:fldChar w:fldCharType="separate"/>
      </w:r>
      <w:r w:rsidR="000D1F55">
        <w:rPr>
          <w:rFonts w:cs="Times New Roman"/>
          <w:b/>
          <w:noProof/>
          <w:szCs w:val="24"/>
        </w:rPr>
        <w:t>137</w:t>
      </w:r>
      <w:r w:rsidRPr="00253EF4">
        <w:rPr>
          <w:rFonts w:cs="Times New Roman"/>
          <w:b/>
          <w:i/>
          <w:iCs/>
          <w:szCs w:val="24"/>
        </w:rPr>
        <w:fldChar w:fldCharType="end"/>
      </w:r>
      <w:r w:rsidRPr="00253EF4">
        <w:rPr>
          <w:rFonts w:cs="Times New Roman"/>
          <w:b/>
          <w:szCs w:val="24"/>
        </w:rPr>
        <w:t xml:space="preserve">. </w:t>
      </w:r>
      <w:r w:rsidRPr="00253EF4">
        <w:rPr>
          <w:rFonts w:cs="Times New Roman"/>
          <w:szCs w:val="24"/>
        </w:rPr>
        <w:t>Absorción total de magnesio de maíz suave para diversas dosis de nitrógeno evaluadas en la provincia de Imbabura 2010-2015.</w:t>
      </w:r>
      <w:bookmarkEnd w:id="1947"/>
    </w:p>
    <w:tbl>
      <w:tblPr>
        <w:tblW w:w="5000" w:type="pct"/>
        <w:jc w:val="center"/>
        <w:tblCellMar>
          <w:left w:w="70" w:type="dxa"/>
          <w:right w:w="70" w:type="dxa"/>
        </w:tblCellMar>
        <w:tblLook w:val="04A0" w:firstRow="1" w:lastRow="0" w:firstColumn="1" w:lastColumn="0" w:noHBand="0" w:noVBand="1"/>
      </w:tblPr>
      <w:tblGrid>
        <w:gridCol w:w="2465"/>
        <w:gridCol w:w="888"/>
        <w:gridCol w:w="380"/>
        <w:gridCol w:w="1712"/>
        <w:gridCol w:w="314"/>
        <w:gridCol w:w="647"/>
        <w:gridCol w:w="560"/>
        <w:gridCol w:w="961"/>
      </w:tblGrid>
      <w:tr w:rsidR="00C82BCC" w14:paraId="01B08A2F" w14:textId="77777777" w:rsidTr="00253EF4">
        <w:trPr>
          <w:trHeight w:val="300"/>
          <w:jc w:val="center"/>
        </w:trPr>
        <w:tc>
          <w:tcPr>
            <w:tcW w:w="1555" w:type="pct"/>
            <w:tcBorders>
              <w:top w:val="single" w:sz="4" w:space="0" w:color="auto"/>
              <w:left w:val="single" w:sz="4" w:space="0" w:color="auto"/>
              <w:bottom w:val="single" w:sz="4" w:space="0" w:color="auto"/>
              <w:right w:val="single" w:sz="4" w:space="0" w:color="auto"/>
            </w:tcBorders>
            <w:noWrap/>
            <w:vAlign w:val="bottom"/>
            <w:hideMark/>
          </w:tcPr>
          <w:p w14:paraId="1452F2DB"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60" w:type="pct"/>
            <w:tcBorders>
              <w:top w:val="single" w:sz="4" w:space="0" w:color="auto"/>
              <w:left w:val="nil"/>
              <w:bottom w:val="single" w:sz="4" w:space="0" w:color="auto"/>
              <w:right w:val="single" w:sz="4" w:space="0" w:color="auto"/>
            </w:tcBorders>
            <w:noWrap/>
            <w:vAlign w:val="bottom"/>
            <w:hideMark/>
          </w:tcPr>
          <w:p w14:paraId="4D3B7A46"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240" w:type="pct"/>
            <w:tcBorders>
              <w:top w:val="single" w:sz="4" w:space="0" w:color="auto"/>
              <w:left w:val="nil"/>
              <w:bottom w:val="single" w:sz="4" w:space="0" w:color="auto"/>
              <w:right w:val="single" w:sz="4" w:space="0" w:color="auto"/>
            </w:tcBorders>
            <w:noWrap/>
            <w:vAlign w:val="bottom"/>
            <w:hideMark/>
          </w:tcPr>
          <w:p w14:paraId="7DCEAA8A"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080" w:type="pct"/>
            <w:tcBorders>
              <w:top w:val="single" w:sz="4" w:space="0" w:color="auto"/>
              <w:left w:val="nil"/>
              <w:bottom w:val="single" w:sz="4" w:space="0" w:color="auto"/>
              <w:right w:val="single" w:sz="4" w:space="0" w:color="auto"/>
            </w:tcBorders>
            <w:noWrap/>
            <w:vAlign w:val="bottom"/>
            <w:hideMark/>
          </w:tcPr>
          <w:p w14:paraId="7C716B89"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98" w:type="pct"/>
            <w:tcBorders>
              <w:top w:val="single" w:sz="4" w:space="0" w:color="auto"/>
              <w:left w:val="single" w:sz="4" w:space="0" w:color="auto"/>
              <w:bottom w:val="single" w:sz="4" w:space="0" w:color="auto"/>
              <w:right w:val="nil"/>
            </w:tcBorders>
            <w:noWrap/>
            <w:vAlign w:val="bottom"/>
            <w:hideMark/>
          </w:tcPr>
          <w:p w14:paraId="26376D45"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408" w:type="pct"/>
            <w:tcBorders>
              <w:top w:val="single" w:sz="4" w:space="0" w:color="auto"/>
              <w:left w:val="nil"/>
              <w:bottom w:val="single" w:sz="4" w:space="0" w:color="auto"/>
              <w:right w:val="nil"/>
            </w:tcBorders>
            <w:noWrap/>
            <w:vAlign w:val="bottom"/>
            <w:hideMark/>
          </w:tcPr>
          <w:p w14:paraId="3767A557" w14:textId="77777777" w:rsidR="00C82BCC" w:rsidRDefault="00C82BCC" w:rsidP="00732356">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353" w:type="pct"/>
            <w:tcBorders>
              <w:top w:val="single" w:sz="4" w:space="0" w:color="auto"/>
              <w:left w:val="nil"/>
              <w:bottom w:val="single" w:sz="4" w:space="0" w:color="auto"/>
              <w:right w:val="nil"/>
            </w:tcBorders>
            <w:noWrap/>
            <w:vAlign w:val="bottom"/>
            <w:hideMark/>
          </w:tcPr>
          <w:p w14:paraId="1E3EDA11" w14:textId="77777777" w:rsidR="00C82BCC" w:rsidRDefault="00C82BCC" w:rsidP="00732356">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c>
          <w:tcPr>
            <w:tcW w:w="606" w:type="pct"/>
            <w:tcBorders>
              <w:top w:val="single" w:sz="4" w:space="0" w:color="auto"/>
              <w:left w:val="nil"/>
              <w:bottom w:val="single" w:sz="4" w:space="0" w:color="auto"/>
              <w:right w:val="single" w:sz="4" w:space="0" w:color="auto"/>
            </w:tcBorders>
            <w:noWrap/>
            <w:vAlign w:val="bottom"/>
            <w:hideMark/>
          </w:tcPr>
          <w:p w14:paraId="6C408162"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46953BA4" w14:textId="77777777" w:rsidTr="00253EF4">
        <w:trPr>
          <w:trHeight w:val="300"/>
          <w:jc w:val="center"/>
        </w:trPr>
        <w:tc>
          <w:tcPr>
            <w:tcW w:w="1555" w:type="pct"/>
            <w:tcBorders>
              <w:top w:val="nil"/>
              <w:left w:val="single" w:sz="4" w:space="0" w:color="auto"/>
              <w:bottom w:val="single" w:sz="4" w:space="0" w:color="auto"/>
              <w:right w:val="single" w:sz="4" w:space="0" w:color="auto"/>
            </w:tcBorders>
            <w:noWrap/>
            <w:vAlign w:val="bottom"/>
            <w:hideMark/>
          </w:tcPr>
          <w:p w14:paraId="6CB1F10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60" w:type="pct"/>
            <w:tcBorders>
              <w:top w:val="nil"/>
              <w:left w:val="nil"/>
              <w:bottom w:val="single" w:sz="4" w:space="0" w:color="auto"/>
              <w:right w:val="single" w:sz="4" w:space="0" w:color="auto"/>
            </w:tcBorders>
            <w:noWrap/>
            <w:vAlign w:val="bottom"/>
            <w:hideMark/>
          </w:tcPr>
          <w:p w14:paraId="0178B67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22,13</w:t>
            </w:r>
          </w:p>
        </w:tc>
        <w:tc>
          <w:tcPr>
            <w:tcW w:w="240" w:type="pct"/>
            <w:tcBorders>
              <w:top w:val="nil"/>
              <w:left w:val="nil"/>
              <w:bottom w:val="single" w:sz="4" w:space="0" w:color="auto"/>
              <w:right w:val="single" w:sz="4" w:space="0" w:color="auto"/>
            </w:tcBorders>
            <w:noWrap/>
            <w:vAlign w:val="bottom"/>
            <w:hideMark/>
          </w:tcPr>
          <w:p w14:paraId="0EFC0B9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w:t>
            </w:r>
          </w:p>
        </w:tc>
        <w:tc>
          <w:tcPr>
            <w:tcW w:w="1080" w:type="pct"/>
            <w:tcBorders>
              <w:top w:val="nil"/>
              <w:left w:val="nil"/>
              <w:bottom w:val="single" w:sz="4" w:space="0" w:color="auto"/>
              <w:right w:val="single" w:sz="4" w:space="0" w:color="auto"/>
            </w:tcBorders>
            <w:noWrap/>
            <w:vAlign w:val="bottom"/>
            <w:hideMark/>
          </w:tcPr>
          <w:p w14:paraId="76560B2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0,58</w:t>
            </w:r>
          </w:p>
        </w:tc>
        <w:tc>
          <w:tcPr>
            <w:tcW w:w="198" w:type="pct"/>
            <w:tcBorders>
              <w:top w:val="single" w:sz="4" w:space="0" w:color="auto"/>
              <w:left w:val="nil"/>
              <w:bottom w:val="single" w:sz="4" w:space="0" w:color="auto"/>
              <w:right w:val="single" w:sz="4" w:space="0" w:color="auto"/>
            </w:tcBorders>
            <w:noWrap/>
            <w:vAlign w:val="bottom"/>
            <w:hideMark/>
          </w:tcPr>
          <w:p w14:paraId="5DF5E3D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408" w:type="pct"/>
            <w:tcBorders>
              <w:top w:val="single" w:sz="4" w:space="0" w:color="auto"/>
              <w:left w:val="nil"/>
              <w:bottom w:val="single" w:sz="4" w:space="0" w:color="auto"/>
              <w:right w:val="single" w:sz="4" w:space="0" w:color="auto"/>
            </w:tcBorders>
            <w:noWrap/>
            <w:vAlign w:val="bottom"/>
            <w:hideMark/>
          </w:tcPr>
          <w:p w14:paraId="3D319DA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53" w:type="pct"/>
            <w:tcBorders>
              <w:top w:val="single" w:sz="4" w:space="0" w:color="auto"/>
              <w:left w:val="nil"/>
              <w:bottom w:val="single" w:sz="4" w:space="0" w:color="auto"/>
              <w:right w:val="single" w:sz="4" w:space="0" w:color="auto"/>
            </w:tcBorders>
            <w:noWrap/>
            <w:vAlign w:val="bottom"/>
            <w:hideMark/>
          </w:tcPr>
          <w:p w14:paraId="337A93A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06" w:type="pct"/>
            <w:tcBorders>
              <w:top w:val="single" w:sz="4" w:space="0" w:color="auto"/>
              <w:left w:val="nil"/>
              <w:bottom w:val="single" w:sz="4" w:space="0" w:color="auto"/>
              <w:right w:val="single" w:sz="4" w:space="0" w:color="auto"/>
            </w:tcBorders>
            <w:noWrap/>
            <w:vAlign w:val="bottom"/>
            <w:hideMark/>
          </w:tcPr>
          <w:p w14:paraId="007FEC3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42491E4" w14:textId="77777777" w:rsidTr="00253EF4">
        <w:trPr>
          <w:trHeight w:val="300"/>
          <w:jc w:val="center"/>
        </w:trPr>
        <w:tc>
          <w:tcPr>
            <w:tcW w:w="1555" w:type="pct"/>
            <w:tcBorders>
              <w:top w:val="nil"/>
              <w:left w:val="single" w:sz="4" w:space="0" w:color="auto"/>
              <w:bottom w:val="single" w:sz="4" w:space="0" w:color="auto"/>
              <w:right w:val="single" w:sz="4" w:space="0" w:color="auto"/>
            </w:tcBorders>
            <w:noWrap/>
            <w:vAlign w:val="bottom"/>
            <w:hideMark/>
          </w:tcPr>
          <w:p w14:paraId="661DD79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560" w:type="pct"/>
            <w:tcBorders>
              <w:top w:val="nil"/>
              <w:left w:val="nil"/>
              <w:bottom w:val="single" w:sz="4" w:space="0" w:color="auto"/>
              <w:right w:val="single" w:sz="4" w:space="0" w:color="auto"/>
            </w:tcBorders>
            <w:noWrap/>
            <w:vAlign w:val="bottom"/>
            <w:hideMark/>
          </w:tcPr>
          <w:p w14:paraId="21E5DA4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23,27</w:t>
            </w:r>
          </w:p>
        </w:tc>
        <w:tc>
          <w:tcPr>
            <w:tcW w:w="240" w:type="pct"/>
            <w:tcBorders>
              <w:top w:val="nil"/>
              <w:left w:val="nil"/>
              <w:bottom w:val="single" w:sz="4" w:space="0" w:color="auto"/>
              <w:right w:val="single" w:sz="4" w:space="0" w:color="auto"/>
            </w:tcBorders>
            <w:noWrap/>
            <w:vAlign w:val="bottom"/>
            <w:hideMark/>
          </w:tcPr>
          <w:p w14:paraId="09F3EF1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080" w:type="pct"/>
            <w:tcBorders>
              <w:top w:val="nil"/>
              <w:left w:val="nil"/>
              <w:bottom w:val="single" w:sz="4" w:space="0" w:color="auto"/>
              <w:right w:val="single" w:sz="4" w:space="0" w:color="auto"/>
            </w:tcBorders>
            <w:noWrap/>
            <w:vAlign w:val="bottom"/>
            <w:hideMark/>
          </w:tcPr>
          <w:p w14:paraId="6E285DF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0,64</w:t>
            </w:r>
          </w:p>
        </w:tc>
        <w:tc>
          <w:tcPr>
            <w:tcW w:w="198" w:type="pct"/>
            <w:tcBorders>
              <w:top w:val="nil"/>
              <w:left w:val="nil"/>
              <w:bottom w:val="single" w:sz="4" w:space="0" w:color="auto"/>
              <w:right w:val="single" w:sz="4" w:space="0" w:color="auto"/>
            </w:tcBorders>
            <w:noWrap/>
            <w:vAlign w:val="bottom"/>
            <w:hideMark/>
          </w:tcPr>
          <w:p w14:paraId="1DAA667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408" w:type="pct"/>
            <w:tcBorders>
              <w:top w:val="nil"/>
              <w:left w:val="nil"/>
              <w:bottom w:val="single" w:sz="4" w:space="0" w:color="auto"/>
              <w:right w:val="single" w:sz="4" w:space="0" w:color="auto"/>
            </w:tcBorders>
            <w:noWrap/>
            <w:vAlign w:val="bottom"/>
            <w:hideMark/>
          </w:tcPr>
          <w:p w14:paraId="2D29958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53" w:type="pct"/>
            <w:tcBorders>
              <w:top w:val="nil"/>
              <w:left w:val="nil"/>
              <w:bottom w:val="single" w:sz="4" w:space="0" w:color="auto"/>
              <w:right w:val="single" w:sz="4" w:space="0" w:color="auto"/>
            </w:tcBorders>
            <w:noWrap/>
            <w:vAlign w:val="bottom"/>
            <w:hideMark/>
          </w:tcPr>
          <w:p w14:paraId="2F59717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06" w:type="pct"/>
            <w:tcBorders>
              <w:top w:val="nil"/>
              <w:left w:val="nil"/>
              <w:bottom w:val="single" w:sz="4" w:space="0" w:color="auto"/>
              <w:right w:val="single" w:sz="4" w:space="0" w:color="auto"/>
            </w:tcBorders>
            <w:noWrap/>
            <w:vAlign w:val="bottom"/>
            <w:hideMark/>
          </w:tcPr>
          <w:p w14:paraId="1563E3B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6FAF6C4" w14:textId="77777777" w:rsidTr="00253EF4">
        <w:trPr>
          <w:trHeight w:val="300"/>
          <w:jc w:val="center"/>
        </w:trPr>
        <w:tc>
          <w:tcPr>
            <w:tcW w:w="1555" w:type="pct"/>
            <w:tcBorders>
              <w:top w:val="nil"/>
              <w:left w:val="single" w:sz="4" w:space="0" w:color="auto"/>
              <w:bottom w:val="single" w:sz="4" w:space="0" w:color="auto"/>
              <w:right w:val="single" w:sz="4" w:space="0" w:color="auto"/>
            </w:tcBorders>
            <w:noWrap/>
            <w:vAlign w:val="bottom"/>
            <w:hideMark/>
          </w:tcPr>
          <w:p w14:paraId="79FDB58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560" w:type="pct"/>
            <w:tcBorders>
              <w:top w:val="nil"/>
              <w:left w:val="nil"/>
              <w:bottom w:val="single" w:sz="4" w:space="0" w:color="auto"/>
              <w:right w:val="single" w:sz="4" w:space="0" w:color="auto"/>
            </w:tcBorders>
            <w:noWrap/>
            <w:vAlign w:val="bottom"/>
            <w:hideMark/>
          </w:tcPr>
          <w:p w14:paraId="152B381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w:t>
            </w:r>
          </w:p>
        </w:tc>
        <w:tc>
          <w:tcPr>
            <w:tcW w:w="240" w:type="pct"/>
            <w:tcBorders>
              <w:top w:val="nil"/>
              <w:left w:val="nil"/>
              <w:bottom w:val="single" w:sz="4" w:space="0" w:color="auto"/>
              <w:right w:val="single" w:sz="4" w:space="0" w:color="auto"/>
            </w:tcBorders>
            <w:noWrap/>
            <w:vAlign w:val="bottom"/>
            <w:hideMark/>
          </w:tcPr>
          <w:p w14:paraId="3612CD9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080" w:type="pct"/>
            <w:tcBorders>
              <w:top w:val="nil"/>
              <w:left w:val="nil"/>
              <w:bottom w:val="single" w:sz="4" w:space="0" w:color="auto"/>
              <w:right w:val="single" w:sz="4" w:space="0" w:color="auto"/>
            </w:tcBorders>
            <w:noWrap/>
            <w:vAlign w:val="bottom"/>
            <w:hideMark/>
          </w:tcPr>
          <w:p w14:paraId="0A66563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1,36</w:t>
            </w:r>
          </w:p>
        </w:tc>
        <w:tc>
          <w:tcPr>
            <w:tcW w:w="198" w:type="pct"/>
            <w:tcBorders>
              <w:top w:val="nil"/>
              <w:left w:val="nil"/>
              <w:bottom w:val="single" w:sz="4" w:space="0" w:color="auto"/>
              <w:right w:val="single" w:sz="4" w:space="0" w:color="auto"/>
            </w:tcBorders>
            <w:noWrap/>
            <w:vAlign w:val="bottom"/>
            <w:hideMark/>
          </w:tcPr>
          <w:p w14:paraId="1306BB4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408" w:type="pct"/>
            <w:tcBorders>
              <w:top w:val="nil"/>
              <w:left w:val="nil"/>
              <w:bottom w:val="single" w:sz="4" w:space="0" w:color="auto"/>
              <w:right w:val="single" w:sz="4" w:space="0" w:color="auto"/>
            </w:tcBorders>
            <w:noWrap/>
            <w:vAlign w:val="bottom"/>
            <w:hideMark/>
          </w:tcPr>
          <w:p w14:paraId="044B3BD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353" w:type="pct"/>
            <w:tcBorders>
              <w:top w:val="nil"/>
              <w:left w:val="nil"/>
              <w:bottom w:val="single" w:sz="4" w:space="0" w:color="auto"/>
              <w:right w:val="single" w:sz="4" w:space="0" w:color="auto"/>
            </w:tcBorders>
            <w:noWrap/>
            <w:vAlign w:val="bottom"/>
            <w:hideMark/>
          </w:tcPr>
          <w:p w14:paraId="554408B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06" w:type="pct"/>
            <w:tcBorders>
              <w:top w:val="nil"/>
              <w:left w:val="nil"/>
              <w:bottom w:val="single" w:sz="4" w:space="0" w:color="auto"/>
              <w:right w:val="single" w:sz="4" w:space="0" w:color="auto"/>
            </w:tcBorders>
            <w:noWrap/>
            <w:vAlign w:val="bottom"/>
            <w:hideMark/>
          </w:tcPr>
          <w:p w14:paraId="2E0F2B4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14BDF39" w14:textId="77777777" w:rsidTr="00253EF4">
        <w:trPr>
          <w:trHeight w:val="300"/>
          <w:jc w:val="center"/>
        </w:trPr>
        <w:tc>
          <w:tcPr>
            <w:tcW w:w="1555" w:type="pct"/>
            <w:tcBorders>
              <w:top w:val="nil"/>
              <w:left w:val="single" w:sz="4" w:space="0" w:color="auto"/>
              <w:bottom w:val="single" w:sz="4" w:space="0" w:color="auto"/>
              <w:right w:val="single" w:sz="4" w:space="0" w:color="auto"/>
            </w:tcBorders>
            <w:noWrap/>
            <w:vAlign w:val="bottom"/>
            <w:hideMark/>
          </w:tcPr>
          <w:p w14:paraId="34D97FB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560" w:type="pct"/>
            <w:tcBorders>
              <w:top w:val="nil"/>
              <w:left w:val="nil"/>
              <w:bottom w:val="single" w:sz="4" w:space="0" w:color="auto"/>
              <w:right w:val="single" w:sz="4" w:space="0" w:color="auto"/>
            </w:tcBorders>
            <w:noWrap/>
            <w:vAlign w:val="bottom"/>
            <w:hideMark/>
          </w:tcPr>
          <w:p w14:paraId="17065AE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25,38</w:t>
            </w:r>
          </w:p>
        </w:tc>
        <w:tc>
          <w:tcPr>
            <w:tcW w:w="240" w:type="pct"/>
            <w:tcBorders>
              <w:top w:val="nil"/>
              <w:left w:val="nil"/>
              <w:bottom w:val="single" w:sz="4" w:space="0" w:color="auto"/>
              <w:right w:val="single" w:sz="4" w:space="0" w:color="auto"/>
            </w:tcBorders>
            <w:noWrap/>
            <w:vAlign w:val="bottom"/>
            <w:hideMark/>
          </w:tcPr>
          <w:p w14:paraId="69D99F8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080" w:type="pct"/>
            <w:tcBorders>
              <w:top w:val="nil"/>
              <w:left w:val="nil"/>
              <w:bottom w:val="single" w:sz="4" w:space="0" w:color="auto"/>
              <w:right w:val="single" w:sz="4" w:space="0" w:color="auto"/>
            </w:tcBorders>
            <w:noWrap/>
            <w:vAlign w:val="bottom"/>
            <w:hideMark/>
          </w:tcPr>
          <w:p w14:paraId="5CC957C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1,57</w:t>
            </w:r>
          </w:p>
        </w:tc>
        <w:tc>
          <w:tcPr>
            <w:tcW w:w="198" w:type="pct"/>
            <w:tcBorders>
              <w:top w:val="nil"/>
              <w:left w:val="nil"/>
              <w:bottom w:val="single" w:sz="4" w:space="0" w:color="auto"/>
              <w:right w:val="single" w:sz="4" w:space="0" w:color="auto"/>
            </w:tcBorders>
            <w:noWrap/>
            <w:vAlign w:val="bottom"/>
            <w:hideMark/>
          </w:tcPr>
          <w:p w14:paraId="333867E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408" w:type="pct"/>
            <w:tcBorders>
              <w:top w:val="nil"/>
              <w:left w:val="nil"/>
              <w:bottom w:val="single" w:sz="4" w:space="0" w:color="auto"/>
              <w:right w:val="single" w:sz="4" w:space="0" w:color="auto"/>
            </w:tcBorders>
            <w:noWrap/>
            <w:vAlign w:val="bottom"/>
            <w:hideMark/>
          </w:tcPr>
          <w:p w14:paraId="15F7964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353" w:type="pct"/>
            <w:tcBorders>
              <w:top w:val="nil"/>
              <w:left w:val="nil"/>
              <w:bottom w:val="single" w:sz="4" w:space="0" w:color="auto"/>
              <w:right w:val="single" w:sz="4" w:space="0" w:color="auto"/>
            </w:tcBorders>
            <w:noWrap/>
            <w:vAlign w:val="bottom"/>
            <w:hideMark/>
          </w:tcPr>
          <w:p w14:paraId="564D484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606" w:type="pct"/>
            <w:tcBorders>
              <w:top w:val="nil"/>
              <w:left w:val="nil"/>
              <w:bottom w:val="single" w:sz="4" w:space="0" w:color="auto"/>
              <w:right w:val="single" w:sz="4" w:space="0" w:color="auto"/>
            </w:tcBorders>
            <w:noWrap/>
            <w:vAlign w:val="bottom"/>
            <w:hideMark/>
          </w:tcPr>
          <w:p w14:paraId="6DDAE33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3A229D0" w14:textId="77777777" w:rsidTr="00253EF4">
        <w:trPr>
          <w:trHeight w:val="300"/>
          <w:jc w:val="center"/>
        </w:trPr>
        <w:tc>
          <w:tcPr>
            <w:tcW w:w="1555" w:type="pct"/>
            <w:tcBorders>
              <w:top w:val="nil"/>
              <w:left w:val="single" w:sz="4" w:space="0" w:color="auto"/>
              <w:bottom w:val="single" w:sz="4" w:space="0" w:color="auto"/>
              <w:right w:val="single" w:sz="4" w:space="0" w:color="auto"/>
            </w:tcBorders>
            <w:noWrap/>
            <w:vAlign w:val="bottom"/>
            <w:hideMark/>
          </w:tcPr>
          <w:p w14:paraId="56BF353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560" w:type="pct"/>
            <w:tcBorders>
              <w:top w:val="nil"/>
              <w:left w:val="nil"/>
              <w:bottom w:val="single" w:sz="4" w:space="0" w:color="auto"/>
              <w:right w:val="single" w:sz="4" w:space="0" w:color="auto"/>
            </w:tcBorders>
            <w:noWrap/>
            <w:vAlign w:val="bottom"/>
            <w:hideMark/>
          </w:tcPr>
          <w:p w14:paraId="00688E7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28,12</w:t>
            </w:r>
          </w:p>
        </w:tc>
        <w:tc>
          <w:tcPr>
            <w:tcW w:w="240" w:type="pct"/>
            <w:tcBorders>
              <w:top w:val="nil"/>
              <w:left w:val="nil"/>
              <w:bottom w:val="single" w:sz="4" w:space="0" w:color="auto"/>
              <w:right w:val="single" w:sz="4" w:space="0" w:color="auto"/>
            </w:tcBorders>
            <w:noWrap/>
            <w:vAlign w:val="bottom"/>
            <w:hideMark/>
          </w:tcPr>
          <w:p w14:paraId="462D4AB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1080" w:type="pct"/>
            <w:tcBorders>
              <w:top w:val="nil"/>
              <w:left w:val="nil"/>
              <w:bottom w:val="single" w:sz="4" w:space="0" w:color="auto"/>
              <w:right w:val="single" w:sz="4" w:space="0" w:color="auto"/>
            </w:tcBorders>
            <w:noWrap/>
            <w:vAlign w:val="bottom"/>
            <w:hideMark/>
          </w:tcPr>
          <w:p w14:paraId="5298E54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1,57</w:t>
            </w:r>
          </w:p>
        </w:tc>
        <w:tc>
          <w:tcPr>
            <w:tcW w:w="198" w:type="pct"/>
            <w:tcBorders>
              <w:top w:val="nil"/>
              <w:left w:val="nil"/>
              <w:bottom w:val="single" w:sz="4" w:space="0" w:color="auto"/>
              <w:right w:val="single" w:sz="4" w:space="0" w:color="auto"/>
            </w:tcBorders>
            <w:noWrap/>
            <w:vAlign w:val="bottom"/>
            <w:hideMark/>
          </w:tcPr>
          <w:p w14:paraId="4EA12BB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08" w:type="pct"/>
            <w:tcBorders>
              <w:top w:val="nil"/>
              <w:left w:val="nil"/>
              <w:bottom w:val="single" w:sz="4" w:space="0" w:color="auto"/>
              <w:right w:val="single" w:sz="4" w:space="0" w:color="auto"/>
            </w:tcBorders>
            <w:noWrap/>
            <w:vAlign w:val="bottom"/>
            <w:hideMark/>
          </w:tcPr>
          <w:p w14:paraId="1815D6A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353" w:type="pct"/>
            <w:tcBorders>
              <w:top w:val="nil"/>
              <w:left w:val="nil"/>
              <w:bottom w:val="single" w:sz="4" w:space="0" w:color="auto"/>
              <w:right w:val="single" w:sz="4" w:space="0" w:color="auto"/>
            </w:tcBorders>
            <w:noWrap/>
            <w:vAlign w:val="bottom"/>
            <w:hideMark/>
          </w:tcPr>
          <w:p w14:paraId="18D99F9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606" w:type="pct"/>
            <w:tcBorders>
              <w:top w:val="nil"/>
              <w:left w:val="nil"/>
              <w:bottom w:val="single" w:sz="4" w:space="0" w:color="auto"/>
              <w:right w:val="single" w:sz="4" w:space="0" w:color="auto"/>
            </w:tcBorders>
            <w:noWrap/>
            <w:vAlign w:val="bottom"/>
            <w:hideMark/>
          </w:tcPr>
          <w:p w14:paraId="6FCC172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2B3D883F" w14:textId="77777777" w:rsidTr="00253EF4">
        <w:trPr>
          <w:trHeight w:val="300"/>
          <w:jc w:val="center"/>
        </w:trPr>
        <w:tc>
          <w:tcPr>
            <w:tcW w:w="1555" w:type="pct"/>
            <w:tcBorders>
              <w:top w:val="nil"/>
              <w:left w:val="single" w:sz="4" w:space="0" w:color="auto"/>
              <w:bottom w:val="single" w:sz="4" w:space="0" w:color="auto"/>
              <w:right w:val="single" w:sz="4" w:space="0" w:color="auto"/>
            </w:tcBorders>
            <w:noWrap/>
            <w:vAlign w:val="bottom"/>
            <w:hideMark/>
          </w:tcPr>
          <w:p w14:paraId="7F2ACBD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560" w:type="pct"/>
            <w:tcBorders>
              <w:top w:val="nil"/>
              <w:left w:val="nil"/>
              <w:bottom w:val="single" w:sz="4" w:space="0" w:color="auto"/>
              <w:right w:val="single" w:sz="4" w:space="0" w:color="auto"/>
            </w:tcBorders>
            <w:noWrap/>
            <w:vAlign w:val="bottom"/>
            <w:hideMark/>
          </w:tcPr>
          <w:p w14:paraId="27DA77D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28,61</w:t>
            </w:r>
          </w:p>
        </w:tc>
        <w:tc>
          <w:tcPr>
            <w:tcW w:w="240" w:type="pct"/>
            <w:tcBorders>
              <w:top w:val="nil"/>
              <w:left w:val="nil"/>
              <w:bottom w:val="single" w:sz="4" w:space="0" w:color="auto"/>
              <w:right w:val="single" w:sz="4" w:space="0" w:color="auto"/>
            </w:tcBorders>
            <w:noWrap/>
            <w:vAlign w:val="bottom"/>
            <w:hideMark/>
          </w:tcPr>
          <w:p w14:paraId="0334DF8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080" w:type="pct"/>
            <w:tcBorders>
              <w:top w:val="nil"/>
              <w:left w:val="nil"/>
              <w:bottom w:val="single" w:sz="4" w:space="0" w:color="auto"/>
              <w:right w:val="single" w:sz="4" w:space="0" w:color="auto"/>
            </w:tcBorders>
            <w:noWrap/>
            <w:vAlign w:val="bottom"/>
            <w:hideMark/>
          </w:tcPr>
          <w:p w14:paraId="1E6F34A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0,71</w:t>
            </w:r>
          </w:p>
        </w:tc>
        <w:tc>
          <w:tcPr>
            <w:tcW w:w="198" w:type="pct"/>
            <w:tcBorders>
              <w:top w:val="nil"/>
              <w:left w:val="nil"/>
              <w:bottom w:val="single" w:sz="4" w:space="0" w:color="auto"/>
              <w:right w:val="single" w:sz="4" w:space="0" w:color="auto"/>
            </w:tcBorders>
            <w:noWrap/>
            <w:vAlign w:val="bottom"/>
            <w:hideMark/>
          </w:tcPr>
          <w:p w14:paraId="2B42B30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08" w:type="pct"/>
            <w:tcBorders>
              <w:top w:val="nil"/>
              <w:left w:val="nil"/>
              <w:bottom w:val="single" w:sz="4" w:space="0" w:color="auto"/>
              <w:right w:val="single" w:sz="4" w:space="0" w:color="auto"/>
            </w:tcBorders>
            <w:noWrap/>
            <w:vAlign w:val="bottom"/>
            <w:hideMark/>
          </w:tcPr>
          <w:p w14:paraId="38DAAFF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53" w:type="pct"/>
            <w:tcBorders>
              <w:top w:val="nil"/>
              <w:left w:val="nil"/>
              <w:bottom w:val="single" w:sz="4" w:space="0" w:color="auto"/>
              <w:right w:val="single" w:sz="4" w:space="0" w:color="auto"/>
            </w:tcBorders>
            <w:noWrap/>
            <w:vAlign w:val="bottom"/>
            <w:hideMark/>
          </w:tcPr>
          <w:p w14:paraId="389C845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606" w:type="pct"/>
            <w:tcBorders>
              <w:top w:val="nil"/>
              <w:left w:val="nil"/>
              <w:bottom w:val="single" w:sz="4" w:space="0" w:color="auto"/>
              <w:right w:val="single" w:sz="4" w:space="0" w:color="auto"/>
            </w:tcBorders>
            <w:noWrap/>
            <w:vAlign w:val="bottom"/>
            <w:hideMark/>
          </w:tcPr>
          <w:p w14:paraId="678D1A7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7989364D" w14:textId="77777777" w:rsidR="00732356" w:rsidRDefault="00C82BCC" w:rsidP="00732356">
      <w:pPr>
        <w:autoSpaceDE w:val="0"/>
        <w:autoSpaceDN w:val="0"/>
        <w:adjustRightInd w:val="0"/>
        <w:spacing w:after="0" w:line="360" w:lineRule="auto"/>
        <w:rPr>
          <w:rFonts w:cs="Times New Roman"/>
          <w:szCs w:val="24"/>
        </w:rPr>
      </w:pPr>
      <w:r>
        <w:rPr>
          <w:rFonts w:cs="Times New Roman"/>
          <w:szCs w:val="24"/>
        </w:rPr>
        <w:t>Medias con una letra común no son significa</w:t>
      </w:r>
      <w:r w:rsidR="00253EF4">
        <w:rPr>
          <w:rFonts w:cs="Times New Roman"/>
          <w:szCs w:val="24"/>
        </w:rPr>
        <w:t>tivamente diferentes (p &gt; 0,05)</w:t>
      </w:r>
      <w:bookmarkStart w:id="1948" w:name="_Toc79314130"/>
    </w:p>
    <w:p w14:paraId="69213B9F" w14:textId="13624269" w:rsidR="00253EF4" w:rsidRPr="00732356" w:rsidRDefault="00253EF4" w:rsidP="00732356">
      <w:pPr>
        <w:autoSpaceDE w:val="0"/>
        <w:autoSpaceDN w:val="0"/>
        <w:adjustRightInd w:val="0"/>
        <w:spacing w:before="360" w:after="0" w:line="360" w:lineRule="auto"/>
        <w:rPr>
          <w:rFonts w:cs="Times New Roman"/>
          <w:szCs w:val="24"/>
        </w:rPr>
      </w:pPr>
      <w:r w:rsidRPr="00253EF4">
        <w:rPr>
          <w:rFonts w:cs="Times New Roman"/>
          <w:b/>
          <w:szCs w:val="24"/>
        </w:rPr>
        <w:t xml:space="preserve">Cuadro </w:t>
      </w:r>
      <w:r w:rsidRPr="00253EF4">
        <w:rPr>
          <w:rFonts w:cs="Times New Roman"/>
          <w:b/>
          <w:i/>
          <w:iCs/>
          <w:szCs w:val="24"/>
        </w:rPr>
        <w:fldChar w:fldCharType="begin"/>
      </w:r>
      <w:r w:rsidRPr="00253EF4">
        <w:rPr>
          <w:rFonts w:cs="Times New Roman"/>
          <w:b/>
          <w:szCs w:val="24"/>
        </w:rPr>
        <w:instrText xml:space="preserve"> SEQ Cuadro \* ARABIC </w:instrText>
      </w:r>
      <w:r w:rsidRPr="00253EF4">
        <w:rPr>
          <w:rFonts w:cs="Times New Roman"/>
          <w:b/>
          <w:i/>
          <w:iCs/>
          <w:szCs w:val="24"/>
        </w:rPr>
        <w:fldChar w:fldCharType="separate"/>
      </w:r>
      <w:r w:rsidR="000D1F55">
        <w:rPr>
          <w:rFonts w:cs="Times New Roman"/>
          <w:b/>
          <w:noProof/>
          <w:szCs w:val="24"/>
        </w:rPr>
        <w:t>138</w:t>
      </w:r>
      <w:r w:rsidRPr="00253EF4">
        <w:rPr>
          <w:rFonts w:cs="Times New Roman"/>
          <w:b/>
          <w:i/>
          <w:iCs/>
          <w:szCs w:val="24"/>
        </w:rPr>
        <w:fldChar w:fldCharType="end"/>
      </w:r>
      <w:r w:rsidRPr="00253EF4">
        <w:rPr>
          <w:rFonts w:cs="Times New Roman"/>
          <w:b/>
          <w:szCs w:val="24"/>
        </w:rPr>
        <w:t>.</w:t>
      </w:r>
      <w:r w:rsidRPr="00253EF4">
        <w:rPr>
          <w:rFonts w:cs="Times New Roman"/>
          <w:szCs w:val="24"/>
        </w:rPr>
        <w:t xml:space="preserve"> Absorción total de magnesio de maíz suave para diversas dosis de fósforo evaluadas en la provincia de Imbabura 2010-2015.</w:t>
      </w:r>
      <w:bookmarkEnd w:id="1948"/>
    </w:p>
    <w:tbl>
      <w:tblPr>
        <w:tblW w:w="5000" w:type="pct"/>
        <w:jc w:val="center"/>
        <w:tblCellMar>
          <w:left w:w="70" w:type="dxa"/>
          <w:right w:w="70" w:type="dxa"/>
        </w:tblCellMar>
        <w:tblLook w:val="04A0" w:firstRow="1" w:lastRow="0" w:firstColumn="1" w:lastColumn="0" w:noHBand="0" w:noVBand="1"/>
      </w:tblPr>
      <w:tblGrid>
        <w:gridCol w:w="1841"/>
        <w:gridCol w:w="952"/>
        <w:gridCol w:w="952"/>
        <w:gridCol w:w="1693"/>
        <w:gridCol w:w="557"/>
        <w:gridCol w:w="643"/>
        <w:gridCol w:w="645"/>
        <w:gridCol w:w="644"/>
      </w:tblGrid>
      <w:tr w:rsidR="00C82BCC" w14:paraId="3E4AF71F" w14:textId="77777777" w:rsidTr="00253EF4">
        <w:trPr>
          <w:trHeight w:val="300"/>
          <w:jc w:val="center"/>
        </w:trPr>
        <w:tc>
          <w:tcPr>
            <w:tcW w:w="1086" w:type="pct"/>
            <w:tcBorders>
              <w:top w:val="single" w:sz="4" w:space="0" w:color="auto"/>
              <w:left w:val="single" w:sz="4" w:space="0" w:color="auto"/>
              <w:bottom w:val="single" w:sz="4" w:space="0" w:color="auto"/>
              <w:right w:val="single" w:sz="4" w:space="0" w:color="auto"/>
            </w:tcBorders>
            <w:noWrap/>
            <w:vAlign w:val="bottom"/>
            <w:hideMark/>
          </w:tcPr>
          <w:p w14:paraId="66C3930C"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625" w:type="pct"/>
            <w:tcBorders>
              <w:top w:val="single" w:sz="4" w:space="0" w:color="auto"/>
              <w:left w:val="nil"/>
              <w:bottom w:val="single" w:sz="4" w:space="0" w:color="auto"/>
              <w:right w:val="single" w:sz="4" w:space="0" w:color="auto"/>
            </w:tcBorders>
            <w:noWrap/>
            <w:vAlign w:val="bottom"/>
            <w:hideMark/>
          </w:tcPr>
          <w:p w14:paraId="77ED1F7A"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25" w:type="pct"/>
            <w:tcBorders>
              <w:top w:val="single" w:sz="4" w:space="0" w:color="auto"/>
              <w:left w:val="nil"/>
              <w:bottom w:val="single" w:sz="4" w:space="0" w:color="auto"/>
              <w:right w:val="single" w:sz="4" w:space="0" w:color="auto"/>
            </w:tcBorders>
            <w:noWrap/>
            <w:vAlign w:val="bottom"/>
            <w:hideMark/>
          </w:tcPr>
          <w:p w14:paraId="5EDD8FA4"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997" w:type="pct"/>
            <w:tcBorders>
              <w:top w:val="single" w:sz="4" w:space="0" w:color="auto"/>
              <w:left w:val="nil"/>
              <w:bottom w:val="single" w:sz="4" w:space="0" w:color="auto"/>
              <w:right w:val="single" w:sz="4" w:space="0" w:color="auto"/>
            </w:tcBorders>
            <w:noWrap/>
            <w:vAlign w:val="bottom"/>
            <w:hideMark/>
          </w:tcPr>
          <w:p w14:paraId="74DC7E63"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76" w:type="pct"/>
            <w:tcBorders>
              <w:top w:val="single" w:sz="4" w:space="0" w:color="auto"/>
              <w:left w:val="single" w:sz="4" w:space="0" w:color="auto"/>
              <w:bottom w:val="single" w:sz="4" w:space="0" w:color="auto"/>
              <w:right w:val="nil"/>
            </w:tcBorders>
            <w:noWrap/>
            <w:vAlign w:val="bottom"/>
            <w:hideMark/>
          </w:tcPr>
          <w:p w14:paraId="49E986D0"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430" w:type="pct"/>
            <w:tcBorders>
              <w:top w:val="single" w:sz="4" w:space="0" w:color="auto"/>
              <w:left w:val="nil"/>
              <w:bottom w:val="single" w:sz="4" w:space="0" w:color="auto"/>
              <w:right w:val="nil"/>
            </w:tcBorders>
            <w:noWrap/>
            <w:vAlign w:val="bottom"/>
            <w:hideMark/>
          </w:tcPr>
          <w:p w14:paraId="1EE5B44E" w14:textId="77777777" w:rsidR="00C82BCC" w:rsidRDefault="00C82BCC" w:rsidP="00732356">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431" w:type="pct"/>
            <w:tcBorders>
              <w:top w:val="single" w:sz="4" w:space="0" w:color="auto"/>
              <w:left w:val="nil"/>
              <w:bottom w:val="single" w:sz="4" w:space="0" w:color="auto"/>
              <w:right w:val="nil"/>
            </w:tcBorders>
            <w:noWrap/>
            <w:vAlign w:val="bottom"/>
            <w:hideMark/>
          </w:tcPr>
          <w:p w14:paraId="6D42C689" w14:textId="77777777" w:rsidR="00C82BCC" w:rsidRDefault="00C82BCC" w:rsidP="00732356">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c>
          <w:tcPr>
            <w:tcW w:w="431" w:type="pct"/>
            <w:tcBorders>
              <w:top w:val="single" w:sz="4" w:space="0" w:color="auto"/>
              <w:left w:val="nil"/>
              <w:bottom w:val="single" w:sz="4" w:space="0" w:color="auto"/>
              <w:right w:val="single" w:sz="4" w:space="0" w:color="auto"/>
            </w:tcBorders>
            <w:noWrap/>
            <w:vAlign w:val="bottom"/>
            <w:hideMark/>
          </w:tcPr>
          <w:p w14:paraId="35C76A6F"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18AF5DEF" w14:textId="77777777" w:rsidTr="00253EF4">
        <w:trPr>
          <w:trHeight w:val="300"/>
          <w:jc w:val="center"/>
        </w:trPr>
        <w:tc>
          <w:tcPr>
            <w:tcW w:w="1086" w:type="pct"/>
            <w:tcBorders>
              <w:top w:val="nil"/>
              <w:left w:val="single" w:sz="4" w:space="0" w:color="auto"/>
              <w:bottom w:val="single" w:sz="4" w:space="0" w:color="auto"/>
              <w:right w:val="single" w:sz="4" w:space="0" w:color="auto"/>
            </w:tcBorders>
            <w:noWrap/>
            <w:vAlign w:val="bottom"/>
            <w:hideMark/>
          </w:tcPr>
          <w:p w14:paraId="5CF72F1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625" w:type="pct"/>
            <w:tcBorders>
              <w:top w:val="nil"/>
              <w:left w:val="nil"/>
              <w:bottom w:val="single" w:sz="4" w:space="0" w:color="auto"/>
              <w:right w:val="single" w:sz="4" w:space="0" w:color="auto"/>
            </w:tcBorders>
            <w:noWrap/>
            <w:vAlign w:val="bottom"/>
            <w:hideMark/>
          </w:tcPr>
          <w:p w14:paraId="11D63C2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18,46</w:t>
            </w:r>
          </w:p>
        </w:tc>
        <w:tc>
          <w:tcPr>
            <w:tcW w:w="625" w:type="pct"/>
            <w:tcBorders>
              <w:top w:val="nil"/>
              <w:left w:val="nil"/>
              <w:bottom w:val="single" w:sz="4" w:space="0" w:color="auto"/>
              <w:right w:val="single" w:sz="4" w:space="0" w:color="auto"/>
            </w:tcBorders>
            <w:noWrap/>
            <w:vAlign w:val="bottom"/>
            <w:hideMark/>
          </w:tcPr>
          <w:p w14:paraId="62CD8F5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997" w:type="pct"/>
            <w:tcBorders>
              <w:top w:val="nil"/>
              <w:left w:val="nil"/>
              <w:bottom w:val="single" w:sz="4" w:space="0" w:color="auto"/>
              <w:right w:val="single" w:sz="4" w:space="0" w:color="auto"/>
            </w:tcBorders>
            <w:noWrap/>
            <w:vAlign w:val="bottom"/>
            <w:hideMark/>
          </w:tcPr>
          <w:p w14:paraId="0301A04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0,81</w:t>
            </w:r>
          </w:p>
        </w:tc>
        <w:tc>
          <w:tcPr>
            <w:tcW w:w="376" w:type="pct"/>
            <w:tcBorders>
              <w:top w:val="single" w:sz="4" w:space="0" w:color="auto"/>
              <w:left w:val="nil"/>
              <w:bottom w:val="single" w:sz="4" w:space="0" w:color="auto"/>
              <w:right w:val="single" w:sz="4" w:space="0" w:color="auto"/>
            </w:tcBorders>
            <w:noWrap/>
            <w:vAlign w:val="bottom"/>
            <w:hideMark/>
          </w:tcPr>
          <w:p w14:paraId="706F88A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430" w:type="pct"/>
            <w:tcBorders>
              <w:top w:val="single" w:sz="4" w:space="0" w:color="auto"/>
              <w:left w:val="nil"/>
              <w:bottom w:val="single" w:sz="4" w:space="0" w:color="auto"/>
              <w:right w:val="single" w:sz="4" w:space="0" w:color="auto"/>
            </w:tcBorders>
            <w:noWrap/>
            <w:vAlign w:val="bottom"/>
            <w:hideMark/>
          </w:tcPr>
          <w:p w14:paraId="01DB6BD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1" w:type="pct"/>
            <w:tcBorders>
              <w:top w:val="single" w:sz="4" w:space="0" w:color="auto"/>
              <w:left w:val="nil"/>
              <w:bottom w:val="single" w:sz="4" w:space="0" w:color="auto"/>
              <w:right w:val="single" w:sz="4" w:space="0" w:color="auto"/>
            </w:tcBorders>
            <w:noWrap/>
            <w:vAlign w:val="bottom"/>
            <w:hideMark/>
          </w:tcPr>
          <w:p w14:paraId="59C4951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1" w:type="pct"/>
            <w:tcBorders>
              <w:top w:val="single" w:sz="4" w:space="0" w:color="auto"/>
              <w:left w:val="nil"/>
              <w:bottom w:val="single" w:sz="4" w:space="0" w:color="auto"/>
              <w:right w:val="single" w:sz="4" w:space="0" w:color="auto"/>
            </w:tcBorders>
            <w:noWrap/>
            <w:vAlign w:val="bottom"/>
            <w:hideMark/>
          </w:tcPr>
          <w:p w14:paraId="6598242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E89665C" w14:textId="77777777" w:rsidTr="00253EF4">
        <w:trPr>
          <w:trHeight w:val="300"/>
          <w:jc w:val="center"/>
        </w:trPr>
        <w:tc>
          <w:tcPr>
            <w:tcW w:w="1086" w:type="pct"/>
            <w:tcBorders>
              <w:top w:val="nil"/>
              <w:left w:val="single" w:sz="4" w:space="0" w:color="auto"/>
              <w:bottom w:val="single" w:sz="4" w:space="0" w:color="auto"/>
              <w:right w:val="single" w:sz="4" w:space="0" w:color="auto"/>
            </w:tcBorders>
            <w:noWrap/>
            <w:vAlign w:val="bottom"/>
            <w:hideMark/>
          </w:tcPr>
          <w:p w14:paraId="1AB3600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625" w:type="pct"/>
            <w:tcBorders>
              <w:top w:val="nil"/>
              <w:left w:val="nil"/>
              <w:bottom w:val="single" w:sz="4" w:space="0" w:color="auto"/>
              <w:right w:val="single" w:sz="4" w:space="0" w:color="auto"/>
            </w:tcBorders>
            <w:noWrap/>
            <w:vAlign w:val="bottom"/>
            <w:hideMark/>
          </w:tcPr>
          <w:p w14:paraId="6E77F44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24,78</w:t>
            </w:r>
          </w:p>
        </w:tc>
        <w:tc>
          <w:tcPr>
            <w:tcW w:w="625" w:type="pct"/>
            <w:tcBorders>
              <w:top w:val="nil"/>
              <w:left w:val="nil"/>
              <w:bottom w:val="single" w:sz="4" w:space="0" w:color="auto"/>
              <w:right w:val="single" w:sz="4" w:space="0" w:color="auto"/>
            </w:tcBorders>
            <w:noWrap/>
            <w:vAlign w:val="bottom"/>
            <w:hideMark/>
          </w:tcPr>
          <w:p w14:paraId="0AE4800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997" w:type="pct"/>
            <w:tcBorders>
              <w:top w:val="nil"/>
              <w:left w:val="nil"/>
              <w:bottom w:val="single" w:sz="4" w:space="0" w:color="auto"/>
              <w:right w:val="single" w:sz="4" w:space="0" w:color="auto"/>
            </w:tcBorders>
            <w:noWrap/>
            <w:vAlign w:val="bottom"/>
            <w:hideMark/>
          </w:tcPr>
          <w:p w14:paraId="7B0F38D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w:t>
            </w:r>
          </w:p>
        </w:tc>
        <w:tc>
          <w:tcPr>
            <w:tcW w:w="376" w:type="pct"/>
            <w:tcBorders>
              <w:top w:val="nil"/>
              <w:left w:val="nil"/>
              <w:bottom w:val="single" w:sz="4" w:space="0" w:color="auto"/>
              <w:right w:val="single" w:sz="4" w:space="0" w:color="auto"/>
            </w:tcBorders>
            <w:noWrap/>
            <w:vAlign w:val="bottom"/>
            <w:hideMark/>
          </w:tcPr>
          <w:p w14:paraId="120597A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0" w:type="pct"/>
            <w:tcBorders>
              <w:top w:val="nil"/>
              <w:left w:val="nil"/>
              <w:bottom w:val="single" w:sz="4" w:space="0" w:color="auto"/>
              <w:right w:val="single" w:sz="4" w:space="0" w:color="auto"/>
            </w:tcBorders>
            <w:noWrap/>
            <w:vAlign w:val="bottom"/>
            <w:hideMark/>
          </w:tcPr>
          <w:p w14:paraId="7B98D1F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31" w:type="pct"/>
            <w:tcBorders>
              <w:top w:val="nil"/>
              <w:left w:val="nil"/>
              <w:bottom w:val="single" w:sz="4" w:space="0" w:color="auto"/>
              <w:right w:val="single" w:sz="4" w:space="0" w:color="auto"/>
            </w:tcBorders>
            <w:noWrap/>
            <w:vAlign w:val="bottom"/>
            <w:hideMark/>
          </w:tcPr>
          <w:p w14:paraId="30BADB5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1" w:type="pct"/>
            <w:tcBorders>
              <w:top w:val="nil"/>
              <w:left w:val="nil"/>
              <w:bottom w:val="single" w:sz="4" w:space="0" w:color="auto"/>
              <w:right w:val="single" w:sz="4" w:space="0" w:color="auto"/>
            </w:tcBorders>
            <w:noWrap/>
            <w:vAlign w:val="bottom"/>
            <w:hideMark/>
          </w:tcPr>
          <w:p w14:paraId="0B7CD1C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A60046D" w14:textId="77777777" w:rsidTr="00253EF4">
        <w:trPr>
          <w:trHeight w:val="300"/>
          <w:jc w:val="center"/>
        </w:trPr>
        <w:tc>
          <w:tcPr>
            <w:tcW w:w="1086" w:type="pct"/>
            <w:tcBorders>
              <w:top w:val="nil"/>
              <w:left w:val="single" w:sz="4" w:space="0" w:color="auto"/>
              <w:bottom w:val="single" w:sz="4" w:space="0" w:color="auto"/>
              <w:right w:val="single" w:sz="4" w:space="0" w:color="auto"/>
            </w:tcBorders>
            <w:noWrap/>
            <w:vAlign w:val="bottom"/>
            <w:hideMark/>
          </w:tcPr>
          <w:p w14:paraId="0828BCC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625" w:type="pct"/>
            <w:tcBorders>
              <w:top w:val="nil"/>
              <w:left w:val="nil"/>
              <w:bottom w:val="single" w:sz="4" w:space="0" w:color="auto"/>
              <w:right w:val="single" w:sz="4" w:space="0" w:color="auto"/>
            </w:tcBorders>
            <w:noWrap/>
            <w:vAlign w:val="bottom"/>
            <w:hideMark/>
          </w:tcPr>
          <w:p w14:paraId="1DDFD51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25,46</w:t>
            </w:r>
          </w:p>
        </w:tc>
        <w:tc>
          <w:tcPr>
            <w:tcW w:w="625" w:type="pct"/>
            <w:tcBorders>
              <w:top w:val="nil"/>
              <w:left w:val="nil"/>
              <w:bottom w:val="single" w:sz="4" w:space="0" w:color="auto"/>
              <w:right w:val="single" w:sz="4" w:space="0" w:color="auto"/>
            </w:tcBorders>
            <w:noWrap/>
            <w:vAlign w:val="bottom"/>
            <w:hideMark/>
          </w:tcPr>
          <w:p w14:paraId="2EFEE4A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997" w:type="pct"/>
            <w:tcBorders>
              <w:top w:val="nil"/>
              <w:left w:val="nil"/>
              <w:bottom w:val="single" w:sz="4" w:space="0" w:color="auto"/>
              <w:right w:val="single" w:sz="4" w:space="0" w:color="auto"/>
            </w:tcBorders>
            <w:noWrap/>
            <w:vAlign w:val="bottom"/>
            <w:hideMark/>
          </w:tcPr>
          <w:p w14:paraId="0396492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c>
          <w:tcPr>
            <w:tcW w:w="376" w:type="pct"/>
            <w:tcBorders>
              <w:top w:val="nil"/>
              <w:left w:val="nil"/>
              <w:bottom w:val="single" w:sz="4" w:space="0" w:color="auto"/>
              <w:right w:val="single" w:sz="4" w:space="0" w:color="auto"/>
            </w:tcBorders>
            <w:noWrap/>
            <w:vAlign w:val="bottom"/>
            <w:hideMark/>
          </w:tcPr>
          <w:p w14:paraId="37808A3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0" w:type="pct"/>
            <w:tcBorders>
              <w:top w:val="nil"/>
              <w:left w:val="nil"/>
              <w:bottom w:val="single" w:sz="4" w:space="0" w:color="auto"/>
              <w:right w:val="single" w:sz="4" w:space="0" w:color="auto"/>
            </w:tcBorders>
            <w:noWrap/>
            <w:vAlign w:val="bottom"/>
            <w:hideMark/>
          </w:tcPr>
          <w:p w14:paraId="5943839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31" w:type="pct"/>
            <w:tcBorders>
              <w:top w:val="nil"/>
              <w:left w:val="nil"/>
              <w:bottom w:val="single" w:sz="4" w:space="0" w:color="auto"/>
              <w:right w:val="single" w:sz="4" w:space="0" w:color="auto"/>
            </w:tcBorders>
            <w:noWrap/>
            <w:vAlign w:val="bottom"/>
            <w:hideMark/>
          </w:tcPr>
          <w:p w14:paraId="0E1D5F9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431" w:type="pct"/>
            <w:tcBorders>
              <w:top w:val="nil"/>
              <w:left w:val="nil"/>
              <w:bottom w:val="single" w:sz="4" w:space="0" w:color="auto"/>
              <w:right w:val="single" w:sz="4" w:space="0" w:color="auto"/>
            </w:tcBorders>
            <w:noWrap/>
            <w:vAlign w:val="bottom"/>
            <w:hideMark/>
          </w:tcPr>
          <w:p w14:paraId="17E86B1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ECCBD59" w14:textId="77777777" w:rsidTr="00253EF4">
        <w:trPr>
          <w:trHeight w:val="300"/>
          <w:jc w:val="center"/>
        </w:trPr>
        <w:tc>
          <w:tcPr>
            <w:tcW w:w="1086" w:type="pct"/>
            <w:tcBorders>
              <w:top w:val="nil"/>
              <w:left w:val="single" w:sz="4" w:space="0" w:color="auto"/>
              <w:bottom w:val="single" w:sz="4" w:space="0" w:color="auto"/>
              <w:right w:val="single" w:sz="4" w:space="0" w:color="auto"/>
            </w:tcBorders>
            <w:noWrap/>
            <w:vAlign w:val="bottom"/>
            <w:hideMark/>
          </w:tcPr>
          <w:p w14:paraId="6096AB9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625" w:type="pct"/>
            <w:tcBorders>
              <w:top w:val="nil"/>
              <w:left w:val="nil"/>
              <w:bottom w:val="single" w:sz="4" w:space="0" w:color="auto"/>
              <w:right w:val="single" w:sz="4" w:space="0" w:color="auto"/>
            </w:tcBorders>
            <w:noWrap/>
            <w:vAlign w:val="bottom"/>
            <w:hideMark/>
          </w:tcPr>
          <w:p w14:paraId="0F42234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28,81</w:t>
            </w:r>
          </w:p>
        </w:tc>
        <w:tc>
          <w:tcPr>
            <w:tcW w:w="625" w:type="pct"/>
            <w:tcBorders>
              <w:top w:val="nil"/>
              <w:left w:val="nil"/>
              <w:bottom w:val="single" w:sz="4" w:space="0" w:color="auto"/>
              <w:right w:val="single" w:sz="4" w:space="0" w:color="auto"/>
            </w:tcBorders>
            <w:noWrap/>
            <w:vAlign w:val="bottom"/>
            <w:hideMark/>
          </w:tcPr>
          <w:p w14:paraId="774FA5E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997" w:type="pct"/>
            <w:tcBorders>
              <w:top w:val="nil"/>
              <w:left w:val="nil"/>
              <w:bottom w:val="single" w:sz="4" w:space="0" w:color="auto"/>
              <w:right w:val="single" w:sz="4" w:space="0" w:color="auto"/>
            </w:tcBorders>
            <w:noWrap/>
            <w:vAlign w:val="bottom"/>
            <w:hideMark/>
          </w:tcPr>
          <w:p w14:paraId="459C12E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1,93</w:t>
            </w:r>
          </w:p>
        </w:tc>
        <w:tc>
          <w:tcPr>
            <w:tcW w:w="376" w:type="pct"/>
            <w:tcBorders>
              <w:top w:val="nil"/>
              <w:left w:val="nil"/>
              <w:bottom w:val="single" w:sz="4" w:space="0" w:color="auto"/>
              <w:right w:val="single" w:sz="4" w:space="0" w:color="auto"/>
            </w:tcBorders>
            <w:noWrap/>
            <w:vAlign w:val="bottom"/>
            <w:hideMark/>
          </w:tcPr>
          <w:p w14:paraId="0F8D806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0" w:type="pct"/>
            <w:tcBorders>
              <w:top w:val="nil"/>
              <w:left w:val="nil"/>
              <w:bottom w:val="single" w:sz="4" w:space="0" w:color="auto"/>
              <w:right w:val="single" w:sz="4" w:space="0" w:color="auto"/>
            </w:tcBorders>
            <w:noWrap/>
            <w:vAlign w:val="bottom"/>
            <w:hideMark/>
          </w:tcPr>
          <w:p w14:paraId="4284E05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1" w:type="pct"/>
            <w:tcBorders>
              <w:top w:val="nil"/>
              <w:left w:val="nil"/>
              <w:bottom w:val="single" w:sz="4" w:space="0" w:color="auto"/>
              <w:right w:val="single" w:sz="4" w:space="0" w:color="auto"/>
            </w:tcBorders>
            <w:noWrap/>
            <w:vAlign w:val="bottom"/>
            <w:hideMark/>
          </w:tcPr>
          <w:p w14:paraId="7EA038E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431" w:type="pct"/>
            <w:tcBorders>
              <w:top w:val="nil"/>
              <w:left w:val="nil"/>
              <w:bottom w:val="single" w:sz="4" w:space="0" w:color="auto"/>
              <w:right w:val="single" w:sz="4" w:space="0" w:color="auto"/>
            </w:tcBorders>
            <w:noWrap/>
            <w:vAlign w:val="bottom"/>
            <w:hideMark/>
          </w:tcPr>
          <w:p w14:paraId="63B4166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B870752" w14:textId="77777777" w:rsidTr="00253EF4">
        <w:trPr>
          <w:trHeight w:val="300"/>
          <w:jc w:val="center"/>
        </w:trPr>
        <w:tc>
          <w:tcPr>
            <w:tcW w:w="1086" w:type="pct"/>
            <w:tcBorders>
              <w:top w:val="nil"/>
              <w:left w:val="single" w:sz="4" w:space="0" w:color="auto"/>
              <w:bottom w:val="single" w:sz="4" w:space="0" w:color="auto"/>
              <w:right w:val="single" w:sz="4" w:space="0" w:color="auto"/>
            </w:tcBorders>
            <w:noWrap/>
            <w:vAlign w:val="bottom"/>
            <w:hideMark/>
          </w:tcPr>
          <w:p w14:paraId="5F88B4D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625" w:type="pct"/>
            <w:tcBorders>
              <w:top w:val="nil"/>
              <w:left w:val="nil"/>
              <w:bottom w:val="single" w:sz="4" w:space="0" w:color="auto"/>
              <w:right w:val="single" w:sz="4" w:space="0" w:color="auto"/>
            </w:tcBorders>
            <w:noWrap/>
            <w:vAlign w:val="bottom"/>
            <w:hideMark/>
          </w:tcPr>
          <w:p w14:paraId="1A8E1D6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37,58</w:t>
            </w:r>
          </w:p>
        </w:tc>
        <w:tc>
          <w:tcPr>
            <w:tcW w:w="625" w:type="pct"/>
            <w:tcBorders>
              <w:top w:val="nil"/>
              <w:left w:val="nil"/>
              <w:bottom w:val="single" w:sz="4" w:space="0" w:color="auto"/>
              <w:right w:val="single" w:sz="4" w:space="0" w:color="auto"/>
            </w:tcBorders>
            <w:noWrap/>
            <w:vAlign w:val="bottom"/>
            <w:hideMark/>
          </w:tcPr>
          <w:p w14:paraId="5909EF7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997" w:type="pct"/>
            <w:tcBorders>
              <w:top w:val="nil"/>
              <w:left w:val="nil"/>
              <w:bottom w:val="single" w:sz="4" w:space="0" w:color="auto"/>
              <w:right w:val="single" w:sz="4" w:space="0" w:color="auto"/>
            </w:tcBorders>
            <w:noWrap/>
            <w:vAlign w:val="bottom"/>
            <w:hideMark/>
          </w:tcPr>
          <w:p w14:paraId="6D33E71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2,72</w:t>
            </w:r>
          </w:p>
        </w:tc>
        <w:tc>
          <w:tcPr>
            <w:tcW w:w="376" w:type="pct"/>
            <w:tcBorders>
              <w:top w:val="nil"/>
              <w:left w:val="nil"/>
              <w:bottom w:val="single" w:sz="4" w:space="0" w:color="auto"/>
              <w:right w:val="single" w:sz="4" w:space="0" w:color="auto"/>
            </w:tcBorders>
            <w:noWrap/>
            <w:vAlign w:val="bottom"/>
            <w:hideMark/>
          </w:tcPr>
          <w:p w14:paraId="7B3649A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0" w:type="pct"/>
            <w:tcBorders>
              <w:top w:val="nil"/>
              <w:left w:val="nil"/>
              <w:bottom w:val="single" w:sz="4" w:space="0" w:color="auto"/>
              <w:right w:val="single" w:sz="4" w:space="0" w:color="auto"/>
            </w:tcBorders>
            <w:noWrap/>
            <w:vAlign w:val="bottom"/>
            <w:hideMark/>
          </w:tcPr>
          <w:p w14:paraId="6CB4914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1" w:type="pct"/>
            <w:tcBorders>
              <w:top w:val="nil"/>
              <w:left w:val="nil"/>
              <w:bottom w:val="single" w:sz="4" w:space="0" w:color="auto"/>
              <w:right w:val="single" w:sz="4" w:space="0" w:color="auto"/>
            </w:tcBorders>
            <w:noWrap/>
            <w:vAlign w:val="bottom"/>
            <w:hideMark/>
          </w:tcPr>
          <w:p w14:paraId="6635B27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1" w:type="pct"/>
            <w:tcBorders>
              <w:top w:val="nil"/>
              <w:left w:val="nil"/>
              <w:bottom w:val="single" w:sz="4" w:space="0" w:color="auto"/>
              <w:right w:val="single" w:sz="4" w:space="0" w:color="auto"/>
            </w:tcBorders>
            <w:noWrap/>
            <w:vAlign w:val="bottom"/>
            <w:hideMark/>
          </w:tcPr>
          <w:p w14:paraId="350BAA0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r w:rsidR="00C82BCC" w14:paraId="21DA770D" w14:textId="77777777" w:rsidTr="00253EF4">
        <w:trPr>
          <w:trHeight w:val="300"/>
          <w:jc w:val="center"/>
        </w:trPr>
        <w:tc>
          <w:tcPr>
            <w:tcW w:w="1086" w:type="pct"/>
            <w:tcBorders>
              <w:top w:val="nil"/>
              <w:left w:val="single" w:sz="4" w:space="0" w:color="auto"/>
              <w:bottom w:val="single" w:sz="4" w:space="0" w:color="auto"/>
              <w:right w:val="single" w:sz="4" w:space="0" w:color="auto"/>
            </w:tcBorders>
            <w:noWrap/>
            <w:vAlign w:val="bottom"/>
            <w:hideMark/>
          </w:tcPr>
          <w:p w14:paraId="2630856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625" w:type="pct"/>
            <w:tcBorders>
              <w:top w:val="nil"/>
              <w:left w:val="nil"/>
              <w:bottom w:val="single" w:sz="4" w:space="0" w:color="auto"/>
              <w:right w:val="single" w:sz="4" w:space="0" w:color="auto"/>
            </w:tcBorders>
            <w:noWrap/>
            <w:vAlign w:val="bottom"/>
            <w:hideMark/>
          </w:tcPr>
          <w:p w14:paraId="2E7B2F4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40,27</w:t>
            </w:r>
          </w:p>
        </w:tc>
        <w:tc>
          <w:tcPr>
            <w:tcW w:w="625" w:type="pct"/>
            <w:tcBorders>
              <w:top w:val="nil"/>
              <w:left w:val="nil"/>
              <w:bottom w:val="single" w:sz="4" w:space="0" w:color="auto"/>
              <w:right w:val="single" w:sz="4" w:space="0" w:color="auto"/>
            </w:tcBorders>
            <w:noWrap/>
            <w:vAlign w:val="bottom"/>
            <w:hideMark/>
          </w:tcPr>
          <w:p w14:paraId="46D2066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997" w:type="pct"/>
            <w:tcBorders>
              <w:top w:val="nil"/>
              <w:left w:val="nil"/>
              <w:bottom w:val="single" w:sz="4" w:space="0" w:color="auto"/>
              <w:right w:val="single" w:sz="4" w:space="0" w:color="auto"/>
            </w:tcBorders>
            <w:noWrap/>
            <w:vAlign w:val="bottom"/>
            <w:hideMark/>
          </w:tcPr>
          <w:p w14:paraId="024D1D3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2,72</w:t>
            </w:r>
          </w:p>
        </w:tc>
        <w:tc>
          <w:tcPr>
            <w:tcW w:w="376" w:type="pct"/>
            <w:tcBorders>
              <w:top w:val="nil"/>
              <w:left w:val="nil"/>
              <w:bottom w:val="single" w:sz="4" w:space="0" w:color="auto"/>
              <w:right w:val="single" w:sz="4" w:space="0" w:color="auto"/>
            </w:tcBorders>
            <w:noWrap/>
            <w:vAlign w:val="bottom"/>
            <w:hideMark/>
          </w:tcPr>
          <w:p w14:paraId="6366F23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0" w:type="pct"/>
            <w:tcBorders>
              <w:top w:val="nil"/>
              <w:left w:val="nil"/>
              <w:bottom w:val="single" w:sz="4" w:space="0" w:color="auto"/>
              <w:right w:val="single" w:sz="4" w:space="0" w:color="auto"/>
            </w:tcBorders>
            <w:noWrap/>
            <w:vAlign w:val="bottom"/>
            <w:hideMark/>
          </w:tcPr>
          <w:p w14:paraId="7F661D8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1" w:type="pct"/>
            <w:tcBorders>
              <w:top w:val="nil"/>
              <w:left w:val="nil"/>
              <w:bottom w:val="single" w:sz="4" w:space="0" w:color="auto"/>
              <w:right w:val="single" w:sz="4" w:space="0" w:color="auto"/>
            </w:tcBorders>
            <w:noWrap/>
            <w:vAlign w:val="bottom"/>
            <w:hideMark/>
          </w:tcPr>
          <w:p w14:paraId="0B87280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31" w:type="pct"/>
            <w:tcBorders>
              <w:top w:val="nil"/>
              <w:left w:val="nil"/>
              <w:bottom w:val="single" w:sz="4" w:space="0" w:color="auto"/>
              <w:right w:val="single" w:sz="4" w:space="0" w:color="auto"/>
            </w:tcBorders>
            <w:noWrap/>
            <w:vAlign w:val="bottom"/>
            <w:hideMark/>
          </w:tcPr>
          <w:p w14:paraId="5B17245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bl>
    <w:p w14:paraId="440C543C" w14:textId="4A29091E" w:rsidR="00253EF4" w:rsidRDefault="00C82BCC" w:rsidP="00253EF4">
      <w:pPr>
        <w:autoSpaceDE w:val="0"/>
        <w:autoSpaceDN w:val="0"/>
        <w:adjustRightInd w:val="0"/>
        <w:spacing w:after="0" w:line="360" w:lineRule="auto"/>
        <w:rPr>
          <w:rFonts w:cs="Times New Roman"/>
          <w:szCs w:val="24"/>
        </w:rPr>
      </w:pPr>
      <w:r>
        <w:rPr>
          <w:rFonts w:cs="Times New Roman"/>
          <w:szCs w:val="24"/>
        </w:rPr>
        <w:t>Medias con una letra común no son signific</w:t>
      </w:r>
      <w:r w:rsidR="00253EF4">
        <w:rPr>
          <w:rFonts w:cs="Times New Roman"/>
          <w:szCs w:val="24"/>
        </w:rPr>
        <w:t>ativamente diferentes (p &gt; 0,05)</w:t>
      </w:r>
    </w:p>
    <w:p w14:paraId="1D8552B5" w14:textId="75CD549C" w:rsidR="00253EF4" w:rsidRPr="00253EF4" w:rsidRDefault="00253EF4" w:rsidP="00732356">
      <w:pPr>
        <w:autoSpaceDE w:val="0"/>
        <w:autoSpaceDN w:val="0"/>
        <w:adjustRightInd w:val="0"/>
        <w:spacing w:before="360" w:after="0" w:line="360" w:lineRule="auto"/>
        <w:rPr>
          <w:rFonts w:cs="Times New Roman"/>
          <w:szCs w:val="24"/>
        </w:rPr>
      </w:pPr>
      <w:bookmarkStart w:id="1949" w:name="_Toc79314131"/>
      <w:r w:rsidRPr="00253EF4">
        <w:rPr>
          <w:rFonts w:cs="Times New Roman"/>
          <w:b/>
          <w:szCs w:val="24"/>
        </w:rPr>
        <w:t xml:space="preserve">Cuadro </w:t>
      </w:r>
      <w:r w:rsidRPr="00253EF4">
        <w:rPr>
          <w:rFonts w:cs="Times New Roman"/>
          <w:b/>
          <w:szCs w:val="24"/>
        </w:rPr>
        <w:fldChar w:fldCharType="begin"/>
      </w:r>
      <w:r w:rsidRPr="00253EF4">
        <w:rPr>
          <w:rFonts w:cs="Times New Roman"/>
          <w:b/>
          <w:szCs w:val="24"/>
        </w:rPr>
        <w:instrText xml:space="preserve"> SEQ Cuadro \* ARABIC </w:instrText>
      </w:r>
      <w:r w:rsidRPr="00253EF4">
        <w:rPr>
          <w:rFonts w:cs="Times New Roman"/>
          <w:b/>
          <w:szCs w:val="24"/>
        </w:rPr>
        <w:fldChar w:fldCharType="separate"/>
      </w:r>
      <w:r w:rsidR="000D1F55">
        <w:rPr>
          <w:rFonts w:cs="Times New Roman"/>
          <w:b/>
          <w:noProof/>
          <w:szCs w:val="24"/>
        </w:rPr>
        <w:t>139</w:t>
      </w:r>
      <w:r w:rsidRPr="00253EF4">
        <w:rPr>
          <w:rFonts w:cs="Times New Roman"/>
          <w:b/>
          <w:szCs w:val="24"/>
        </w:rPr>
        <w:fldChar w:fldCharType="end"/>
      </w:r>
      <w:r w:rsidRPr="00253EF4">
        <w:rPr>
          <w:rFonts w:cs="Times New Roman"/>
          <w:b/>
          <w:szCs w:val="24"/>
        </w:rPr>
        <w:t xml:space="preserve">. </w:t>
      </w:r>
      <w:r w:rsidRPr="00253EF4">
        <w:rPr>
          <w:rFonts w:cs="Times New Roman"/>
          <w:szCs w:val="24"/>
        </w:rPr>
        <w:t>Absorción total de magnesio de maíz suave para diversas dosis de potasio evaluadas en la provincia de Imbabura 2010-2015.</w:t>
      </w:r>
      <w:bookmarkEnd w:id="1949"/>
    </w:p>
    <w:tbl>
      <w:tblPr>
        <w:tblW w:w="5000" w:type="pct"/>
        <w:jc w:val="center"/>
        <w:tblCellMar>
          <w:left w:w="70" w:type="dxa"/>
          <w:right w:w="70" w:type="dxa"/>
        </w:tblCellMar>
        <w:tblLook w:val="04A0" w:firstRow="1" w:lastRow="0" w:firstColumn="1" w:lastColumn="0" w:noHBand="0" w:noVBand="1"/>
      </w:tblPr>
      <w:tblGrid>
        <w:gridCol w:w="1881"/>
        <w:gridCol w:w="888"/>
        <w:gridCol w:w="916"/>
        <w:gridCol w:w="1693"/>
        <w:gridCol w:w="916"/>
        <w:gridCol w:w="1007"/>
        <w:gridCol w:w="626"/>
      </w:tblGrid>
      <w:tr w:rsidR="00C82BCC" w14:paraId="3117A023" w14:textId="77777777" w:rsidTr="00253EF4">
        <w:trPr>
          <w:trHeight w:val="300"/>
          <w:jc w:val="center"/>
        </w:trPr>
        <w:tc>
          <w:tcPr>
            <w:tcW w:w="1107" w:type="pct"/>
            <w:tcBorders>
              <w:top w:val="single" w:sz="4" w:space="0" w:color="auto"/>
              <w:left w:val="single" w:sz="4" w:space="0" w:color="auto"/>
              <w:bottom w:val="single" w:sz="4" w:space="0" w:color="auto"/>
              <w:right w:val="single" w:sz="4" w:space="0" w:color="auto"/>
            </w:tcBorders>
            <w:noWrap/>
            <w:vAlign w:val="bottom"/>
            <w:hideMark/>
          </w:tcPr>
          <w:p w14:paraId="650EE62A"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608" w:type="pct"/>
            <w:tcBorders>
              <w:top w:val="single" w:sz="4" w:space="0" w:color="auto"/>
              <w:left w:val="nil"/>
              <w:bottom w:val="single" w:sz="4" w:space="0" w:color="auto"/>
              <w:right w:val="single" w:sz="4" w:space="0" w:color="auto"/>
            </w:tcBorders>
            <w:noWrap/>
            <w:vAlign w:val="bottom"/>
            <w:hideMark/>
          </w:tcPr>
          <w:p w14:paraId="07A0D737"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26" w:type="pct"/>
            <w:tcBorders>
              <w:top w:val="single" w:sz="4" w:space="0" w:color="auto"/>
              <w:left w:val="nil"/>
              <w:bottom w:val="single" w:sz="4" w:space="0" w:color="auto"/>
              <w:right w:val="single" w:sz="4" w:space="0" w:color="auto"/>
            </w:tcBorders>
            <w:noWrap/>
            <w:vAlign w:val="bottom"/>
            <w:hideMark/>
          </w:tcPr>
          <w:p w14:paraId="406D196B"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997" w:type="pct"/>
            <w:tcBorders>
              <w:top w:val="single" w:sz="4" w:space="0" w:color="auto"/>
              <w:left w:val="nil"/>
              <w:bottom w:val="single" w:sz="4" w:space="0" w:color="auto"/>
              <w:right w:val="single" w:sz="4" w:space="0" w:color="auto"/>
            </w:tcBorders>
            <w:noWrap/>
            <w:vAlign w:val="bottom"/>
            <w:hideMark/>
          </w:tcPr>
          <w:p w14:paraId="3474FFCE"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626" w:type="pct"/>
            <w:tcBorders>
              <w:top w:val="single" w:sz="4" w:space="0" w:color="auto"/>
              <w:left w:val="single" w:sz="4" w:space="0" w:color="auto"/>
              <w:bottom w:val="single" w:sz="4" w:space="0" w:color="auto"/>
              <w:right w:val="nil"/>
            </w:tcBorders>
            <w:noWrap/>
            <w:vAlign w:val="bottom"/>
            <w:hideMark/>
          </w:tcPr>
          <w:p w14:paraId="078644D3"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593" w:type="pct"/>
            <w:tcBorders>
              <w:top w:val="single" w:sz="4" w:space="0" w:color="auto"/>
              <w:left w:val="nil"/>
              <w:bottom w:val="single" w:sz="4" w:space="0" w:color="auto"/>
              <w:right w:val="nil"/>
            </w:tcBorders>
            <w:noWrap/>
            <w:vAlign w:val="bottom"/>
            <w:hideMark/>
          </w:tcPr>
          <w:p w14:paraId="450B14F7"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Lsd 0,05  </w:t>
            </w:r>
          </w:p>
        </w:tc>
        <w:tc>
          <w:tcPr>
            <w:tcW w:w="443" w:type="pct"/>
            <w:tcBorders>
              <w:top w:val="single" w:sz="4" w:space="0" w:color="auto"/>
              <w:left w:val="nil"/>
              <w:bottom w:val="single" w:sz="4" w:space="0" w:color="auto"/>
              <w:right w:val="single" w:sz="4" w:space="0" w:color="auto"/>
            </w:tcBorders>
            <w:noWrap/>
            <w:vAlign w:val="bottom"/>
            <w:hideMark/>
          </w:tcPr>
          <w:p w14:paraId="5530180D"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039C6312" w14:textId="77777777" w:rsidTr="00253EF4">
        <w:trPr>
          <w:trHeight w:val="300"/>
          <w:jc w:val="center"/>
        </w:trPr>
        <w:tc>
          <w:tcPr>
            <w:tcW w:w="1107" w:type="pct"/>
            <w:tcBorders>
              <w:top w:val="nil"/>
              <w:left w:val="single" w:sz="4" w:space="0" w:color="auto"/>
              <w:bottom w:val="single" w:sz="4" w:space="0" w:color="auto"/>
              <w:right w:val="single" w:sz="4" w:space="0" w:color="auto"/>
            </w:tcBorders>
            <w:noWrap/>
            <w:vAlign w:val="bottom"/>
            <w:hideMark/>
          </w:tcPr>
          <w:p w14:paraId="72672A6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608" w:type="pct"/>
            <w:tcBorders>
              <w:top w:val="nil"/>
              <w:left w:val="nil"/>
              <w:bottom w:val="single" w:sz="4" w:space="0" w:color="auto"/>
              <w:right w:val="single" w:sz="4" w:space="0" w:color="auto"/>
            </w:tcBorders>
            <w:noWrap/>
            <w:vAlign w:val="bottom"/>
            <w:hideMark/>
          </w:tcPr>
          <w:p w14:paraId="7AD229B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13,15</w:t>
            </w:r>
          </w:p>
        </w:tc>
        <w:tc>
          <w:tcPr>
            <w:tcW w:w="626" w:type="pct"/>
            <w:tcBorders>
              <w:top w:val="nil"/>
              <w:left w:val="nil"/>
              <w:bottom w:val="single" w:sz="4" w:space="0" w:color="auto"/>
              <w:right w:val="single" w:sz="4" w:space="0" w:color="auto"/>
            </w:tcBorders>
            <w:noWrap/>
            <w:vAlign w:val="bottom"/>
            <w:hideMark/>
          </w:tcPr>
          <w:p w14:paraId="6B969D1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997" w:type="pct"/>
            <w:tcBorders>
              <w:top w:val="nil"/>
              <w:left w:val="nil"/>
              <w:bottom w:val="single" w:sz="4" w:space="0" w:color="auto"/>
              <w:right w:val="single" w:sz="4" w:space="0" w:color="auto"/>
            </w:tcBorders>
            <w:noWrap/>
            <w:vAlign w:val="bottom"/>
            <w:hideMark/>
          </w:tcPr>
          <w:p w14:paraId="0C15F00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1,11</w:t>
            </w:r>
          </w:p>
        </w:tc>
        <w:tc>
          <w:tcPr>
            <w:tcW w:w="626" w:type="pct"/>
            <w:tcBorders>
              <w:top w:val="single" w:sz="4" w:space="0" w:color="auto"/>
              <w:left w:val="nil"/>
              <w:bottom w:val="single" w:sz="4" w:space="0" w:color="auto"/>
              <w:right w:val="single" w:sz="4" w:space="0" w:color="auto"/>
            </w:tcBorders>
            <w:noWrap/>
            <w:vAlign w:val="bottom"/>
            <w:hideMark/>
          </w:tcPr>
          <w:p w14:paraId="40A4E5B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593" w:type="pct"/>
            <w:tcBorders>
              <w:top w:val="single" w:sz="4" w:space="0" w:color="auto"/>
              <w:left w:val="nil"/>
              <w:bottom w:val="single" w:sz="4" w:space="0" w:color="auto"/>
              <w:right w:val="single" w:sz="4" w:space="0" w:color="auto"/>
            </w:tcBorders>
            <w:noWrap/>
            <w:vAlign w:val="bottom"/>
            <w:hideMark/>
          </w:tcPr>
          <w:p w14:paraId="110DCD1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43" w:type="pct"/>
            <w:tcBorders>
              <w:top w:val="single" w:sz="4" w:space="0" w:color="auto"/>
              <w:left w:val="nil"/>
              <w:bottom w:val="single" w:sz="4" w:space="0" w:color="auto"/>
              <w:right w:val="single" w:sz="4" w:space="0" w:color="auto"/>
            </w:tcBorders>
            <w:noWrap/>
            <w:vAlign w:val="bottom"/>
            <w:hideMark/>
          </w:tcPr>
          <w:p w14:paraId="5982A26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EC52980" w14:textId="77777777" w:rsidTr="00253EF4">
        <w:trPr>
          <w:trHeight w:val="300"/>
          <w:jc w:val="center"/>
        </w:trPr>
        <w:tc>
          <w:tcPr>
            <w:tcW w:w="1107" w:type="pct"/>
            <w:tcBorders>
              <w:top w:val="nil"/>
              <w:left w:val="single" w:sz="4" w:space="0" w:color="auto"/>
              <w:bottom w:val="single" w:sz="4" w:space="0" w:color="auto"/>
              <w:right w:val="single" w:sz="4" w:space="0" w:color="auto"/>
            </w:tcBorders>
            <w:noWrap/>
            <w:vAlign w:val="bottom"/>
            <w:hideMark/>
          </w:tcPr>
          <w:p w14:paraId="2191585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608" w:type="pct"/>
            <w:tcBorders>
              <w:top w:val="nil"/>
              <w:left w:val="nil"/>
              <w:bottom w:val="single" w:sz="4" w:space="0" w:color="auto"/>
              <w:right w:val="single" w:sz="4" w:space="0" w:color="auto"/>
            </w:tcBorders>
            <w:noWrap/>
            <w:vAlign w:val="bottom"/>
            <w:hideMark/>
          </w:tcPr>
          <w:p w14:paraId="5FF7FC2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24,31</w:t>
            </w:r>
          </w:p>
        </w:tc>
        <w:tc>
          <w:tcPr>
            <w:tcW w:w="626" w:type="pct"/>
            <w:tcBorders>
              <w:top w:val="nil"/>
              <w:left w:val="nil"/>
              <w:bottom w:val="single" w:sz="4" w:space="0" w:color="auto"/>
              <w:right w:val="single" w:sz="4" w:space="0" w:color="auto"/>
            </w:tcBorders>
            <w:noWrap/>
            <w:vAlign w:val="bottom"/>
            <w:hideMark/>
          </w:tcPr>
          <w:p w14:paraId="4790E3C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997" w:type="pct"/>
            <w:tcBorders>
              <w:top w:val="nil"/>
              <w:left w:val="nil"/>
              <w:bottom w:val="single" w:sz="4" w:space="0" w:color="auto"/>
              <w:right w:val="single" w:sz="4" w:space="0" w:color="auto"/>
            </w:tcBorders>
            <w:noWrap/>
            <w:vAlign w:val="bottom"/>
            <w:hideMark/>
          </w:tcPr>
          <w:p w14:paraId="1C7FC01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0,63</w:t>
            </w:r>
          </w:p>
        </w:tc>
        <w:tc>
          <w:tcPr>
            <w:tcW w:w="626" w:type="pct"/>
            <w:tcBorders>
              <w:top w:val="nil"/>
              <w:left w:val="nil"/>
              <w:bottom w:val="single" w:sz="4" w:space="0" w:color="auto"/>
              <w:right w:val="single" w:sz="4" w:space="0" w:color="auto"/>
            </w:tcBorders>
            <w:noWrap/>
            <w:vAlign w:val="bottom"/>
            <w:hideMark/>
          </w:tcPr>
          <w:p w14:paraId="6BF9B21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93" w:type="pct"/>
            <w:tcBorders>
              <w:top w:val="nil"/>
              <w:left w:val="nil"/>
              <w:bottom w:val="single" w:sz="4" w:space="0" w:color="auto"/>
              <w:right w:val="single" w:sz="4" w:space="0" w:color="auto"/>
            </w:tcBorders>
            <w:noWrap/>
            <w:vAlign w:val="bottom"/>
            <w:hideMark/>
          </w:tcPr>
          <w:p w14:paraId="6531CD8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443" w:type="pct"/>
            <w:tcBorders>
              <w:top w:val="nil"/>
              <w:left w:val="nil"/>
              <w:bottom w:val="single" w:sz="4" w:space="0" w:color="auto"/>
              <w:right w:val="single" w:sz="4" w:space="0" w:color="auto"/>
            </w:tcBorders>
            <w:noWrap/>
            <w:vAlign w:val="bottom"/>
            <w:hideMark/>
          </w:tcPr>
          <w:p w14:paraId="42A5D40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BB0910A" w14:textId="77777777" w:rsidTr="00253EF4">
        <w:trPr>
          <w:trHeight w:val="300"/>
          <w:jc w:val="center"/>
        </w:trPr>
        <w:tc>
          <w:tcPr>
            <w:tcW w:w="1107" w:type="pct"/>
            <w:tcBorders>
              <w:top w:val="nil"/>
              <w:left w:val="single" w:sz="4" w:space="0" w:color="auto"/>
              <w:bottom w:val="single" w:sz="4" w:space="0" w:color="auto"/>
              <w:right w:val="single" w:sz="4" w:space="0" w:color="auto"/>
            </w:tcBorders>
            <w:noWrap/>
            <w:vAlign w:val="bottom"/>
            <w:hideMark/>
          </w:tcPr>
          <w:p w14:paraId="1CD5FC7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608" w:type="pct"/>
            <w:tcBorders>
              <w:top w:val="nil"/>
              <w:left w:val="nil"/>
              <w:bottom w:val="single" w:sz="4" w:space="0" w:color="auto"/>
              <w:right w:val="single" w:sz="4" w:space="0" w:color="auto"/>
            </w:tcBorders>
            <w:noWrap/>
            <w:vAlign w:val="bottom"/>
            <w:hideMark/>
          </w:tcPr>
          <w:p w14:paraId="58439A3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26,78</w:t>
            </w:r>
          </w:p>
        </w:tc>
        <w:tc>
          <w:tcPr>
            <w:tcW w:w="626" w:type="pct"/>
            <w:tcBorders>
              <w:top w:val="nil"/>
              <w:left w:val="nil"/>
              <w:bottom w:val="single" w:sz="4" w:space="0" w:color="auto"/>
              <w:right w:val="single" w:sz="4" w:space="0" w:color="auto"/>
            </w:tcBorders>
            <w:noWrap/>
            <w:vAlign w:val="bottom"/>
            <w:hideMark/>
          </w:tcPr>
          <w:p w14:paraId="34808EF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997" w:type="pct"/>
            <w:tcBorders>
              <w:top w:val="nil"/>
              <w:left w:val="nil"/>
              <w:bottom w:val="single" w:sz="4" w:space="0" w:color="auto"/>
              <w:right w:val="single" w:sz="4" w:space="0" w:color="auto"/>
            </w:tcBorders>
            <w:noWrap/>
            <w:vAlign w:val="bottom"/>
            <w:hideMark/>
          </w:tcPr>
          <w:p w14:paraId="42F9892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0,54</w:t>
            </w:r>
          </w:p>
        </w:tc>
        <w:tc>
          <w:tcPr>
            <w:tcW w:w="626" w:type="pct"/>
            <w:tcBorders>
              <w:top w:val="nil"/>
              <w:left w:val="nil"/>
              <w:bottom w:val="single" w:sz="4" w:space="0" w:color="auto"/>
              <w:right w:val="single" w:sz="4" w:space="0" w:color="auto"/>
            </w:tcBorders>
            <w:noWrap/>
            <w:vAlign w:val="bottom"/>
            <w:hideMark/>
          </w:tcPr>
          <w:p w14:paraId="7A0F547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93" w:type="pct"/>
            <w:tcBorders>
              <w:top w:val="nil"/>
              <w:left w:val="nil"/>
              <w:bottom w:val="single" w:sz="4" w:space="0" w:color="auto"/>
              <w:right w:val="single" w:sz="4" w:space="0" w:color="auto"/>
            </w:tcBorders>
            <w:noWrap/>
            <w:vAlign w:val="bottom"/>
            <w:hideMark/>
          </w:tcPr>
          <w:p w14:paraId="3928350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43" w:type="pct"/>
            <w:tcBorders>
              <w:top w:val="nil"/>
              <w:left w:val="nil"/>
              <w:bottom w:val="single" w:sz="4" w:space="0" w:color="auto"/>
              <w:right w:val="single" w:sz="4" w:space="0" w:color="auto"/>
            </w:tcBorders>
            <w:noWrap/>
            <w:vAlign w:val="bottom"/>
            <w:hideMark/>
          </w:tcPr>
          <w:p w14:paraId="5686C7E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r w:rsidR="00C82BCC" w14:paraId="4662E9AC" w14:textId="77777777" w:rsidTr="00253EF4">
        <w:trPr>
          <w:trHeight w:val="300"/>
          <w:jc w:val="center"/>
        </w:trPr>
        <w:tc>
          <w:tcPr>
            <w:tcW w:w="1107" w:type="pct"/>
            <w:tcBorders>
              <w:top w:val="nil"/>
              <w:left w:val="single" w:sz="4" w:space="0" w:color="auto"/>
              <w:bottom w:val="single" w:sz="4" w:space="0" w:color="auto"/>
              <w:right w:val="single" w:sz="4" w:space="0" w:color="auto"/>
            </w:tcBorders>
            <w:noWrap/>
            <w:vAlign w:val="bottom"/>
            <w:hideMark/>
          </w:tcPr>
          <w:p w14:paraId="0FB8DA1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608" w:type="pct"/>
            <w:tcBorders>
              <w:top w:val="nil"/>
              <w:left w:val="nil"/>
              <w:bottom w:val="single" w:sz="4" w:space="0" w:color="auto"/>
              <w:right w:val="single" w:sz="4" w:space="0" w:color="auto"/>
            </w:tcBorders>
            <w:noWrap/>
            <w:vAlign w:val="bottom"/>
            <w:hideMark/>
          </w:tcPr>
          <w:p w14:paraId="41946E3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27,67</w:t>
            </w:r>
          </w:p>
        </w:tc>
        <w:tc>
          <w:tcPr>
            <w:tcW w:w="626" w:type="pct"/>
            <w:tcBorders>
              <w:top w:val="nil"/>
              <w:left w:val="nil"/>
              <w:bottom w:val="single" w:sz="4" w:space="0" w:color="auto"/>
              <w:right w:val="single" w:sz="4" w:space="0" w:color="auto"/>
            </w:tcBorders>
            <w:noWrap/>
            <w:vAlign w:val="bottom"/>
            <w:hideMark/>
          </w:tcPr>
          <w:p w14:paraId="7654179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997" w:type="pct"/>
            <w:tcBorders>
              <w:top w:val="nil"/>
              <w:left w:val="nil"/>
              <w:bottom w:val="single" w:sz="4" w:space="0" w:color="auto"/>
              <w:right w:val="single" w:sz="4" w:space="0" w:color="auto"/>
            </w:tcBorders>
            <w:noWrap/>
            <w:vAlign w:val="bottom"/>
            <w:hideMark/>
          </w:tcPr>
          <w:p w14:paraId="131A6BE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0,71</w:t>
            </w:r>
          </w:p>
        </w:tc>
        <w:tc>
          <w:tcPr>
            <w:tcW w:w="626" w:type="pct"/>
            <w:tcBorders>
              <w:top w:val="nil"/>
              <w:left w:val="nil"/>
              <w:bottom w:val="single" w:sz="4" w:space="0" w:color="auto"/>
              <w:right w:val="single" w:sz="4" w:space="0" w:color="auto"/>
            </w:tcBorders>
            <w:noWrap/>
            <w:vAlign w:val="bottom"/>
            <w:hideMark/>
          </w:tcPr>
          <w:p w14:paraId="77AB3C0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93" w:type="pct"/>
            <w:tcBorders>
              <w:top w:val="nil"/>
              <w:left w:val="nil"/>
              <w:bottom w:val="single" w:sz="4" w:space="0" w:color="auto"/>
              <w:right w:val="single" w:sz="4" w:space="0" w:color="auto"/>
            </w:tcBorders>
            <w:noWrap/>
            <w:vAlign w:val="bottom"/>
            <w:hideMark/>
          </w:tcPr>
          <w:p w14:paraId="7F2B166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443" w:type="pct"/>
            <w:tcBorders>
              <w:top w:val="nil"/>
              <w:left w:val="nil"/>
              <w:bottom w:val="single" w:sz="4" w:space="0" w:color="auto"/>
              <w:right w:val="single" w:sz="4" w:space="0" w:color="auto"/>
            </w:tcBorders>
            <w:noWrap/>
            <w:vAlign w:val="bottom"/>
            <w:hideMark/>
          </w:tcPr>
          <w:p w14:paraId="33079EC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0A5DD9DC" w14:textId="219AE8BE" w:rsidR="00253EF4" w:rsidRPr="00253EF4" w:rsidRDefault="00253EF4" w:rsidP="00732356">
      <w:pPr>
        <w:pStyle w:val="Descripcin"/>
        <w:keepNext/>
        <w:spacing w:before="360"/>
        <w:rPr>
          <w:rFonts w:cs="Times New Roman"/>
          <w:i w:val="0"/>
          <w:iCs w:val="0"/>
          <w:color w:val="auto"/>
          <w:sz w:val="24"/>
          <w:szCs w:val="24"/>
          <w:lang w:eastAsia="en-US"/>
        </w:rPr>
      </w:pPr>
      <w:bookmarkStart w:id="1950" w:name="_Toc79314132"/>
      <w:r w:rsidRPr="00253EF4">
        <w:rPr>
          <w:rFonts w:cs="Times New Roman"/>
          <w:b/>
          <w:i w:val="0"/>
          <w:iCs w:val="0"/>
          <w:color w:val="auto"/>
          <w:sz w:val="24"/>
          <w:szCs w:val="24"/>
          <w:lang w:eastAsia="en-US"/>
        </w:rPr>
        <w:lastRenderedPageBreak/>
        <w:t xml:space="preserve">Cuadro </w:t>
      </w:r>
      <w:r w:rsidRPr="00253EF4">
        <w:rPr>
          <w:rFonts w:cs="Times New Roman"/>
          <w:b/>
          <w:i w:val="0"/>
          <w:iCs w:val="0"/>
          <w:color w:val="auto"/>
          <w:sz w:val="24"/>
          <w:szCs w:val="24"/>
          <w:lang w:eastAsia="en-US"/>
        </w:rPr>
        <w:fldChar w:fldCharType="begin"/>
      </w:r>
      <w:r w:rsidRPr="00253EF4">
        <w:rPr>
          <w:rFonts w:cs="Times New Roman"/>
          <w:b/>
          <w:i w:val="0"/>
          <w:iCs w:val="0"/>
          <w:color w:val="auto"/>
          <w:sz w:val="24"/>
          <w:szCs w:val="24"/>
          <w:lang w:eastAsia="en-US"/>
        </w:rPr>
        <w:instrText xml:space="preserve"> SEQ Cuadro \* ARABIC </w:instrText>
      </w:r>
      <w:r w:rsidRPr="00253EF4">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140</w:t>
      </w:r>
      <w:r w:rsidRPr="00253EF4">
        <w:rPr>
          <w:rFonts w:cs="Times New Roman"/>
          <w:b/>
          <w:i w:val="0"/>
          <w:iCs w:val="0"/>
          <w:color w:val="auto"/>
          <w:sz w:val="24"/>
          <w:szCs w:val="24"/>
          <w:lang w:eastAsia="en-US"/>
        </w:rPr>
        <w:fldChar w:fldCharType="end"/>
      </w:r>
      <w:r w:rsidRPr="00253EF4">
        <w:rPr>
          <w:rFonts w:cs="Times New Roman"/>
          <w:b/>
          <w:i w:val="0"/>
          <w:iCs w:val="0"/>
          <w:color w:val="auto"/>
          <w:sz w:val="24"/>
          <w:szCs w:val="24"/>
          <w:lang w:eastAsia="en-US"/>
        </w:rPr>
        <w:t xml:space="preserve">. </w:t>
      </w:r>
      <w:r w:rsidRPr="00253EF4">
        <w:rPr>
          <w:rFonts w:cs="Times New Roman"/>
          <w:i w:val="0"/>
          <w:iCs w:val="0"/>
          <w:color w:val="auto"/>
          <w:sz w:val="24"/>
          <w:szCs w:val="24"/>
          <w:lang w:eastAsia="en-US"/>
        </w:rPr>
        <w:t>Absorción total de magnesio de maíz suave para diversas dosis de azufre evaluadas en la provincia de Imbabura 2010-2015.</w:t>
      </w:r>
      <w:bookmarkEnd w:id="1950"/>
    </w:p>
    <w:tbl>
      <w:tblPr>
        <w:tblW w:w="6091" w:type="dxa"/>
        <w:jc w:val="center"/>
        <w:tblCellMar>
          <w:left w:w="70" w:type="dxa"/>
          <w:right w:w="70" w:type="dxa"/>
        </w:tblCellMar>
        <w:tblLook w:val="04A0" w:firstRow="1" w:lastRow="0" w:firstColumn="1" w:lastColumn="0" w:noHBand="0" w:noVBand="1"/>
      </w:tblPr>
      <w:tblGrid>
        <w:gridCol w:w="1836"/>
        <w:gridCol w:w="1091"/>
        <w:gridCol w:w="1091"/>
        <w:gridCol w:w="2073"/>
      </w:tblGrid>
      <w:tr w:rsidR="00C82BCC" w14:paraId="2E0FF4EA" w14:textId="77777777" w:rsidTr="00403D2F">
        <w:trPr>
          <w:trHeight w:val="279"/>
          <w:jc w:val="center"/>
        </w:trPr>
        <w:tc>
          <w:tcPr>
            <w:tcW w:w="1836" w:type="dxa"/>
            <w:tcBorders>
              <w:top w:val="single" w:sz="4" w:space="0" w:color="auto"/>
              <w:left w:val="single" w:sz="4" w:space="0" w:color="auto"/>
              <w:bottom w:val="single" w:sz="4" w:space="0" w:color="auto"/>
              <w:right w:val="single" w:sz="4" w:space="0" w:color="auto"/>
            </w:tcBorders>
            <w:noWrap/>
            <w:vAlign w:val="bottom"/>
            <w:hideMark/>
          </w:tcPr>
          <w:p w14:paraId="7D7B7F32"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091" w:type="dxa"/>
            <w:tcBorders>
              <w:top w:val="single" w:sz="4" w:space="0" w:color="auto"/>
              <w:left w:val="nil"/>
              <w:bottom w:val="single" w:sz="4" w:space="0" w:color="auto"/>
              <w:right w:val="single" w:sz="4" w:space="0" w:color="auto"/>
            </w:tcBorders>
            <w:noWrap/>
            <w:vAlign w:val="bottom"/>
            <w:hideMark/>
          </w:tcPr>
          <w:p w14:paraId="05CB9502"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1091" w:type="dxa"/>
            <w:tcBorders>
              <w:top w:val="single" w:sz="4" w:space="0" w:color="auto"/>
              <w:left w:val="nil"/>
              <w:bottom w:val="single" w:sz="4" w:space="0" w:color="auto"/>
              <w:right w:val="single" w:sz="4" w:space="0" w:color="auto"/>
            </w:tcBorders>
            <w:noWrap/>
            <w:vAlign w:val="bottom"/>
            <w:hideMark/>
          </w:tcPr>
          <w:p w14:paraId="6E201A4E"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2073" w:type="dxa"/>
            <w:tcBorders>
              <w:top w:val="single" w:sz="4" w:space="0" w:color="auto"/>
              <w:left w:val="nil"/>
              <w:bottom w:val="single" w:sz="4" w:space="0" w:color="auto"/>
              <w:right w:val="single" w:sz="4" w:space="0" w:color="auto"/>
            </w:tcBorders>
            <w:noWrap/>
            <w:vAlign w:val="bottom"/>
            <w:hideMark/>
          </w:tcPr>
          <w:p w14:paraId="609E2575"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51FC538F" w14:textId="77777777" w:rsidTr="00403D2F">
        <w:trPr>
          <w:trHeight w:val="279"/>
          <w:jc w:val="center"/>
        </w:trPr>
        <w:tc>
          <w:tcPr>
            <w:tcW w:w="1836" w:type="dxa"/>
            <w:tcBorders>
              <w:top w:val="nil"/>
              <w:left w:val="single" w:sz="4" w:space="0" w:color="auto"/>
              <w:bottom w:val="single" w:sz="4" w:space="0" w:color="auto"/>
              <w:right w:val="single" w:sz="4" w:space="0" w:color="auto"/>
            </w:tcBorders>
            <w:noWrap/>
            <w:vAlign w:val="bottom"/>
            <w:hideMark/>
          </w:tcPr>
          <w:p w14:paraId="35336EB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091" w:type="dxa"/>
            <w:tcBorders>
              <w:top w:val="nil"/>
              <w:left w:val="nil"/>
              <w:bottom w:val="single" w:sz="4" w:space="0" w:color="auto"/>
              <w:right w:val="single" w:sz="4" w:space="0" w:color="auto"/>
            </w:tcBorders>
            <w:noWrap/>
            <w:vAlign w:val="bottom"/>
            <w:hideMark/>
          </w:tcPr>
          <w:p w14:paraId="112AC3F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8,26</w:t>
            </w:r>
          </w:p>
        </w:tc>
        <w:tc>
          <w:tcPr>
            <w:tcW w:w="1091" w:type="dxa"/>
            <w:tcBorders>
              <w:top w:val="nil"/>
              <w:left w:val="nil"/>
              <w:bottom w:val="single" w:sz="4" w:space="0" w:color="auto"/>
              <w:right w:val="single" w:sz="4" w:space="0" w:color="auto"/>
            </w:tcBorders>
            <w:noWrap/>
            <w:vAlign w:val="bottom"/>
            <w:hideMark/>
          </w:tcPr>
          <w:p w14:paraId="30AD772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2073" w:type="dxa"/>
            <w:tcBorders>
              <w:top w:val="nil"/>
              <w:left w:val="nil"/>
              <w:bottom w:val="single" w:sz="4" w:space="0" w:color="auto"/>
              <w:right w:val="single" w:sz="4" w:space="0" w:color="auto"/>
            </w:tcBorders>
            <w:noWrap/>
            <w:vAlign w:val="bottom"/>
            <w:hideMark/>
          </w:tcPr>
          <w:p w14:paraId="09C126D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1,22</w:t>
            </w:r>
          </w:p>
        </w:tc>
      </w:tr>
      <w:tr w:rsidR="00C82BCC" w14:paraId="44D944AF" w14:textId="77777777" w:rsidTr="00403D2F">
        <w:trPr>
          <w:trHeight w:val="279"/>
          <w:jc w:val="center"/>
        </w:trPr>
        <w:tc>
          <w:tcPr>
            <w:tcW w:w="1836" w:type="dxa"/>
            <w:tcBorders>
              <w:top w:val="nil"/>
              <w:left w:val="single" w:sz="4" w:space="0" w:color="auto"/>
              <w:bottom w:val="single" w:sz="4" w:space="0" w:color="auto"/>
              <w:right w:val="single" w:sz="4" w:space="0" w:color="auto"/>
            </w:tcBorders>
            <w:noWrap/>
            <w:vAlign w:val="bottom"/>
            <w:hideMark/>
          </w:tcPr>
          <w:p w14:paraId="581E710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091" w:type="dxa"/>
            <w:tcBorders>
              <w:top w:val="nil"/>
              <w:left w:val="nil"/>
              <w:bottom w:val="single" w:sz="4" w:space="0" w:color="auto"/>
              <w:right w:val="single" w:sz="4" w:space="0" w:color="auto"/>
            </w:tcBorders>
            <w:noWrap/>
            <w:vAlign w:val="bottom"/>
            <w:hideMark/>
          </w:tcPr>
          <w:p w14:paraId="22E3492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22,17</w:t>
            </w:r>
          </w:p>
        </w:tc>
        <w:tc>
          <w:tcPr>
            <w:tcW w:w="1091" w:type="dxa"/>
            <w:tcBorders>
              <w:top w:val="nil"/>
              <w:left w:val="nil"/>
              <w:bottom w:val="single" w:sz="4" w:space="0" w:color="auto"/>
              <w:right w:val="single" w:sz="4" w:space="0" w:color="auto"/>
            </w:tcBorders>
            <w:noWrap/>
            <w:vAlign w:val="bottom"/>
            <w:hideMark/>
          </w:tcPr>
          <w:p w14:paraId="047B143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2073" w:type="dxa"/>
            <w:tcBorders>
              <w:top w:val="nil"/>
              <w:left w:val="nil"/>
              <w:bottom w:val="single" w:sz="4" w:space="0" w:color="auto"/>
              <w:right w:val="single" w:sz="4" w:space="0" w:color="auto"/>
            </w:tcBorders>
            <w:noWrap/>
            <w:vAlign w:val="bottom"/>
            <w:hideMark/>
          </w:tcPr>
          <w:p w14:paraId="00C29BA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w:t>
            </w:r>
          </w:p>
        </w:tc>
      </w:tr>
      <w:tr w:rsidR="00C82BCC" w14:paraId="47512277" w14:textId="77777777" w:rsidTr="00403D2F">
        <w:trPr>
          <w:trHeight w:val="279"/>
          <w:jc w:val="center"/>
        </w:trPr>
        <w:tc>
          <w:tcPr>
            <w:tcW w:w="1836" w:type="dxa"/>
            <w:tcBorders>
              <w:top w:val="nil"/>
              <w:left w:val="single" w:sz="4" w:space="0" w:color="auto"/>
              <w:bottom w:val="single" w:sz="4" w:space="0" w:color="auto"/>
              <w:right w:val="single" w:sz="4" w:space="0" w:color="auto"/>
            </w:tcBorders>
            <w:noWrap/>
            <w:vAlign w:val="bottom"/>
            <w:hideMark/>
          </w:tcPr>
          <w:p w14:paraId="5E2CB53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091" w:type="dxa"/>
            <w:tcBorders>
              <w:top w:val="nil"/>
              <w:left w:val="nil"/>
              <w:bottom w:val="single" w:sz="4" w:space="0" w:color="auto"/>
              <w:right w:val="single" w:sz="4" w:space="0" w:color="auto"/>
            </w:tcBorders>
            <w:noWrap/>
            <w:vAlign w:val="bottom"/>
            <w:hideMark/>
          </w:tcPr>
          <w:p w14:paraId="74308A1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26,09</w:t>
            </w:r>
          </w:p>
        </w:tc>
        <w:tc>
          <w:tcPr>
            <w:tcW w:w="1091" w:type="dxa"/>
            <w:tcBorders>
              <w:top w:val="nil"/>
              <w:left w:val="nil"/>
              <w:bottom w:val="single" w:sz="4" w:space="0" w:color="auto"/>
              <w:right w:val="single" w:sz="4" w:space="0" w:color="auto"/>
            </w:tcBorders>
            <w:noWrap/>
            <w:vAlign w:val="bottom"/>
            <w:hideMark/>
          </w:tcPr>
          <w:p w14:paraId="052DA9E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w:t>
            </w:r>
          </w:p>
        </w:tc>
        <w:tc>
          <w:tcPr>
            <w:tcW w:w="2073" w:type="dxa"/>
            <w:tcBorders>
              <w:top w:val="nil"/>
              <w:left w:val="nil"/>
              <w:bottom w:val="single" w:sz="4" w:space="0" w:color="auto"/>
              <w:right w:val="single" w:sz="4" w:space="0" w:color="auto"/>
            </w:tcBorders>
            <w:noWrap/>
            <w:vAlign w:val="bottom"/>
            <w:hideMark/>
          </w:tcPr>
          <w:p w14:paraId="43DB18B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w:t>
            </w:r>
          </w:p>
        </w:tc>
      </w:tr>
      <w:tr w:rsidR="00C82BCC" w14:paraId="7C67A321" w14:textId="77777777" w:rsidTr="00403D2F">
        <w:trPr>
          <w:trHeight w:val="279"/>
          <w:jc w:val="center"/>
        </w:trPr>
        <w:tc>
          <w:tcPr>
            <w:tcW w:w="1836" w:type="dxa"/>
            <w:tcBorders>
              <w:top w:val="nil"/>
              <w:left w:val="single" w:sz="4" w:space="0" w:color="auto"/>
              <w:bottom w:val="single" w:sz="4" w:space="0" w:color="auto"/>
              <w:right w:val="single" w:sz="4" w:space="0" w:color="auto"/>
            </w:tcBorders>
            <w:noWrap/>
            <w:vAlign w:val="bottom"/>
            <w:hideMark/>
          </w:tcPr>
          <w:p w14:paraId="0EA4093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091" w:type="dxa"/>
            <w:tcBorders>
              <w:top w:val="nil"/>
              <w:left w:val="nil"/>
              <w:bottom w:val="single" w:sz="4" w:space="0" w:color="auto"/>
              <w:right w:val="single" w:sz="4" w:space="0" w:color="auto"/>
            </w:tcBorders>
            <w:noWrap/>
            <w:vAlign w:val="bottom"/>
            <w:hideMark/>
          </w:tcPr>
          <w:p w14:paraId="460288F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29,13</w:t>
            </w:r>
          </w:p>
        </w:tc>
        <w:tc>
          <w:tcPr>
            <w:tcW w:w="1091" w:type="dxa"/>
            <w:tcBorders>
              <w:top w:val="nil"/>
              <w:left w:val="nil"/>
              <w:bottom w:val="single" w:sz="4" w:space="0" w:color="auto"/>
              <w:right w:val="single" w:sz="4" w:space="0" w:color="auto"/>
            </w:tcBorders>
            <w:noWrap/>
            <w:vAlign w:val="bottom"/>
            <w:hideMark/>
          </w:tcPr>
          <w:p w14:paraId="6A4CC9C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w:t>
            </w:r>
          </w:p>
        </w:tc>
        <w:tc>
          <w:tcPr>
            <w:tcW w:w="2073" w:type="dxa"/>
            <w:tcBorders>
              <w:top w:val="nil"/>
              <w:left w:val="nil"/>
              <w:bottom w:val="single" w:sz="4" w:space="0" w:color="auto"/>
              <w:right w:val="single" w:sz="4" w:space="0" w:color="auto"/>
            </w:tcBorders>
            <w:noWrap/>
            <w:vAlign w:val="bottom"/>
            <w:hideMark/>
          </w:tcPr>
          <w:p w14:paraId="1EE6195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0,55</w:t>
            </w:r>
          </w:p>
        </w:tc>
      </w:tr>
    </w:tbl>
    <w:p w14:paraId="44808B12" w14:textId="77777777" w:rsidR="00732356" w:rsidRDefault="00C82BCC" w:rsidP="00732356">
      <w:pPr>
        <w:autoSpaceDE w:val="0"/>
        <w:autoSpaceDN w:val="0"/>
        <w:adjustRightInd w:val="0"/>
        <w:spacing w:after="0" w:line="360" w:lineRule="auto"/>
        <w:rPr>
          <w:rFonts w:cs="Times New Roman"/>
          <w:szCs w:val="24"/>
        </w:rPr>
      </w:pPr>
      <w:r>
        <w:rPr>
          <w:rFonts w:cs="Times New Roman"/>
          <w:szCs w:val="24"/>
        </w:rPr>
        <w:t>Se puede ver que el cultivo sin aplicación de azufre muestra mejor promedio que los cultivos con 16 y co</w:t>
      </w:r>
      <w:r w:rsidR="00253EF4">
        <w:rPr>
          <w:rFonts w:cs="Times New Roman"/>
          <w:szCs w:val="24"/>
        </w:rPr>
        <w:t>n 20 medidas del microelemento.</w:t>
      </w:r>
      <w:bookmarkStart w:id="1951" w:name="_Toc79314133"/>
    </w:p>
    <w:p w14:paraId="48C20109" w14:textId="74523640" w:rsidR="00253EF4" w:rsidRPr="00732356" w:rsidRDefault="00253EF4" w:rsidP="00732356">
      <w:pPr>
        <w:autoSpaceDE w:val="0"/>
        <w:autoSpaceDN w:val="0"/>
        <w:adjustRightInd w:val="0"/>
        <w:spacing w:before="360" w:after="0" w:line="360" w:lineRule="auto"/>
        <w:rPr>
          <w:rFonts w:cs="Times New Roman"/>
          <w:szCs w:val="24"/>
        </w:rPr>
      </w:pPr>
      <w:r w:rsidRPr="00253EF4">
        <w:rPr>
          <w:rFonts w:cs="Times New Roman"/>
          <w:b/>
          <w:szCs w:val="24"/>
        </w:rPr>
        <w:t xml:space="preserve">Cuadro </w:t>
      </w:r>
      <w:r w:rsidRPr="00253EF4">
        <w:rPr>
          <w:rFonts w:cs="Times New Roman"/>
          <w:b/>
          <w:i/>
          <w:iCs/>
          <w:szCs w:val="24"/>
        </w:rPr>
        <w:fldChar w:fldCharType="begin"/>
      </w:r>
      <w:r w:rsidRPr="00253EF4">
        <w:rPr>
          <w:rFonts w:cs="Times New Roman"/>
          <w:b/>
          <w:szCs w:val="24"/>
        </w:rPr>
        <w:instrText xml:space="preserve"> SEQ Cuadro \* ARABIC </w:instrText>
      </w:r>
      <w:r w:rsidRPr="00253EF4">
        <w:rPr>
          <w:rFonts w:cs="Times New Roman"/>
          <w:b/>
          <w:i/>
          <w:iCs/>
          <w:szCs w:val="24"/>
        </w:rPr>
        <w:fldChar w:fldCharType="separate"/>
      </w:r>
      <w:r w:rsidR="000D1F55">
        <w:rPr>
          <w:rFonts w:cs="Times New Roman"/>
          <w:b/>
          <w:noProof/>
          <w:szCs w:val="24"/>
        </w:rPr>
        <w:t>141</w:t>
      </w:r>
      <w:r w:rsidRPr="00253EF4">
        <w:rPr>
          <w:rFonts w:cs="Times New Roman"/>
          <w:b/>
          <w:i/>
          <w:iCs/>
          <w:szCs w:val="24"/>
        </w:rPr>
        <w:fldChar w:fldCharType="end"/>
      </w:r>
      <w:r w:rsidRPr="00253EF4">
        <w:rPr>
          <w:rFonts w:cs="Times New Roman"/>
          <w:b/>
          <w:szCs w:val="24"/>
        </w:rPr>
        <w:t>.</w:t>
      </w:r>
      <w:r w:rsidRPr="00253EF4">
        <w:rPr>
          <w:rFonts w:cs="Times New Roman"/>
          <w:szCs w:val="24"/>
        </w:rPr>
        <w:t xml:space="preserve"> Absorción total de magnesio de maíz suave para diversas dosis de magnesio evaluadas en la provincia de Imbabura 2010-2015.</w:t>
      </w:r>
      <w:bookmarkEnd w:id="1951"/>
    </w:p>
    <w:tbl>
      <w:tblPr>
        <w:tblW w:w="5834" w:type="dxa"/>
        <w:jc w:val="center"/>
        <w:tblCellMar>
          <w:left w:w="70" w:type="dxa"/>
          <w:right w:w="70" w:type="dxa"/>
        </w:tblCellMar>
        <w:tblLook w:val="04A0" w:firstRow="1" w:lastRow="0" w:firstColumn="1" w:lastColumn="0" w:noHBand="0" w:noVBand="1"/>
      </w:tblPr>
      <w:tblGrid>
        <w:gridCol w:w="2547"/>
        <w:gridCol w:w="887"/>
        <w:gridCol w:w="672"/>
        <w:gridCol w:w="1728"/>
      </w:tblGrid>
      <w:tr w:rsidR="00C82BCC" w14:paraId="04B40B94" w14:textId="77777777" w:rsidTr="00403D2F">
        <w:trPr>
          <w:trHeight w:val="300"/>
          <w:jc w:val="center"/>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10D77458"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34970B6B"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219DCB3C"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3D8A7B96"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5F31F625" w14:textId="77777777" w:rsidTr="00403D2F">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0A2CD75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754D6B9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8,26</w:t>
            </w:r>
          </w:p>
        </w:tc>
        <w:tc>
          <w:tcPr>
            <w:tcW w:w="672" w:type="dxa"/>
            <w:tcBorders>
              <w:top w:val="nil"/>
              <w:left w:val="nil"/>
              <w:bottom w:val="single" w:sz="4" w:space="0" w:color="auto"/>
              <w:right w:val="single" w:sz="4" w:space="0" w:color="auto"/>
            </w:tcBorders>
            <w:noWrap/>
            <w:vAlign w:val="bottom"/>
            <w:hideMark/>
          </w:tcPr>
          <w:p w14:paraId="36252A9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noWrap/>
            <w:vAlign w:val="bottom"/>
            <w:hideMark/>
          </w:tcPr>
          <w:p w14:paraId="4ADEC4D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1,22</w:t>
            </w:r>
          </w:p>
        </w:tc>
      </w:tr>
      <w:tr w:rsidR="00C82BCC" w14:paraId="355416AF" w14:textId="77777777" w:rsidTr="00403D2F">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1ABCD05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58909C5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15,61</w:t>
            </w:r>
          </w:p>
        </w:tc>
        <w:tc>
          <w:tcPr>
            <w:tcW w:w="672" w:type="dxa"/>
            <w:tcBorders>
              <w:top w:val="nil"/>
              <w:left w:val="nil"/>
              <w:bottom w:val="single" w:sz="4" w:space="0" w:color="auto"/>
              <w:right w:val="single" w:sz="4" w:space="0" w:color="auto"/>
            </w:tcBorders>
            <w:noWrap/>
            <w:vAlign w:val="bottom"/>
            <w:hideMark/>
          </w:tcPr>
          <w:p w14:paraId="3ECA016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noWrap/>
            <w:vAlign w:val="bottom"/>
            <w:hideMark/>
          </w:tcPr>
          <w:p w14:paraId="66A3CF4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1,22</w:t>
            </w:r>
          </w:p>
        </w:tc>
      </w:tr>
      <w:tr w:rsidR="00C82BCC" w14:paraId="7FFFD397" w14:textId="77777777" w:rsidTr="00403D2F">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75F7186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236F352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16,83</w:t>
            </w:r>
          </w:p>
        </w:tc>
        <w:tc>
          <w:tcPr>
            <w:tcW w:w="672" w:type="dxa"/>
            <w:tcBorders>
              <w:top w:val="nil"/>
              <w:left w:val="nil"/>
              <w:bottom w:val="single" w:sz="4" w:space="0" w:color="auto"/>
              <w:right w:val="single" w:sz="4" w:space="0" w:color="auto"/>
            </w:tcBorders>
            <w:noWrap/>
            <w:vAlign w:val="bottom"/>
            <w:hideMark/>
          </w:tcPr>
          <w:p w14:paraId="7C56F30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28" w:type="dxa"/>
            <w:tcBorders>
              <w:top w:val="nil"/>
              <w:left w:val="nil"/>
              <w:bottom w:val="single" w:sz="4" w:space="0" w:color="auto"/>
              <w:right w:val="single" w:sz="4" w:space="0" w:color="auto"/>
            </w:tcBorders>
            <w:noWrap/>
            <w:vAlign w:val="bottom"/>
            <w:hideMark/>
          </w:tcPr>
          <w:p w14:paraId="2EB5656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0,81</w:t>
            </w:r>
          </w:p>
        </w:tc>
      </w:tr>
      <w:tr w:rsidR="00C82BCC" w14:paraId="4C74E0CA" w14:textId="77777777" w:rsidTr="00403D2F">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14654A6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0CE3554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29,94</w:t>
            </w:r>
          </w:p>
        </w:tc>
        <w:tc>
          <w:tcPr>
            <w:tcW w:w="672" w:type="dxa"/>
            <w:tcBorders>
              <w:top w:val="nil"/>
              <w:left w:val="nil"/>
              <w:bottom w:val="single" w:sz="4" w:space="0" w:color="auto"/>
              <w:right w:val="single" w:sz="4" w:space="0" w:color="auto"/>
            </w:tcBorders>
            <w:noWrap/>
            <w:vAlign w:val="bottom"/>
            <w:hideMark/>
          </w:tcPr>
          <w:p w14:paraId="084AC60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w:t>
            </w:r>
          </w:p>
        </w:tc>
        <w:tc>
          <w:tcPr>
            <w:tcW w:w="1728" w:type="dxa"/>
            <w:tcBorders>
              <w:top w:val="nil"/>
              <w:left w:val="nil"/>
              <w:bottom w:val="single" w:sz="4" w:space="0" w:color="auto"/>
              <w:right w:val="single" w:sz="4" w:space="0" w:color="auto"/>
            </w:tcBorders>
            <w:noWrap/>
            <w:vAlign w:val="bottom"/>
            <w:hideMark/>
          </w:tcPr>
          <w:p w14:paraId="379AE5F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0,41</w:t>
            </w:r>
          </w:p>
        </w:tc>
      </w:tr>
    </w:tbl>
    <w:p w14:paraId="78A0D763" w14:textId="0BC3CF8A" w:rsidR="007E3FEF" w:rsidRPr="00732356" w:rsidRDefault="00C82BCC" w:rsidP="00732356">
      <w:pPr>
        <w:autoSpaceDE w:val="0"/>
        <w:autoSpaceDN w:val="0"/>
        <w:adjustRightInd w:val="0"/>
        <w:spacing w:before="360" w:after="0" w:line="360" w:lineRule="auto"/>
        <w:rPr>
          <w:rFonts w:cs="Times New Roman"/>
          <w:bCs/>
          <w:szCs w:val="24"/>
        </w:rPr>
      </w:pPr>
      <w:r>
        <w:rPr>
          <w:rFonts w:cs="Times New Roman"/>
          <w:bCs/>
          <w:szCs w:val="24"/>
        </w:rPr>
        <w:t xml:space="preserve">El efecto de los nutrientes que fueron significativos </w:t>
      </w:r>
      <w:r w:rsidR="007E3FEF">
        <w:rPr>
          <w:rFonts w:cs="Times New Roman"/>
          <w:bCs/>
          <w:szCs w:val="24"/>
        </w:rPr>
        <w:t xml:space="preserve">(p&lt;0,001) </w:t>
      </w:r>
      <w:r>
        <w:rPr>
          <w:rFonts w:cs="Times New Roman"/>
          <w:bCs/>
          <w:szCs w:val="24"/>
        </w:rPr>
        <w:t xml:space="preserve">sobre la absorción de magnesio en la provincia de Imbabura se observa en </w:t>
      </w:r>
      <w:r w:rsidR="000D1A0C">
        <w:rPr>
          <w:rFonts w:cs="Times New Roman"/>
          <w:bCs/>
          <w:szCs w:val="24"/>
        </w:rPr>
        <w:t>la</w:t>
      </w:r>
      <w:r>
        <w:rPr>
          <w:rFonts w:cs="Times New Roman"/>
          <w:bCs/>
          <w:szCs w:val="24"/>
        </w:rPr>
        <w:t xml:space="preserve"> siguiente </w:t>
      </w:r>
      <w:r w:rsidR="000D1A0C">
        <w:rPr>
          <w:rFonts w:cs="Times New Roman"/>
          <w:bCs/>
          <w:szCs w:val="24"/>
        </w:rPr>
        <w:t>figura</w:t>
      </w:r>
      <w:bookmarkStart w:id="1952" w:name="_Toc72704684"/>
      <w:bookmarkStart w:id="1953" w:name="_Toc72706390"/>
      <w:bookmarkStart w:id="1954" w:name="_Toc72741340"/>
      <w:bookmarkStart w:id="1955" w:name="_Toc72742936"/>
      <w:bookmarkStart w:id="1956" w:name="_Toc72881290"/>
      <w:bookmarkStart w:id="1957" w:name="_Toc72881661"/>
      <w:r w:rsidR="00381373">
        <w:rPr>
          <w:rFonts w:cs="Times New Roman"/>
          <w:bCs/>
          <w:szCs w:val="24"/>
        </w:rPr>
        <w:t>:</w:t>
      </w:r>
    </w:p>
    <w:p w14:paraId="430B2890" w14:textId="032848B1" w:rsidR="00C82BCC" w:rsidRDefault="00403D2F" w:rsidP="00732356">
      <w:pPr>
        <w:pStyle w:val="Ttulo1"/>
        <w:numPr>
          <w:ilvl w:val="0"/>
          <w:numId w:val="31"/>
        </w:numPr>
        <w:spacing w:before="360" w:after="360"/>
        <w:rPr>
          <w:b w:val="0"/>
          <w:bCs w:val="0"/>
        </w:rPr>
      </w:pPr>
      <w:bookmarkStart w:id="1958" w:name="_Toc75606530"/>
      <w:bookmarkStart w:id="1959" w:name="_Toc75612009"/>
      <w:bookmarkStart w:id="1960" w:name="_Toc75612855"/>
      <w:bookmarkStart w:id="1961" w:name="_Toc75680011"/>
      <w:bookmarkStart w:id="1962" w:name="_Toc75702619"/>
      <w:bookmarkStart w:id="1963" w:name="_Toc79313242"/>
      <w:bookmarkStart w:id="1964" w:name="_Toc80008457"/>
      <w:bookmarkStart w:id="1965" w:name="_Toc80312350"/>
      <w:r w:rsidRPr="00403D2F">
        <w:rPr>
          <w:b w:val="0"/>
          <w:bCs w:val="0"/>
        </w:rPr>
        <w:t>Nitrógeno</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14:paraId="123162D2" w14:textId="3166548E" w:rsidR="00797AE2" w:rsidRPr="00C416FD" w:rsidRDefault="00797AE2" w:rsidP="00C416FD">
      <w:pPr>
        <w:jc w:val="center"/>
        <w:rPr>
          <w:b/>
          <w:bCs/>
        </w:rPr>
      </w:pPr>
      <w:r w:rsidRPr="00146EAD">
        <w:rPr>
          <w:noProof/>
          <w:lang w:eastAsia="es-EC"/>
        </w:rPr>
        <w:drawing>
          <wp:inline distT="0" distB="0" distL="0" distR="0" wp14:anchorId="3DC691F2" wp14:editId="10EC4883">
            <wp:extent cx="3737610" cy="2168611"/>
            <wp:effectExtent l="0" t="0" r="15240" b="3175"/>
            <wp:docPr id="15" name="Gráfico 15">
              <a:extLst xmlns:a="http://schemas.openxmlformats.org/drawingml/2006/main">
                <a:ext uri="{FF2B5EF4-FFF2-40B4-BE49-F238E27FC236}">
                  <a16:creationId xmlns:a16="http://schemas.microsoft.com/office/drawing/2014/main" id="{035ED699-096E-4D57-92D5-D6973D27C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3EFF1A" w14:textId="77777777" w:rsidR="00797AE2" w:rsidRPr="00C416FD" w:rsidRDefault="00797AE2" w:rsidP="00C416FD">
      <w:pPr>
        <w:rPr>
          <w:b/>
          <w:bCs/>
        </w:rPr>
      </w:pPr>
    </w:p>
    <w:p w14:paraId="1E1FEB70" w14:textId="1C74B83A" w:rsidR="00C82BCC" w:rsidRDefault="00C82BCC" w:rsidP="00C82BCC">
      <w:pPr>
        <w:spacing w:line="360" w:lineRule="auto"/>
        <w:jc w:val="center"/>
        <w:rPr>
          <w:rFonts w:cs="Times New Roman"/>
          <w:noProof/>
          <w:szCs w:val="24"/>
        </w:rPr>
      </w:pPr>
    </w:p>
    <w:p w14:paraId="6B789C68" w14:textId="6412CCBB" w:rsidR="00BB612D" w:rsidRPr="00BB612D" w:rsidRDefault="00BB612D" w:rsidP="00732356">
      <w:pPr>
        <w:pStyle w:val="Ttulo1"/>
        <w:numPr>
          <w:ilvl w:val="0"/>
          <w:numId w:val="31"/>
        </w:numPr>
        <w:spacing w:before="360" w:after="360"/>
        <w:ind w:left="1077" w:hanging="357"/>
        <w:rPr>
          <w:b w:val="0"/>
          <w:bCs w:val="0"/>
        </w:rPr>
      </w:pPr>
      <w:bookmarkStart w:id="1966" w:name="_Toc72704685"/>
      <w:bookmarkStart w:id="1967" w:name="_Toc72706391"/>
      <w:bookmarkStart w:id="1968" w:name="_Toc72741341"/>
      <w:bookmarkStart w:id="1969" w:name="_Toc72742937"/>
      <w:bookmarkStart w:id="1970" w:name="_Toc72881291"/>
      <w:bookmarkStart w:id="1971" w:name="_Toc72881662"/>
      <w:bookmarkStart w:id="1972" w:name="_Toc75606531"/>
      <w:bookmarkStart w:id="1973" w:name="_Toc75612010"/>
      <w:bookmarkStart w:id="1974" w:name="_Toc75612856"/>
      <w:bookmarkStart w:id="1975" w:name="_Toc75680012"/>
      <w:bookmarkStart w:id="1976" w:name="_Toc75702620"/>
      <w:bookmarkStart w:id="1977" w:name="_Toc79313243"/>
      <w:bookmarkStart w:id="1978" w:name="_Toc80008458"/>
      <w:bookmarkStart w:id="1979" w:name="_Toc80312351"/>
      <w:r>
        <w:rPr>
          <w:b w:val="0"/>
          <w:bCs w:val="0"/>
        </w:rPr>
        <w:lastRenderedPageBreak/>
        <w:t>F</w:t>
      </w:r>
      <w:r w:rsidR="00B7395A">
        <w:rPr>
          <w:b w:val="0"/>
          <w:bCs w:val="0"/>
        </w:rPr>
        <w:t>ó</w:t>
      </w:r>
      <w:r>
        <w:rPr>
          <w:b w:val="0"/>
          <w:bCs w:val="0"/>
        </w:rPr>
        <w:t>sforo</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4997FA55" w14:textId="717736EA" w:rsidR="00C82BCC" w:rsidRDefault="00C82BCC" w:rsidP="00C82BCC">
      <w:pPr>
        <w:jc w:val="center"/>
        <w:rPr>
          <w:rFonts w:cs="Times New Roman"/>
          <w:noProof/>
          <w:szCs w:val="24"/>
        </w:rPr>
      </w:pPr>
      <w:r>
        <w:rPr>
          <w:rFonts w:cs="Times New Roman"/>
          <w:noProof/>
          <w:szCs w:val="24"/>
          <w:lang w:eastAsia="es-EC"/>
        </w:rPr>
        <w:drawing>
          <wp:inline distT="0" distB="0" distL="0" distR="0" wp14:anchorId="78CAEF5B" wp14:editId="5124F132">
            <wp:extent cx="3589637" cy="1940011"/>
            <wp:effectExtent l="0" t="0" r="11430" b="3175"/>
            <wp:docPr id="40" name="Gráfico 40">
              <a:extLst xmlns:a="http://schemas.openxmlformats.org/drawingml/2006/main">
                <a:ext uri="{FF2B5EF4-FFF2-40B4-BE49-F238E27FC236}">
                  <a16:creationId xmlns:a16="http://schemas.microsoft.com/office/drawing/2014/main" id="{8F3FC445-5B84-40ED-8635-8EAD178DE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A4ABD8" w14:textId="1B6C965F" w:rsidR="00BB612D" w:rsidRPr="00C95BCA" w:rsidRDefault="00C95BCA" w:rsidP="00732356">
      <w:pPr>
        <w:pStyle w:val="Ttulo1"/>
        <w:numPr>
          <w:ilvl w:val="0"/>
          <w:numId w:val="31"/>
        </w:numPr>
        <w:spacing w:before="360" w:after="360"/>
        <w:ind w:left="1077" w:hanging="357"/>
        <w:rPr>
          <w:b w:val="0"/>
          <w:bCs w:val="0"/>
        </w:rPr>
      </w:pPr>
      <w:bookmarkStart w:id="1980" w:name="_Toc72704686"/>
      <w:bookmarkStart w:id="1981" w:name="_Toc72706392"/>
      <w:bookmarkStart w:id="1982" w:name="_Toc72741342"/>
      <w:bookmarkStart w:id="1983" w:name="_Toc72742938"/>
      <w:bookmarkStart w:id="1984" w:name="_Toc72881292"/>
      <w:bookmarkStart w:id="1985" w:name="_Toc72881663"/>
      <w:bookmarkStart w:id="1986" w:name="_Toc75606532"/>
      <w:bookmarkStart w:id="1987" w:name="_Toc75612011"/>
      <w:bookmarkStart w:id="1988" w:name="_Toc75612857"/>
      <w:bookmarkStart w:id="1989" w:name="_Toc75680013"/>
      <w:bookmarkStart w:id="1990" w:name="_Toc75702621"/>
      <w:bookmarkStart w:id="1991" w:name="_Toc79313244"/>
      <w:bookmarkStart w:id="1992" w:name="_Toc80008459"/>
      <w:bookmarkStart w:id="1993" w:name="_Toc80312352"/>
      <w:r>
        <w:rPr>
          <w:b w:val="0"/>
          <w:bCs w:val="0"/>
        </w:rPr>
        <w:t>Potasio</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14:paraId="666B7621" w14:textId="2CE8AA69" w:rsidR="00C82BCC" w:rsidRDefault="00C82BCC" w:rsidP="00C82BCC">
      <w:pPr>
        <w:jc w:val="center"/>
        <w:rPr>
          <w:rFonts w:cs="Times New Roman"/>
          <w:noProof/>
          <w:szCs w:val="24"/>
        </w:rPr>
      </w:pPr>
      <w:r>
        <w:rPr>
          <w:rFonts w:cs="Times New Roman"/>
          <w:noProof/>
          <w:szCs w:val="24"/>
          <w:lang w:eastAsia="es-EC"/>
        </w:rPr>
        <w:drawing>
          <wp:inline distT="0" distB="0" distL="0" distR="0" wp14:anchorId="1C4D758E" wp14:editId="2638425D">
            <wp:extent cx="3515498" cy="1791730"/>
            <wp:effectExtent l="0" t="0" r="8890" b="18415"/>
            <wp:docPr id="45" name="Gráfico 45">
              <a:extLst xmlns:a="http://schemas.openxmlformats.org/drawingml/2006/main">
                <a:ext uri="{FF2B5EF4-FFF2-40B4-BE49-F238E27FC236}">
                  <a16:creationId xmlns:a16="http://schemas.microsoft.com/office/drawing/2014/main" id="{D67B4D23-B5A1-4591-9C53-71D77EC28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39FB55E" w14:textId="2CC6104C" w:rsidR="00C82BCC" w:rsidRDefault="00C82BCC" w:rsidP="00732356">
      <w:pPr>
        <w:spacing w:before="360" w:after="360" w:line="360" w:lineRule="auto"/>
        <w:rPr>
          <w:rFonts w:cs="Times New Roman"/>
          <w:szCs w:val="24"/>
        </w:rPr>
      </w:pPr>
      <w:r>
        <w:rPr>
          <w:rFonts w:cs="Times New Roman"/>
          <w:szCs w:val="24"/>
        </w:rPr>
        <w:t>Efecto de los macronutrientes</w:t>
      </w:r>
      <w:r w:rsidR="00D52579">
        <w:rPr>
          <w:rFonts w:cs="Times New Roman"/>
          <w:szCs w:val="24"/>
        </w:rPr>
        <w:t xml:space="preserve"> a) nitrógeno b) fósforo c) potasio  </w:t>
      </w:r>
      <w:r>
        <w:rPr>
          <w:rFonts w:cs="Times New Roman"/>
          <w:szCs w:val="24"/>
        </w:rPr>
        <w:t xml:space="preserve"> sobre la a</w:t>
      </w:r>
      <w:r w:rsidR="0089298E">
        <w:rPr>
          <w:rFonts w:cs="Times New Roman"/>
          <w:szCs w:val="24"/>
        </w:rPr>
        <w:t>b</w:t>
      </w:r>
      <w:r>
        <w:rPr>
          <w:rFonts w:cs="Times New Roman"/>
          <w:szCs w:val="24"/>
        </w:rPr>
        <w:t>sorción de magnesio en maíz suave en la provincia de Imbabura (2010-2015).</w:t>
      </w:r>
    </w:p>
    <w:p w14:paraId="78877D72" w14:textId="7FE36703" w:rsidR="00C416FD" w:rsidRPr="00CC712A" w:rsidRDefault="0096286B" w:rsidP="00135DE8">
      <w:pPr>
        <w:pStyle w:val="Ttulo2"/>
        <w:numPr>
          <w:ilvl w:val="1"/>
          <w:numId w:val="40"/>
        </w:numPr>
        <w:ind w:left="709"/>
        <w:rPr>
          <w:szCs w:val="28"/>
        </w:rPr>
      </w:pPr>
      <w:bookmarkStart w:id="1994" w:name="_Toc72741343"/>
      <w:bookmarkStart w:id="1995" w:name="_Toc72742141"/>
      <w:bookmarkStart w:id="1996" w:name="_Toc72742939"/>
      <w:bookmarkStart w:id="1997" w:name="_Toc72881664"/>
      <w:bookmarkStart w:id="1998" w:name="_Toc72882746"/>
      <w:bookmarkStart w:id="1999" w:name="_Toc75612012"/>
      <w:bookmarkStart w:id="2000" w:name="_Toc75612858"/>
      <w:bookmarkStart w:id="2001" w:name="_Toc75680014"/>
      <w:bookmarkStart w:id="2002" w:name="_Toc75702622"/>
      <w:bookmarkStart w:id="2003" w:name="_Toc79313245"/>
      <w:bookmarkStart w:id="2004" w:name="_Toc80312353"/>
      <w:r>
        <w:t>R</w:t>
      </w:r>
      <w:r w:rsidR="000F09D2" w:rsidRPr="007E253F">
        <w:t xml:space="preserve">espuesta del maíz </w:t>
      </w:r>
      <w:r w:rsidR="000F09D2">
        <w:t xml:space="preserve">suave </w:t>
      </w:r>
      <w:r w:rsidR="000F09D2" w:rsidRPr="007E253F">
        <w:t xml:space="preserve">a la fertilización con macronutrientes </w:t>
      </w:r>
      <w:r w:rsidR="000F09D2">
        <w:t>consolidados de las tres provincias (Chimborazo, Bolívar e Imbabura)</w:t>
      </w:r>
      <w:bookmarkEnd w:id="1994"/>
      <w:bookmarkEnd w:id="1995"/>
      <w:bookmarkEnd w:id="1996"/>
      <w:bookmarkEnd w:id="1997"/>
      <w:bookmarkEnd w:id="1998"/>
      <w:bookmarkEnd w:id="1999"/>
      <w:bookmarkEnd w:id="2000"/>
      <w:bookmarkEnd w:id="2001"/>
      <w:bookmarkEnd w:id="2002"/>
      <w:bookmarkEnd w:id="2003"/>
      <w:bookmarkEnd w:id="2004"/>
    </w:p>
    <w:p w14:paraId="7E1A1B7C" w14:textId="49BF630E" w:rsidR="00C82BCC" w:rsidRDefault="00C82BCC" w:rsidP="00732356">
      <w:pPr>
        <w:pStyle w:val="Ttulo3"/>
      </w:pPr>
      <w:bookmarkStart w:id="2005" w:name="_Toc80312354"/>
      <w:r>
        <w:t>Rendimiento (t/ha</w:t>
      </w:r>
      <w:r>
        <w:rPr>
          <w:vertAlign w:val="superscript"/>
        </w:rPr>
        <w:t>-1</w:t>
      </w:r>
      <w:r>
        <w:t>)</w:t>
      </w:r>
      <w:bookmarkEnd w:id="2005"/>
      <w:r w:rsidR="00BC7320" w:rsidRPr="00BC7320">
        <w:rPr>
          <w:rFonts w:eastAsia="Times New Roman"/>
          <w:color w:val="000000"/>
          <w:lang w:eastAsia="es-EC"/>
        </w:rPr>
        <w:t xml:space="preserve"> </w:t>
      </w:r>
    </w:p>
    <w:p w14:paraId="00120946" w14:textId="77777777" w:rsidR="00732356" w:rsidRDefault="00C82BCC" w:rsidP="00732356">
      <w:pPr>
        <w:autoSpaceDE w:val="0"/>
        <w:autoSpaceDN w:val="0"/>
        <w:adjustRightInd w:val="0"/>
        <w:spacing w:before="360" w:after="360" w:line="360" w:lineRule="auto"/>
        <w:rPr>
          <w:rFonts w:cs="Times New Roman"/>
          <w:b/>
          <w:bCs/>
          <w:color w:val="0000FF"/>
        </w:rPr>
      </w:pPr>
      <w:r>
        <w:rPr>
          <w:rFonts w:cs="Times New Roman"/>
          <w:szCs w:val="24"/>
        </w:rPr>
        <w:t>Al utilizar el modelo estadístico para rendimiento, se detectaron diferencias estadísticas significativas (p &lt;0,05) para las fuentes de variación de provincia, nitrógeno y potasio; mientras que no fueron significativos para dosis de fósforo, azufre y magnesio (</w:t>
      </w:r>
      <w:r w:rsidR="00C21A60">
        <w:rPr>
          <w:rFonts w:cs="Times New Roman"/>
          <w:szCs w:val="24"/>
        </w:rPr>
        <w:t>Cuadro</w:t>
      </w:r>
      <w:r>
        <w:rPr>
          <w:rFonts w:cs="Times New Roman"/>
          <w:szCs w:val="24"/>
        </w:rPr>
        <w:t xml:space="preserve"> 14</w:t>
      </w:r>
      <w:r w:rsidR="00F25CE6">
        <w:rPr>
          <w:rFonts w:cs="Times New Roman"/>
          <w:szCs w:val="24"/>
        </w:rPr>
        <w:t>2</w:t>
      </w:r>
      <w:r>
        <w:rPr>
          <w:rFonts w:cs="Times New Roman"/>
          <w:szCs w:val="24"/>
        </w:rPr>
        <w:t xml:space="preserve">). Por lo tanto, las dosis de los fertilizantes con N y K afectaron al rendimiento. Existió también un efecto altamente significativo para </w:t>
      </w:r>
      <w:r>
        <w:rPr>
          <w:rFonts w:cs="Times New Roman"/>
          <w:szCs w:val="24"/>
        </w:rPr>
        <w:lastRenderedPageBreak/>
        <w:t>provincias, lo que indica que el ambiente influyó sobre el rendimiento. El promedio general de rendimiento fue 4,29 t ha</w:t>
      </w:r>
      <w:r>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0,46 y un coeficiente de variación de 27,29 %</w:t>
      </w:r>
      <w:r w:rsidR="00253EF4">
        <w:rPr>
          <w:rFonts w:cs="Times New Roman"/>
          <w:b/>
          <w:bCs/>
          <w:color w:val="0000FF"/>
        </w:rPr>
        <w:t>.</w:t>
      </w:r>
      <w:bookmarkStart w:id="2006" w:name="_Toc79314134"/>
    </w:p>
    <w:p w14:paraId="72E38125" w14:textId="43456247" w:rsidR="00253EF4" w:rsidRPr="00732356" w:rsidRDefault="00253EF4" w:rsidP="00732356">
      <w:pPr>
        <w:autoSpaceDE w:val="0"/>
        <w:autoSpaceDN w:val="0"/>
        <w:adjustRightInd w:val="0"/>
        <w:spacing w:before="360" w:after="0" w:line="360" w:lineRule="auto"/>
        <w:rPr>
          <w:rFonts w:cs="Times New Roman"/>
          <w:b/>
          <w:bCs/>
          <w:color w:val="0000FF"/>
        </w:rPr>
      </w:pPr>
      <w:r w:rsidRPr="00253EF4">
        <w:rPr>
          <w:rFonts w:cs="Times New Roman"/>
          <w:b/>
          <w:szCs w:val="24"/>
        </w:rPr>
        <w:t xml:space="preserve">Cuadro </w:t>
      </w:r>
      <w:r w:rsidRPr="00253EF4">
        <w:rPr>
          <w:rFonts w:cs="Times New Roman"/>
          <w:b/>
          <w:i/>
          <w:iCs/>
          <w:szCs w:val="24"/>
        </w:rPr>
        <w:fldChar w:fldCharType="begin"/>
      </w:r>
      <w:r w:rsidRPr="00253EF4">
        <w:rPr>
          <w:rFonts w:cs="Times New Roman"/>
          <w:b/>
          <w:szCs w:val="24"/>
        </w:rPr>
        <w:instrText xml:space="preserve"> SEQ Cuadro \* ARABIC </w:instrText>
      </w:r>
      <w:r w:rsidRPr="00253EF4">
        <w:rPr>
          <w:rFonts w:cs="Times New Roman"/>
          <w:b/>
          <w:i/>
          <w:iCs/>
          <w:szCs w:val="24"/>
        </w:rPr>
        <w:fldChar w:fldCharType="separate"/>
      </w:r>
      <w:r w:rsidR="000D1F55">
        <w:rPr>
          <w:rFonts w:cs="Times New Roman"/>
          <w:b/>
          <w:noProof/>
          <w:szCs w:val="24"/>
        </w:rPr>
        <w:t>142</w:t>
      </w:r>
      <w:r w:rsidRPr="00253EF4">
        <w:rPr>
          <w:rFonts w:cs="Times New Roman"/>
          <w:b/>
          <w:i/>
          <w:iCs/>
          <w:szCs w:val="24"/>
        </w:rPr>
        <w:fldChar w:fldCharType="end"/>
      </w:r>
      <w:r w:rsidRPr="00253EF4">
        <w:rPr>
          <w:rFonts w:cs="Times New Roman"/>
          <w:b/>
          <w:szCs w:val="24"/>
        </w:rPr>
        <w:t>.</w:t>
      </w:r>
      <w:r w:rsidRPr="00253EF4">
        <w:rPr>
          <w:rFonts w:cs="Times New Roman"/>
          <w:szCs w:val="24"/>
        </w:rPr>
        <w:t xml:space="preserve"> Análisis de la Varianza (SC tipo I) y porcentaje de varianza para rendimiento de maíz suave en grano seco, evaluado (Consolidado) en las provincias de Bolívar, Chimborazo, Imbabura (2006-2015).</w:t>
      </w:r>
      <w:bookmarkEnd w:id="2006"/>
    </w:p>
    <w:tbl>
      <w:tblPr>
        <w:tblW w:w="5000" w:type="pct"/>
        <w:tblCellMar>
          <w:left w:w="70" w:type="dxa"/>
          <w:right w:w="70" w:type="dxa"/>
        </w:tblCellMar>
        <w:tblLook w:val="04A0" w:firstRow="1" w:lastRow="0" w:firstColumn="1" w:lastColumn="0" w:noHBand="0" w:noVBand="1"/>
      </w:tblPr>
      <w:tblGrid>
        <w:gridCol w:w="1089"/>
        <w:gridCol w:w="1089"/>
        <w:gridCol w:w="1089"/>
        <w:gridCol w:w="1089"/>
        <w:gridCol w:w="1092"/>
        <w:gridCol w:w="1092"/>
        <w:gridCol w:w="1387"/>
      </w:tblGrid>
      <w:tr w:rsidR="00C82BCC" w14:paraId="541729CB" w14:textId="77777777" w:rsidTr="00253EF4">
        <w:trPr>
          <w:trHeight w:val="300"/>
        </w:trPr>
        <w:tc>
          <w:tcPr>
            <w:tcW w:w="697" w:type="pct"/>
            <w:tcBorders>
              <w:top w:val="single" w:sz="4" w:space="0" w:color="auto"/>
              <w:left w:val="single" w:sz="4" w:space="0" w:color="auto"/>
              <w:bottom w:val="single" w:sz="4" w:space="0" w:color="auto"/>
              <w:right w:val="single" w:sz="4" w:space="0" w:color="auto"/>
            </w:tcBorders>
            <w:noWrap/>
            <w:vAlign w:val="bottom"/>
            <w:hideMark/>
          </w:tcPr>
          <w:p w14:paraId="18975E5C"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697" w:type="pct"/>
            <w:tcBorders>
              <w:top w:val="single" w:sz="4" w:space="0" w:color="auto"/>
              <w:left w:val="nil"/>
              <w:bottom w:val="single" w:sz="4" w:space="0" w:color="auto"/>
              <w:right w:val="single" w:sz="4" w:space="0" w:color="auto"/>
            </w:tcBorders>
            <w:noWrap/>
            <w:vAlign w:val="bottom"/>
            <w:hideMark/>
          </w:tcPr>
          <w:p w14:paraId="020BA839"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697" w:type="pct"/>
            <w:tcBorders>
              <w:top w:val="single" w:sz="4" w:space="0" w:color="auto"/>
              <w:left w:val="nil"/>
              <w:bottom w:val="single" w:sz="4" w:space="0" w:color="auto"/>
              <w:right w:val="single" w:sz="4" w:space="0" w:color="auto"/>
            </w:tcBorders>
            <w:noWrap/>
            <w:vAlign w:val="bottom"/>
            <w:hideMark/>
          </w:tcPr>
          <w:p w14:paraId="14413A0C"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gl </w:t>
            </w:r>
          </w:p>
        </w:tc>
        <w:tc>
          <w:tcPr>
            <w:tcW w:w="697" w:type="pct"/>
            <w:tcBorders>
              <w:top w:val="single" w:sz="4" w:space="0" w:color="auto"/>
              <w:left w:val="nil"/>
              <w:bottom w:val="single" w:sz="4" w:space="0" w:color="auto"/>
              <w:right w:val="single" w:sz="4" w:space="0" w:color="auto"/>
            </w:tcBorders>
            <w:noWrap/>
            <w:vAlign w:val="bottom"/>
            <w:hideMark/>
          </w:tcPr>
          <w:p w14:paraId="255C9FB3"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698" w:type="pct"/>
            <w:tcBorders>
              <w:top w:val="single" w:sz="4" w:space="0" w:color="auto"/>
              <w:left w:val="nil"/>
              <w:bottom w:val="single" w:sz="4" w:space="0" w:color="auto"/>
              <w:right w:val="single" w:sz="4" w:space="0" w:color="auto"/>
            </w:tcBorders>
            <w:noWrap/>
            <w:vAlign w:val="bottom"/>
            <w:hideMark/>
          </w:tcPr>
          <w:p w14:paraId="6D676F7D"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698" w:type="pct"/>
            <w:tcBorders>
              <w:top w:val="single" w:sz="4" w:space="0" w:color="auto"/>
              <w:left w:val="nil"/>
              <w:bottom w:val="single" w:sz="4" w:space="0" w:color="auto"/>
              <w:right w:val="single" w:sz="4" w:space="0" w:color="auto"/>
            </w:tcBorders>
            <w:noWrap/>
            <w:vAlign w:val="bottom"/>
            <w:hideMark/>
          </w:tcPr>
          <w:p w14:paraId="342D09F8"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817" w:type="pct"/>
            <w:tcBorders>
              <w:top w:val="single" w:sz="4" w:space="0" w:color="auto"/>
              <w:left w:val="nil"/>
              <w:bottom w:val="single" w:sz="4" w:space="0" w:color="auto"/>
              <w:right w:val="single" w:sz="4" w:space="0" w:color="auto"/>
            </w:tcBorders>
            <w:noWrap/>
            <w:vAlign w:val="bottom"/>
            <w:hideMark/>
          </w:tcPr>
          <w:p w14:paraId="3EE436CD"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15A18E54"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17AB29F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97" w:type="pct"/>
            <w:tcBorders>
              <w:top w:val="nil"/>
              <w:left w:val="nil"/>
              <w:bottom w:val="single" w:sz="4" w:space="0" w:color="auto"/>
              <w:right w:val="single" w:sz="4" w:space="0" w:color="auto"/>
            </w:tcBorders>
            <w:noWrap/>
            <w:vAlign w:val="bottom"/>
            <w:hideMark/>
          </w:tcPr>
          <w:p w14:paraId="1C768F3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243,52</w:t>
            </w:r>
          </w:p>
        </w:tc>
        <w:tc>
          <w:tcPr>
            <w:tcW w:w="697" w:type="pct"/>
            <w:tcBorders>
              <w:top w:val="nil"/>
              <w:left w:val="nil"/>
              <w:bottom w:val="single" w:sz="4" w:space="0" w:color="auto"/>
              <w:right w:val="single" w:sz="4" w:space="0" w:color="auto"/>
            </w:tcBorders>
            <w:noWrap/>
            <w:vAlign w:val="bottom"/>
            <w:hideMark/>
          </w:tcPr>
          <w:p w14:paraId="0B606B8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697" w:type="pct"/>
            <w:tcBorders>
              <w:top w:val="nil"/>
              <w:left w:val="nil"/>
              <w:bottom w:val="single" w:sz="4" w:space="0" w:color="auto"/>
              <w:right w:val="single" w:sz="4" w:space="0" w:color="auto"/>
            </w:tcBorders>
            <w:noWrap/>
            <w:vAlign w:val="bottom"/>
            <w:hideMark/>
          </w:tcPr>
          <w:p w14:paraId="0D09BEE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7,86</w:t>
            </w:r>
          </w:p>
        </w:tc>
        <w:tc>
          <w:tcPr>
            <w:tcW w:w="698" w:type="pct"/>
            <w:tcBorders>
              <w:top w:val="nil"/>
              <w:left w:val="nil"/>
              <w:bottom w:val="single" w:sz="4" w:space="0" w:color="auto"/>
              <w:right w:val="single" w:sz="4" w:space="0" w:color="auto"/>
            </w:tcBorders>
            <w:noWrap/>
            <w:vAlign w:val="bottom"/>
            <w:hideMark/>
          </w:tcPr>
          <w:p w14:paraId="49EDB23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5,73</w:t>
            </w:r>
          </w:p>
        </w:tc>
        <w:tc>
          <w:tcPr>
            <w:tcW w:w="698" w:type="pct"/>
            <w:tcBorders>
              <w:top w:val="nil"/>
              <w:left w:val="nil"/>
              <w:bottom w:val="single" w:sz="4" w:space="0" w:color="auto"/>
              <w:right w:val="single" w:sz="4" w:space="0" w:color="auto"/>
            </w:tcBorders>
            <w:noWrap/>
            <w:vAlign w:val="bottom"/>
            <w:hideMark/>
          </w:tcPr>
          <w:p w14:paraId="3EDA729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5D6C0FA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45,94</w:t>
            </w:r>
          </w:p>
        </w:tc>
      </w:tr>
      <w:tr w:rsidR="00C82BCC" w14:paraId="32D1264B"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71DDEE6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Provincia</w:t>
            </w:r>
          </w:p>
        </w:tc>
        <w:tc>
          <w:tcPr>
            <w:tcW w:w="697" w:type="pct"/>
            <w:tcBorders>
              <w:top w:val="nil"/>
              <w:left w:val="nil"/>
              <w:bottom w:val="single" w:sz="4" w:space="0" w:color="auto"/>
              <w:right w:val="single" w:sz="4" w:space="0" w:color="auto"/>
            </w:tcBorders>
            <w:noWrap/>
            <w:vAlign w:val="bottom"/>
            <w:hideMark/>
          </w:tcPr>
          <w:p w14:paraId="6A0ECC1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36,29</w:t>
            </w:r>
          </w:p>
        </w:tc>
        <w:tc>
          <w:tcPr>
            <w:tcW w:w="697" w:type="pct"/>
            <w:tcBorders>
              <w:top w:val="nil"/>
              <w:left w:val="nil"/>
              <w:bottom w:val="single" w:sz="4" w:space="0" w:color="auto"/>
              <w:right w:val="single" w:sz="4" w:space="0" w:color="auto"/>
            </w:tcBorders>
            <w:noWrap/>
            <w:vAlign w:val="bottom"/>
            <w:hideMark/>
          </w:tcPr>
          <w:p w14:paraId="54B95C7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97" w:type="pct"/>
            <w:tcBorders>
              <w:top w:val="nil"/>
              <w:left w:val="nil"/>
              <w:bottom w:val="single" w:sz="4" w:space="0" w:color="auto"/>
              <w:right w:val="single" w:sz="4" w:space="0" w:color="auto"/>
            </w:tcBorders>
            <w:noWrap/>
            <w:vAlign w:val="bottom"/>
            <w:hideMark/>
          </w:tcPr>
          <w:p w14:paraId="661CF23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18,14</w:t>
            </w:r>
          </w:p>
        </w:tc>
        <w:tc>
          <w:tcPr>
            <w:tcW w:w="698" w:type="pct"/>
            <w:tcBorders>
              <w:top w:val="nil"/>
              <w:left w:val="nil"/>
              <w:bottom w:val="single" w:sz="4" w:space="0" w:color="auto"/>
              <w:right w:val="single" w:sz="4" w:space="0" w:color="auto"/>
            </w:tcBorders>
            <w:noWrap/>
            <w:vAlign w:val="bottom"/>
            <w:hideMark/>
          </w:tcPr>
          <w:p w14:paraId="7F85B9B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13,23</w:t>
            </w:r>
          </w:p>
        </w:tc>
        <w:tc>
          <w:tcPr>
            <w:tcW w:w="698" w:type="pct"/>
            <w:tcBorders>
              <w:top w:val="nil"/>
              <w:left w:val="nil"/>
              <w:bottom w:val="single" w:sz="4" w:space="0" w:color="auto"/>
              <w:right w:val="single" w:sz="4" w:space="0" w:color="auto"/>
            </w:tcBorders>
            <w:noWrap/>
            <w:vAlign w:val="bottom"/>
            <w:hideMark/>
          </w:tcPr>
          <w:p w14:paraId="4831A99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3444147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6,85</w:t>
            </w:r>
          </w:p>
        </w:tc>
      </w:tr>
      <w:tr w:rsidR="00C82BCC" w14:paraId="0EF5D70B"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1CB6CCA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97" w:type="pct"/>
            <w:tcBorders>
              <w:top w:val="nil"/>
              <w:left w:val="nil"/>
              <w:bottom w:val="single" w:sz="4" w:space="0" w:color="auto"/>
              <w:right w:val="single" w:sz="4" w:space="0" w:color="auto"/>
            </w:tcBorders>
            <w:noWrap/>
            <w:vAlign w:val="bottom"/>
            <w:hideMark/>
          </w:tcPr>
          <w:p w14:paraId="2BD638D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166,92</w:t>
            </w:r>
          </w:p>
        </w:tc>
        <w:tc>
          <w:tcPr>
            <w:tcW w:w="697" w:type="pct"/>
            <w:tcBorders>
              <w:top w:val="nil"/>
              <w:left w:val="nil"/>
              <w:bottom w:val="single" w:sz="4" w:space="0" w:color="auto"/>
              <w:right w:val="single" w:sz="4" w:space="0" w:color="auto"/>
            </w:tcBorders>
            <w:noWrap/>
            <w:vAlign w:val="bottom"/>
            <w:hideMark/>
          </w:tcPr>
          <w:p w14:paraId="544ED0C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w:t>
            </w:r>
          </w:p>
        </w:tc>
        <w:tc>
          <w:tcPr>
            <w:tcW w:w="697" w:type="pct"/>
            <w:tcBorders>
              <w:top w:val="nil"/>
              <w:left w:val="nil"/>
              <w:bottom w:val="single" w:sz="4" w:space="0" w:color="auto"/>
              <w:right w:val="single" w:sz="4" w:space="0" w:color="auto"/>
            </w:tcBorders>
            <w:noWrap/>
            <w:vAlign w:val="bottom"/>
            <w:hideMark/>
          </w:tcPr>
          <w:p w14:paraId="6EACC2E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18,55</w:t>
            </w:r>
          </w:p>
        </w:tc>
        <w:tc>
          <w:tcPr>
            <w:tcW w:w="698" w:type="pct"/>
            <w:tcBorders>
              <w:top w:val="nil"/>
              <w:left w:val="nil"/>
              <w:bottom w:val="single" w:sz="4" w:space="0" w:color="auto"/>
              <w:right w:val="single" w:sz="4" w:space="0" w:color="auto"/>
            </w:tcBorders>
            <w:noWrap/>
            <w:vAlign w:val="bottom"/>
            <w:hideMark/>
          </w:tcPr>
          <w:p w14:paraId="74BEED5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13,53</w:t>
            </w:r>
          </w:p>
        </w:tc>
        <w:tc>
          <w:tcPr>
            <w:tcW w:w="698" w:type="pct"/>
            <w:tcBorders>
              <w:top w:val="nil"/>
              <w:left w:val="nil"/>
              <w:bottom w:val="single" w:sz="4" w:space="0" w:color="auto"/>
              <w:right w:val="single" w:sz="4" w:space="0" w:color="auto"/>
            </w:tcBorders>
            <w:noWrap/>
            <w:vAlign w:val="bottom"/>
            <w:hideMark/>
          </w:tcPr>
          <w:p w14:paraId="5BA4FEF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63D574F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31,49</w:t>
            </w:r>
          </w:p>
        </w:tc>
      </w:tr>
      <w:tr w:rsidR="00C82BCC" w14:paraId="6B0F62C2"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08477F4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97" w:type="pct"/>
            <w:tcBorders>
              <w:top w:val="nil"/>
              <w:left w:val="nil"/>
              <w:bottom w:val="single" w:sz="4" w:space="0" w:color="auto"/>
              <w:right w:val="single" w:sz="4" w:space="0" w:color="auto"/>
            </w:tcBorders>
            <w:noWrap/>
            <w:vAlign w:val="bottom"/>
            <w:hideMark/>
          </w:tcPr>
          <w:p w14:paraId="39EA050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15,86</w:t>
            </w:r>
          </w:p>
        </w:tc>
        <w:tc>
          <w:tcPr>
            <w:tcW w:w="697" w:type="pct"/>
            <w:tcBorders>
              <w:top w:val="nil"/>
              <w:left w:val="nil"/>
              <w:bottom w:val="single" w:sz="4" w:space="0" w:color="auto"/>
              <w:right w:val="single" w:sz="4" w:space="0" w:color="auto"/>
            </w:tcBorders>
            <w:noWrap/>
            <w:vAlign w:val="bottom"/>
            <w:hideMark/>
          </w:tcPr>
          <w:p w14:paraId="61CEE52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97" w:type="pct"/>
            <w:tcBorders>
              <w:top w:val="nil"/>
              <w:left w:val="nil"/>
              <w:bottom w:val="single" w:sz="4" w:space="0" w:color="auto"/>
              <w:right w:val="single" w:sz="4" w:space="0" w:color="auto"/>
            </w:tcBorders>
            <w:noWrap/>
            <w:vAlign w:val="bottom"/>
            <w:hideMark/>
          </w:tcPr>
          <w:p w14:paraId="5939272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2,64</w:t>
            </w:r>
          </w:p>
        </w:tc>
        <w:tc>
          <w:tcPr>
            <w:tcW w:w="698" w:type="pct"/>
            <w:tcBorders>
              <w:top w:val="nil"/>
              <w:left w:val="nil"/>
              <w:bottom w:val="single" w:sz="4" w:space="0" w:color="auto"/>
              <w:right w:val="single" w:sz="4" w:space="0" w:color="auto"/>
            </w:tcBorders>
            <w:noWrap/>
            <w:vAlign w:val="bottom"/>
            <w:hideMark/>
          </w:tcPr>
          <w:p w14:paraId="00A0399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1,93</w:t>
            </w:r>
          </w:p>
        </w:tc>
        <w:tc>
          <w:tcPr>
            <w:tcW w:w="698" w:type="pct"/>
            <w:tcBorders>
              <w:top w:val="nil"/>
              <w:left w:val="nil"/>
              <w:bottom w:val="single" w:sz="4" w:space="0" w:color="auto"/>
              <w:right w:val="single" w:sz="4" w:space="0" w:color="auto"/>
            </w:tcBorders>
            <w:noWrap/>
            <w:vAlign w:val="bottom"/>
            <w:hideMark/>
          </w:tcPr>
          <w:p w14:paraId="1DCF478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0,0777</w:t>
            </w:r>
          </w:p>
        </w:tc>
        <w:tc>
          <w:tcPr>
            <w:tcW w:w="817" w:type="pct"/>
            <w:tcBorders>
              <w:top w:val="nil"/>
              <w:left w:val="nil"/>
              <w:bottom w:val="single" w:sz="4" w:space="0" w:color="auto"/>
              <w:right w:val="single" w:sz="4" w:space="0" w:color="auto"/>
            </w:tcBorders>
            <w:noWrap/>
            <w:vAlign w:val="bottom"/>
            <w:hideMark/>
          </w:tcPr>
          <w:p w14:paraId="33F8CE4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2,99</w:t>
            </w:r>
          </w:p>
        </w:tc>
      </w:tr>
      <w:tr w:rsidR="00C82BCC" w14:paraId="1FA550FC"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484C9B8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97" w:type="pct"/>
            <w:tcBorders>
              <w:top w:val="nil"/>
              <w:left w:val="nil"/>
              <w:bottom w:val="single" w:sz="4" w:space="0" w:color="auto"/>
              <w:right w:val="single" w:sz="4" w:space="0" w:color="auto"/>
            </w:tcBorders>
            <w:noWrap/>
            <w:vAlign w:val="bottom"/>
            <w:hideMark/>
          </w:tcPr>
          <w:p w14:paraId="3DF88E8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18,72</w:t>
            </w:r>
          </w:p>
        </w:tc>
        <w:tc>
          <w:tcPr>
            <w:tcW w:w="697" w:type="pct"/>
            <w:tcBorders>
              <w:top w:val="nil"/>
              <w:left w:val="nil"/>
              <w:bottom w:val="single" w:sz="4" w:space="0" w:color="auto"/>
              <w:right w:val="single" w:sz="4" w:space="0" w:color="auto"/>
            </w:tcBorders>
            <w:noWrap/>
            <w:vAlign w:val="bottom"/>
            <w:hideMark/>
          </w:tcPr>
          <w:p w14:paraId="0381634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97" w:type="pct"/>
            <w:tcBorders>
              <w:top w:val="nil"/>
              <w:left w:val="nil"/>
              <w:bottom w:val="single" w:sz="4" w:space="0" w:color="auto"/>
              <w:right w:val="single" w:sz="4" w:space="0" w:color="auto"/>
            </w:tcBorders>
            <w:noWrap/>
            <w:vAlign w:val="bottom"/>
            <w:hideMark/>
          </w:tcPr>
          <w:p w14:paraId="15CA938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3,12</w:t>
            </w:r>
          </w:p>
        </w:tc>
        <w:tc>
          <w:tcPr>
            <w:tcW w:w="698" w:type="pct"/>
            <w:tcBorders>
              <w:top w:val="nil"/>
              <w:left w:val="nil"/>
              <w:bottom w:val="single" w:sz="4" w:space="0" w:color="auto"/>
              <w:right w:val="single" w:sz="4" w:space="0" w:color="auto"/>
            </w:tcBorders>
            <w:noWrap/>
            <w:vAlign w:val="bottom"/>
            <w:hideMark/>
          </w:tcPr>
          <w:p w14:paraId="1789873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2,28</w:t>
            </w:r>
          </w:p>
        </w:tc>
        <w:tc>
          <w:tcPr>
            <w:tcW w:w="698" w:type="pct"/>
            <w:tcBorders>
              <w:top w:val="nil"/>
              <w:left w:val="nil"/>
              <w:bottom w:val="single" w:sz="4" w:space="0" w:color="auto"/>
              <w:right w:val="single" w:sz="4" w:space="0" w:color="auto"/>
            </w:tcBorders>
            <w:noWrap/>
            <w:vAlign w:val="bottom"/>
            <w:hideMark/>
          </w:tcPr>
          <w:p w14:paraId="1216250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0,0378</w:t>
            </w:r>
          </w:p>
        </w:tc>
        <w:tc>
          <w:tcPr>
            <w:tcW w:w="817" w:type="pct"/>
            <w:tcBorders>
              <w:top w:val="nil"/>
              <w:left w:val="nil"/>
              <w:bottom w:val="single" w:sz="4" w:space="0" w:color="auto"/>
              <w:right w:val="single" w:sz="4" w:space="0" w:color="auto"/>
            </w:tcBorders>
            <w:noWrap/>
            <w:vAlign w:val="bottom"/>
            <w:hideMark/>
          </w:tcPr>
          <w:p w14:paraId="7697264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3,53</w:t>
            </w:r>
          </w:p>
        </w:tc>
      </w:tr>
      <w:tr w:rsidR="00C82BCC" w14:paraId="1A4BB10F"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2420948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97" w:type="pct"/>
            <w:tcBorders>
              <w:top w:val="nil"/>
              <w:left w:val="nil"/>
              <w:bottom w:val="single" w:sz="4" w:space="0" w:color="auto"/>
              <w:right w:val="single" w:sz="4" w:space="0" w:color="auto"/>
            </w:tcBorders>
            <w:noWrap/>
            <w:vAlign w:val="bottom"/>
            <w:hideMark/>
          </w:tcPr>
          <w:p w14:paraId="10EE2B9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3,01</w:t>
            </w:r>
          </w:p>
        </w:tc>
        <w:tc>
          <w:tcPr>
            <w:tcW w:w="697" w:type="pct"/>
            <w:tcBorders>
              <w:top w:val="nil"/>
              <w:left w:val="nil"/>
              <w:bottom w:val="single" w:sz="4" w:space="0" w:color="auto"/>
              <w:right w:val="single" w:sz="4" w:space="0" w:color="auto"/>
            </w:tcBorders>
            <w:noWrap/>
            <w:vAlign w:val="bottom"/>
            <w:hideMark/>
          </w:tcPr>
          <w:p w14:paraId="1C0A72E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97" w:type="pct"/>
            <w:tcBorders>
              <w:top w:val="nil"/>
              <w:left w:val="nil"/>
              <w:bottom w:val="single" w:sz="4" w:space="0" w:color="auto"/>
              <w:right w:val="single" w:sz="4" w:space="0" w:color="auto"/>
            </w:tcBorders>
            <w:noWrap/>
            <w:vAlign w:val="bottom"/>
            <w:hideMark/>
          </w:tcPr>
          <w:p w14:paraId="57E6F33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0,75</w:t>
            </w:r>
          </w:p>
        </w:tc>
        <w:tc>
          <w:tcPr>
            <w:tcW w:w="698" w:type="pct"/>
            <w:tcBorders>
              <w:top w:val="nil"/>
              <w:left w:val="nil"/>
              <w:bottom w:val="single" w:sz="4" w:space="0" w:color="auto"/>
              <w:right w:val="single" w:sz="4" w:space="0" w:color="auto"/>
            </w:tcBorders>
            <w:noWrap/>
            <w:vAlign w:val="bottom"/>
            <w:hideMark/>
          </w:tcPr>
          <w:p w14:paraId="520D630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0,55</w:t>
            </w:r>
          </w:p>
        </w:tc>
        <w:tc>
          <w:tcPr>
            <w:tcW w:w="698" w:type="pct"/>
            <w:tcBorders>
              <w:top w:val="nil"/>
              <w:left w:val="nil"/>
              <w:bottom w:val="single" w:sz="4" w:space="0" w:color="auto"/>
              <w:right w:val="single" w:sz="4" w:space="0" w:color="auto"/>
            </w:tcBorders>
            <w:noWrap/>
            <w:vAlign w:val="bottom"/>
            <w:hideMark/>
          </w:tcPr>
          <w:p w14:paraId="669C68B7"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0,7007</w:t>
            </w:r>
          </w:p>
        </w:tc>
        <w:tc>
          <w:tcPr>
            <w:tcW w:w="817" w:type="pct"/>
            <w:tcBorders>
              <w:top w:val="nil"/>
              <w:left w:val="nil"/>
              <w:bottom w:val="single" w:sz="4" w:space="0" w:color="auto"/>
              <w:right w:val="single" w:sz="4" w:space="0" w:color="auto"/>
            </w:tcBorders>
            <w:noWrap/>
            <w:vAlign w:val="bottom"/>
            <w:hideMark/>
          </w:tcPr>
          <w:p w14:paraId="196A33A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0,57</w:t>
            </w:r>
          </w:p>
        </w:tc>
      </w:tr>
      <w:tr w:rsidR="00C82BCC" w14:paraId="6E01C78B"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64D452C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697" w:type="pct"/>
            <w:tcBorders>
              <w:top w:val="nil"/>
              <w:left w:val="nil"/>
              <w:bottom w:val="single" w:sz="4" w:space="0" w:color="auto"/>
              <w:right w:val="single" w:sz="4" w:space="0" w:color="auto"/>
            </w:tcBorders>
            <w:noWrap/>
            <w:vAlign w:val="bottom"/>
            <w:hideMark/>
          </w:tcPr>
          <w:p w14:paraId="4079982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2,73</w:t>
            </w:r>
          </w:p>
        </w:tc>
        <w:tc>
          <w:tcPr>
            <w:tcW w:w="697" w:type="pct"/>
            <w:tcBorders>
              <w:top w:val="nil"/>
              <w:left w:val="nil"/>
              <w:bottom w:val="single" w:sz="4" w:space="0" w:color="auto"/>
              <w:right w:val="single" w:sz="4" w:space="0" w:color="auto"/>
            </w:tcBorders>
            <w:noWrap/>
            <w:vAlign w:val="bottom"/>
            <w:hideMark/>
          </w:tcPr>
          <w:p w14:paraId="13CFF36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97" w:type="pct"/>
            <w:tcBorders>
              <w:top w:val="nil"/>
              <w:left w:val="nil"/>
              <w:bottom w:val="single" w:sz="4" w:space="0" w:color="auto"/>
              <w:right w:val="single" w:sz="4" w:space="0" w:color="auto"/>
            </w:tcBorders>
            <w:noWrap/>
            <w:vAlign w:val="bottom"/>
            <w:hideMark/>
          </w:tcPr>
          <w:p w14:paraId="2BB99654"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0,68</w:t>
            </w:r>
          </w:p>
        </w:tc>
        <w:tc>
          <w:tcPr>
            <w:tcW w:w="698" w:type="pct"/>
            <w:tcBorders>
              <w:top w:val="nil"/>
              <w:left w:val="nil"/>
              <w:bottom w:val="single" w:sz="4" w:space="0" w:color="auto"/>
              <w:right w:val="single" w:sz="4" w:space="0" w:color="auto"/>
            </w:tcBorders>
            <w:noWrap/>
            <w:vAlign w:val="bottom"/>
            <w:hideMark/>
          </w:tcPr>
          <w:p w14:paraId="09C8DB2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w:t>
            </w:r>
          </w:p>
        </w:tc>
        <w:tc>
          <w:tcPr>
            <w:tcW w:w="698" w:type="pct"/>
            <w:tcBorders>
              <w:top w:val="nil"/>
              <w:left w:val="nil"/>
              <w:bottom w:val="single" w:sz="4" w:space="0" w:color="auto"/>
              <w:right w:val="single" w:sz="4" w:space="0" w:color="auto"/>
            </w:tcBorders>
            <w:noWrap/>
            <w:vAlign w:val="bottom"/>
            <w:hideMark/>
          </w:tcPr>
          <w:p w14:paraId="798D0BD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0,7373</w:t>
            </w:r>
          </w:p>
        </w:tc>
        <w:tc>
          <w:tcPr>
            <w:tcW w:w="817" w:type="pct"/>
            <w:tcBorders>
              <w:top w:val="nil"/>
              <w:left w:val="nil"/>
              <w:bottom w:val="single" w:sz="4" w:space="0" w:color="auto"/>
              <w:right w:val="single" w:sz="4" w:space="0" w:color="auto"/>
            </w:tcBorders>
            <w:noWrap/>
            <w:vAlign w:val="bottom"/>
            <w:hideMark/>
          </w:tcPr>
          <w:p w14:paraId="330BFD5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0,52</w:t>
            </w:r>
          </w:p>
        </w:tc>
      </w:tr>
      <w:tr w:rsidR="00C82BCC" w14:paraId="7C64CBF3"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5551056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97" w:type="pct"/>
            <w:tcBorders>
              <w:top w:val="nil"/>
              <w:left w:val="nil"/>
              <w:bottom w:val="single" w:sz="4" w:space="0" w:color="auto"/>
              <w:right w:val="single" w:sz="4" w:space="0" w:color="auto"/>
            </w:tcBorders>
            <w:noWrap/>
            <w:vAlign w:val="bottom"/>
            <w:hideMark/>
          </w:tcPr>
          <w:p w14:paraId="2048F51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286,52</w:t>
            </w:r>
          </w:p>
        </w:tc>
        <w:tc>
          <w:tcPr>
            <w:tcW w:w="697" w:type="pct"/>
            <w:tcBorders>
              <w:top w:val="nil"/>
              <w:left w:val="nil"/>
              <w:bottom w:val="single" w:sz="4" w:space="0" w:color="auto"/>
              <w:right w:val="single" w:sz="4" w:space="0" w:color="auto"/>
            </w:tcBorders>
            <w:noWrap/>
            <w:vAlign w:val="bottom"/>
            <w:hideMark/>
          </w:tcPr>
          <w:p w14:paraId="29EF67C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209</w:t>
            </w:r>
          </w:p>
        </w:tc>
        <w:tc>
          <w:tcPr>
            <w:tcW w:w="697" w:type="pct"/>
            <w:tcBorders>
              <w:top w:val="nil"/>
              <w:left w:val="nil"/>
              <w:bottom w:val="single" w:sz="4" w:space="0" w:color="auto"/>
              <w:right w:val="single" w:sz="4" w:space="0" w:color="auto"/>
            </w:tcBorders>
            <w:noWrap/>
            <w:vAlign w:val="bottom"/>
            <w:hideMark/>
          </w:tcPr>
          <w:p w14:paraId="606DBAE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1,37</w:t>
            </w:r>
          </w:p>
        </w:tc>
        <w:tc>
          <w:tcPr>
            <w:tcW w:w="698" w:type="pct"/>
            <w:tcBorders>
              <w:top w:val="nil"/>
              <w:left w:val="nil"/>
              <w:bottom w:val="single" w:sz="4" w:space="0" w:color="auto"/>
              <w:right w:val="single" w:sz="4" w:space="0" w:color="auto"/>
            </w:tcBorders>
            <w:noWrap/>
            <w:vAlign w:val="bottom"/>
            <w:hideMark/>
          </w:tcPr>
          <w:p w14:paraId="6CA8EA5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27320590"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17" w:type="pct"/>
            <w:tcBorders>
              <w:top w:val="nil"/>
              <w:left w:val="nil"/>
              <w:bottom w:val="single" w:sz="4" w:space="0" w:color="auto"/>
              <w:right w:val="single" w:sz="4" w:space="0" w:color="auto"/>
            </w:tcBorders>
            <w:noWrap/>
            <w:vAlign w:val="bottom"/>
            <w:hideMark/>
          </w:tcPr>
          <w:p w14:paraId="450C1A9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54,06</w:t>
            </w:r>
          </w:p>
        </w:tc>
      </w:tr>
      <w:tr w:rsidR="00C82BCC" w14:paraId="0D9C4AE0"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41F112D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97" w:type="pct"/>
            <w:tcBorders>
              <w:top w:val="nil"/>
              <w:left w:val="nil"/>
              <w:bottom w:val="single" w:sz="4" w:space="0" w:color="auto"/>
              <w:right w:val="single" w:sz="4" w:space="0" w:color="auto"/>
            </w:tcBorders>
            <w:noWrap/>
            <w:vAlign w:val="bottom"/>
            <w:hideMark/>
          </w:tcPr>
          <w:p w14:paraId="586D0C7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530,04</w:t>
            </w:r>
          </w:p>
        </w:tc>
        <w:tc>
          <w:tcPr>
            <w:tcW w:w="697" w:type="pct"/>
            <w:tcBorders>
              <w:top w:val="nil"/>
              <w:left w:val="nil"/>
              <w:bottom w:val="single" w:sz="4" w:space="0" w:color="auto"/>
              <w:right w:val="single" w:sz="4" w:space="0" w:color="auto"/>
            </w:tcBorders>
            <w:noWrap/>
            <w:vAlign w:val="bottom"/>
            <w:hideMark/>
          </w:tcPr>
          <w:p w14:paraId="6A84E25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240</w:t>
            </w:r>
          </w:p>
        </w:tc>
        <w:tc>
          <w:tcPr>
            <w:tcW w:w="697" w:type="pct"/>
            <w:tcBorders>
              <w:top w:val="nil"/>
              <w:left w:val="nil"/>
              <w:bottom w:val="single" w:sz="4" w:space="0" w:color="auto"/>
              <w:right w:val="single" w:sz="4" w:space="0" w:color="auto"/>
            </w:tcBorders>
            <w:noWrap/>
            <w:vAlign w:val="bottom"/>
            <w:hideMark/>
          </w:tcPr>
          <w:p w14:paraId="06EBEFA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2455E7E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0EAD998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17" w:type="pct"/>
            <w:tcBorders>
              <w:top w:val="nil"/>
              <w:left w:val="nil"/>
              <w:bottom w:val="single" w:sz="4" w:space="0" w:color="auto"/>
              <w:right w:val="single" w:sz="4" w:space="0" w:color="auto"/>
            </w:tcBorders>
            <w:noWrap/>
            <w:vAlign w:val="bottom"/>
            <w:hideMark/>
          </w:tcPr>
          <w:p w14:paraId="34E69985"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241B4BF6" w14:textId="2EF98409" w:rsidR="00C82BCC" w:rsidRPr="00732356" w:rsidRDefault="00C82BCC" w:rsidP="00732356">
      <w:pPr>
        <w:autoSpaceDE w:val="0"/>
        <w:autoSpaceDN w:val="0"/>
        <w:adjustRightInd w:val="0"/>
        <w:spacing w:before="360" w:after="0" w:line="360" w:lineRule="auto"/>
        <w:rPr>
          <w:rFonts w:cs="Times New Roman"/>
          <w:szCs w:val="24"/>
          <w:u w:val="single"/>
        </w:rPr>
      </w:pPr>
      <w:r>
        <w:rPr>
          <w:rFonts w:cs="Times New Roman"/>
          <w:bCs/>
          <w:szCs w:val="24"/>
        </w:rPr>
        <w:t>El modelo estadístico establecido explicó el 45,94 % de la variación observada en los datos; siendo nitrógeno el nutriente más importante que explicó el 31,49 % de la variación observada. El 54,06 % de la variación se les atribuyó a efectos aleatorios que el modelo no pudo explicar (error). El efecto de provincia y potasio explicaron el 6,85% y 3,53 % del rendimiento, respectivamente. El resto de nutrientes explicaron menos del 5% del rendimiento (</w:t>
      </w:r>
      <w:r w:rsidR="00C21A60">
        <w:rPr>
          <w:rFonts w:cs="Times New Roman"/>
          <w:bCs/>
          <w:szCs w:val="24"/>
        </w:rPr>
        <w:t>Cuadro</w:t>
      </w:r>
      <w:r>
        <w:rPr>
          <w:rFonts w:cs="Times New Roman"/>
          <w:bCs/>
          <w:szCs w:val="24"/>
        </w:rPr>
        <w:t>14</w:t>
      </w:r>
      <w:r w:rsidR="00F25CE6">
        <w:rPr>
          <w:rFonts w:cs="Times New Roman"/>
          <w:bCs/>
          <w:szCs w:val="24"/>
        </w:rPr>
        <w:t>2</w:t>
      </w:r>
      <w:r>
        <w:rPr>
          <w:rFonts w:cs="Times New Roman"/>
          <w:bCs/>
          <w:szCs w:val="24"/>
        </w:rPr>
        <w:t xml:space="preserve">).  </w:t>
      </w:r>
    </w:p>
    <w:p w14:paraId="7D9FD9B3" w14:textId="77777777" w:rsidR="00732356" w:rsidRDefault="00C82BCC" w:rsidP="00732356">
      <w:pPr>
        <w:autoSpaceDE w:val="0"/>
        <w:autoSpaceDN w:val="0"/>
        <w:adjustRightInd w:val="0"/>
        <w:spacing w:before="360" w:after="360" w:line="360" w:lineRule="auto"/>
        <w:rPr>
          <w:rFonts w:cs="Times New Roman"/>
          <w:bCs/>
          <w:szCs w:val="24"/>
        </w:rPr>
      </w:pPr>
      <w:r>
        <w:rPr>
          <w:rFonts w:cs="Times New Roman"/>
          <w:bCs/>
          <w:szCs w:val="24"/>
        </w:rPr>
        <w:t xml:space="preserve">En </w:t>
      </w:r>
      <w:r w:rsidR="00C21A60">
        <w:rPr>
          <w:rFonts w:cs="Times New Roman"/>
          <w:bCs/>
          <w:szCs w:val="24"/>
        </w:rPr>
        <w:t>los cuadros</w:t>
      </w:r>
      <w:r w:rsidR="0039325D">
        <w:rPr>
          <w:rFonts w:cs="Times New Roman"/>
          <w:bCs/>
          <w:szCs w:val="24"/>
        </w:rPr>
        <w:t xml:space="preserve"> 142, </w:t>
      </w:r>
      <w:r>
        <w:rPr>
          <w:rFonts w:cs="Times New Roman"/>
          <w:bCs/>
          <w:szCs w:val="24"/>
        </w:rPr>
        <w:t>143, 144, 145, 146</w:t>
      </w:r>
      <w:r w:rsidR="00F25CE6">
        <w:rPr>
          <w:rFonts w:cs="Times New Roman"/>
          <w:bCs/>
          <w:szCs w:val="24"/>
        </w:rPr>
        <w:t xml:space="preserve">, </w:t>
      </w:r>
      <w:r>
        <w:rPr>
          <w:rFonts w:cs="Times New Roman"/>
          <w:bCs/>
          <w:szCs w:val="24"/>
        </w:rPr>
        <w:t xml:space="preserve">147 se presentan los promedios y el error estándar de rendimiento por efecto de las localidades (provincia) y los niveles de nitrógeno, fósforo, potasio, azufre, magnesio con su respectiva prueba de Lsd Fisher (alfa=0,05).  </w:t>
      </w:r>
      <w:bookmarkStart w:id="2007" w:name="_Toc79314135"/>
    </w:p>
    <w:p w14:paraId="72DF99C6" w14:textId="4AB1AB4A" w:rsidR="00253EF4" w:rsidRPr="00732356" w:rsidRDefault="00253EF4" w:rsidP="00732356">
      <w:pPr>
        <w:autoSpaceDE w:val="0"/>
        <w:autoSpaceDN w:val="0"/>
        <w:adjustRightInd w:val="0"/>
        <w:spacing w:before="360" w:after="0" w:line="360" w:lineRule="auto"/>
        <w:rPr>
          <w:rFonts w:cs="Times New Roman"/>
          <w:bCs/>
          <w:szCs w:val="24"/>
        </w:rPr>
      </w:pPr>
      <w:r w:rsidRPr="00253EF4">
        <w:rPr>
          <w:rFonts w:cs="Times New Roman"/>
          <w:b/>
          <w:bCs/>
          <w:szCs w:val="24"/>
        </w:rPr>
        <w:t xml:space="preserve">Cuadro </w:t>
      </w:r>
      <w:r w:rsidRPr="00253EF4">
        <w:rPr>
          <w:rFonts w:cs="Times New Roman"/>
          <w:b/>
          <w:bCs/>
          <w:i/>
          <w:iCs/>
          <w:szCs w:val="24"/>
        </w:rPr>
        <w:fldChar w:fldCharType="begin"/>
      </w:r>
      <w:r w:rsidRPr="00253EF4">
        <w:rPr>
          <w:rFonts w:cs="Times New Roman"/>
          <w:b/>
          <w:bCs/>
          <w:szCs w:val="24"/>
        </w:rPr>
        <w:instrText xml:space="preserve"> SEQ Cuadro \* ARABIC </w:instrText>
      </w:r>
      <w:r w:rsidRPr="00253EF4">
        <w:rPr>
          <w:rFonts w:cs="Times New Roman"/>
          <w:b/>
          <w:bCs/>
          <w:i/>
          <w:iCs/>
          <w:szCs w:val="24"/>
        </w:rPr>
        <w:fldChar w:fldCharType="separate"/>
      </w:r>
      <w:r w:rsidR="000D1F55">
        <w:rPr>
          <w:rFonts w:cs="Times New Roman"/>
          <w:b/>
          <w:bCs/>
          <w:noProof/>
          <w:szCs w:val="24"/>
        </w:rPr>
        <w:t>143</w:t>
      </w:r>
      <w:r w:rsidRPr="00253EF4">
        <w:rPr>
          <w:rFonts w:cs="Times New Roman"/>
          <w:b/>
          <w:bCs/>
          <w:i/>
          <w:iCs/>
          <w:szCs w:val="24"/>
        </w:rPr>
        <w:fldChar w:fldCharType="end"/>
      </w:r>
      <w:r w:rsidRPr="00253EF4">
        <w:rPr>
          <w:rFonts w:cs="Times New Roman"/>
          <w:b/>
          <w:bCs/>
          <w:szCs w:val="24"/>
        </w:rPr>
        <w:t>.</w:t>
      </w:r>
      <w:r w:rsidRPr="00253EF4">
        <w:rPr>
          <w:rFonts w:cs="Times New Roman"/>
          <w:bCs/>
          <w:szCs w:val="24"/>
        </w:rPr>
        <w:t xml:space="preserve"> Rendimiento de maíz suave en grano seco, evaluado (Consolidado) en las provincias de Bolívar, Chimborazo, Imbabura 2006-2015.</w:t>
      </w:r>
      <w:bookmarkEnd w:id="2007"/>
    </w:p>
    <w:tbl>
      <w:tblPr>
        <w:tblW w:w="7327" w:type="dxa"/>
        <w:jc w:val="center"/>
        <w:tblCellMar>
          <w:left w:w="70" w:type="dxa"/>
          <w:right w:w="70" w:type="dxa"/>
        </w:tblCellMar>
        <w:tblLook w:val="04A0" w:firstRow="1" w:lastRow="0" w:firstColumn="1" w:lastColumn="0" w:noHBand="0" w:noVBand="1"/>
      </w:tblPr>
      <w:tblGrid>
        <w:gridCol w:w="1327"/>
        <w:gridCol w:w="1200"/>
        <w:gridCol w:w="729"/>
        <w:gridCol w:w="2126"/>
        <w:gridCol w:w="745"/>
        <w:gridCol w:w="1200"/>
      </w:tblGrid>
      <w:tr w:rsidR="00C82BCC" w14:paraId="33CA7D3C" w14:textId="77777777" w:rsidTr="001B4E97">
        <w:trPr>
          <w:trHeight w:val="300"/>
          <w:jc w:val="center"/>
        </w:trPr>
        <w:tc>
          <w:tcPr>
            <w:tcW w:w="1327" w:type="dxa"/>
            <w:tcBorders>
              <w:top w:val="single" w:sz="4" w:space="0" w:color="auto"/>
              <w:left w:val="single" w:sz="4" w:space="0" w:color="auto"/>
              <w:bottom w:val="single" w:sz="4" w:space="0" w:color="auto"/>
              <w:right w:val="single" w:sz="4" w:space="0" w:color="auto"/>
            </w:tcBorders>
            <w:noWrap/>
            <w:vAlign w:val="bottom"/>
            <w:hideMark/>
          </w:tcPr>
          <w:p w14:paraId="4400C436"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Provincia </w:t>
            </w:r>
          </w:p>
        </w:tc>
        <w:tc>
          <w:tcPr>
            <w:tcW w:w="1200" w:type="dxa"/>
            <w:tcBorders>
              <w:top w:val="single" w:sz="4" w:space="0" w:color="auto"/>
              <w:left w:val="nil"/>
              <w:bottom w:val="single" w:sz="4" w:space="0" w:color="auto"/>
              <w:right w:val="single" w:sz="4" w:space="0" w:color="auto"/>
            </w:tcBorders>
            <w:noWrap/>
            <w:vAlign w:val="bottom"/>
            <w:hideMark/>
          </w:tcPr>
          <w:p w14:paraId="6C741B1D"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29" w:type="dxa"/>
            <w:tcBorders>
              <w:top w:val="single" w:sz="4" w:space="0" w:color="auto"/>
              <w:left w:val="nil"/>
              <w:bottom w:val="single" w:sz="4" w:space="0" w:color="auto"/>
              <w:right w:val="single" w:sz="4" w:space="0" w:color="auto"/>
            </w:tcBorders>
            <w:noWrap/>
            <w:vAlign w:val="bottom"/>
            <w:hideMark/>
          </w:tcPr>
          <w:p w14:paraId="3D411D06"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2126" w:type="dxa"/>
            <w:tcBorders>
              <w:top w:val="single" w:sz="4" w:space="0" w:color="auto"/>
              <w:left w:val="nil"/>
              <w:bottom w:val="single" w:sz="4" w:space="0" w:color="auto"/>
              <w:right w:val="single" w:sz="4" w:space="0" w:color="auto"/>
            </w:tcBorders>
            <w:noWrap/>
            <w:vAlign w:val="bottom"/>
            <w:hideMark/>
          </w:tcPr>
          <w:p w14:paraId="060341D4" w14:textId="77777777" w:rsidR="00C82BCC" w:rsidRDefault="00C82BCC" w:rsidP="00732356">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745" w:type="dxa"/>
            <w:tcBorders>
              <w:top w:val="single" w:sz="4" w:space="0" w:color="auto"/>
              <w:left w:val="single" w:sz="4" w:space="0" w:color="auto"/>
              <w:bottom w:val="single" w:sz="4" w:space="0" w:color="auto"/>
              <w:right w:val="nil"/>
            </w:tcBorders>
            <w:noWrap/>
            <w:vAlign w:val="bottom"/>
            <w:hideMark/>
          </w:tcPr>
          <w:p w14:paraId="460122E7" w14:textId="77777777" w:rsidR="00C82BCC" w:rsidRDefault="00C82BCC" w:rsidP="00732356">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34A4DD4C" w14:textId="77777777" w:rsidR="00C82BCC" w:rsidRDefault="00C82BCC" w:rsidP="00732356">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3A444B09" w14:textId="77777777" w:rsidTr="001B4E97">
        <w:trPr>
          <w:trHeight w:val="300"/>
          <w:jc w:val="center"/>
        </w:trPr>
        <w:tc>
          <w:tcPr>
            <w:tcW w:w="1327" w:type="dxa"/>
            <w:tcBorders>
              <w:top w:val="nil"/>
              <w:left w:val="single" w:sz="4" w:space="0" w:color="auto"/>
              <w:bottom w:val="single" w:sz="4" w:space="0" w:color="auto"/>
              <w:right w:val="single" w:sz="4" w:space="0" w:color="auto"/>
            </w:tcBorders>
            <w:noWrap/>
            <w:vAlign w:val="bottom"/>
            <w:hideMark/>
          </w:tcPr>
          <w:p w14:paraId="7A332B5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Bolívar   </w:t>
            </w:r>
          </w:p>
        </w:tc>
        <w:tc>
          <w:tcPr>
            <w:tcW w:w="1200" w:type="dxa"/>
            <w:tcBorders>
              <w:top w:val="nil"/>
              <w:left w:val="nil"/>
              <w:bottom w:val="single" w:sz="4" w:space="0" w:color="auto"/>
              <w:right w:val="single" w:sz="4" w:space="0" w:color="auto"/>
            </w:tcBorders>
            <w:noWrap/>
            <w:vAlign w:val="bottom"/>
            <w:hideMark/>
          </w:tcPr>
          <w:p w14:paraId="1813239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3,76</w:t>
            </w:r>
          </w:p>
        </w:tc>
        <w:tc>
          <w:tcPr>
            <w:tcW w:w="729" w:type="dxa"/>
            <w:tcBorders>
              <w:top w:val="nil"/>
              <w:left w:val="nil"/>
              <w:bottom w:val="single" w:sz="4" w:space="0" w:color="auto"/>
              <w:right w:val="single" w:sz="4" w:space="0" w:color="auto"/>
            </w:tcBorders>
            <w:noWrap/>
            <w:vAlign w:val="bottom"/>
            <w:hideMark/>
          </w:tcPr>
          <w:p w14:paraId="314A2B0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w:t>
            </w:r>
          </w:p>
        </w:tc>
        <w:tc>
          <w:tcPr>
            <w:tcW w:w="2126" w:type="dxa"/>
            <w:tcBorders>
              <w:top w:val="nil"/>
              <w:left w:val="nil"/>
              <w:bottom w:val="single" w:sz="4" w:space="0" w:color="auto"/>
              <w:right w:val="single" w:sz="4" w:space="0" w:color="auto"/>
            </w:tcBorders>
            <w:noWrap/>
            <w:vAlign w:val="bottom"/>
            <w:hideMark/>
          </w:tcPr>
          <w:p w14:paraId="05629CF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0,16</w:t>
            </w:r>
          </w:p>
        </w:tc>
        <w:tc>
          <w:tcPr>
            <w:tcW w:w="745" w:type="dxa"/>
            <w:tcBorders>
              <w:top w:val="single" w:sz="4" w:space="0" w:color="auto"/>
              <w:left w:val="nil"/>
              <w:bottom w:val="single" w:sz="4" w:space="0" w:color="auto"/>
              <w:right w:val="single" w:sz="4" w:space="0" w:color="auto"/>
            </w:tcBorders>
            <w:noWrap/>
            <w:vAlign w:val="bottom"/>
            <w:hideMark/>
          </w:tcPr>
          <w:p w14:paraId="332B8FC2"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2936E6E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4C937F3" w14:textId="77777777" w:rsidTr="001B4E97">
        <w:trPr>
          <w:trHeight w:val="300"/>
          <w:jc w:val="center"/>
        </w:trPr>
        <w:tc>
          <w:tcPr>
            <w:tcW w:w="1327" w:type="dxa"/>
            <w:tcBorders>
              <w:top w:val="nil"/>
              <w:left w:val="single" w:sz="4" w:space="0" w:color="auto"/>
              <w:bottom w:val="single" w:sz="4" w:space="0" w:color="auto"/>
              <w:right w:val="single" w:sz="4" w:space="0" w:color="auto"/>
            </w:tcBorders>
            <w:noWrap/>
            <w:vAlign w:val="bottom"/>
            <w:hideMark/>
          </w:tcPr>
          <w:p w14:paraId="68FF776D"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Chimborazo</w:t>
            </w:r>
          </w:p>
        </w:tc>
        <w:tc>
          <w:tcPr>
            <w:tcW w:w="1200" w:type="dxa"/>
            <w:tcBorders>
              <w:top w:val="nil"/>
              <w:left w:val="nil"/>
              <w:bottom w:val="single" w:sz="4" w:space="0" w:color="auto"/>
              <w:right w:val="single" w:sz="4" w:space="0" w:color="auto"/>
            </w:tcBorders>
            <w:noWrap/>
            <w:vAlign w:val="bottom"/>
            <w:hideMark/>
          </w:tcPr>
          <w:p w14:paraId="2B9584A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4,58</w:t>
            </w:r>
          </w:p>
        </w:tc>
        <w:tc>
          <w:tcPr>
            <w:tcW w:w="729" w:type="dxa"/>
            <w:tcBorders>
              <w:top w:val="nil"/>
              <w:left w:val="nil"/>
              <w:bottom w:val="single" w:sz="4" w:space="0" w:color="auto"/>
              <w:right w:val="single" w:sz="4" w:space="0" w:color="auto"/>
            </w:tcBorders>
            <w:noWrap/>
            <w:vAlign w:val="bottom"/>
            <w:hideMark/>
          </w:tcPr>
          <w:p w14:paraId="220F2F19"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w:t>
            </w:r>
          </w:p>
        </w:tc>
        <w:tc>
          <w:tcPr>
            <w:tcW w:w="2126" w:type="dxa"/>
            <w:tcBorders>
              <w:top w:val="nil"/>
              <w:left w:val="nil"/>
              <w:bottom w:val="single" w:sz="4" w:space="0" w:color="auto"/>
              <w:right w:val="single" w:sz="4" w:space="0" w:color="auto"/>
            </w:tcBorders>
            <w:noWrap/>
            <w:vAlign w:val="bottom"/>
            <w:hideMark/>
          </w:tcPr>
          <w:p w14:paraId="3B8E948B"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c>
          <w:tcPr>
            <w:tcW w:w="745" w:type="dxa"/>
            <w:tcBorders>
              <w:top w:val="nil"/>
              <w:left w:val="nil"/>
              <w:bottom w:val="single" w:sz="4" w:space="0" w:color="auto"/>
              <w:right w:val="single" w:sz="4" w:space="0" w:color="auto"/>
            </w:tcBorders>
            <w:noWrap/>
            <w:vAlign w:val="bottom"/>
            <w:hideMark/>
          </w:tcPr>
          <w:p w14:paraId="67E576C1"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6909B748"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38E458DE" w14:textId="77777777" w:rsidTr="001B4E97">
        <w:trPr>
          <w:trHeight w:val="300"/>
          <w:jc w:val="center"/>
        </w:trPr>
        <w:tc>
          <w:tcPr>
            <w:tcW w:w="1327" w:type="dxa"/>
            <w:tcBorders>
              <w:top w:val="nil"/>
              <w:left w:val="single" w:sz="4" w:space="0" w:color="auto"/>
              <w:bottom w:val="single" w:sz="4" w:space="0" w:color="auto"/>
              <w:right w:val="single" w:sz="4" w:space="0" w:color="auto"/>
            </w:tcBorders>
            <w:noWrap/>
            <w:vAlign w:val="bottom"/>
            <w:hideMark/>
          </w:tcPr>
          <w:p w14:paraId="2674233F"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Imbabura  </w:t>
            </w:r>
          </w:p>
        </w:tc>
        <w:tc>
          <w:tcPr>
            <w:tcW w:w="1200" w:type="dxa"/>
            <w:tcBorders>
              <w:top w:val="nil"/>
              <w:left w:val="nil"/>
              <w:bottom w:val="single" w:sz="4" w:space="0" w:color="auto"/>
              <w:right w:val="single" w:sz="4" w:space="0" w:color="auto"/>
            </w:tcBorders>
            <w:noWrap/>
            <w:vAlign w:val="bottom"/>
            <w:hideMark/>
          </w:tcPr>
          <w:p w14:paraId="5078E3AE"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4,68</w:t>
            </w:r>
          </w:p>
        </w:tc>
        <w:tc>
          <w:tcPr>
            <w:tcW w:w="729" w:type="dxa"/>
            <w:tcBorders>
              <w:top w:val="nil"/>
              <w:left w:val="nil"/>
              <w:bottom w:val="single" w:sz="4" w:space="0" w:color="auto"/>
              <w:right w:val="single" w:sz="4" w:space="0" w:color="auto"/>
            </w:tcBorders>
            <w:noWrap/>
            <w:vAlign w:val="bottom"/>
            <w:hideMark/>
          </w:tcPr>
          <w:p w14:paraId="48C3621A"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w:t>
            </w:r>
          </w:p>
        </w:tc>
        <w:tc>
          <w:tcPr>
            <w:tcW w:w="2126" w:type="dxa"/>
            <w:tcBorders>
              <w:top w:val="nil"/>
              <w:left w:val="nil"/>
              <w:bottom w:val="single" w:sz="4" w:space="0" w:color="auto"/>
              <w:right w:val="single" w:sz="4" w:space="0" w:color="auto"/>
            </w:tcBorders>
            <w:noWrap/>
            <w:vAlign w:val="bottom"/>
            <w:hideMark/>
          </w:tcPr>
          <w:p w14:paraId="0A975BC3"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c>
          <w:tcPr>
            <w:tcW w:w="745" w:type="dxa"/>
            <w:tcBorders>
              <w:top w:val="nil"/>
              <w:left w:val="nil"/>
              <w:bottom w:val="single" w:sz="4" w:space="0" w:color="auto"/>
              <w:right w:val="single" w:sz="4" w:space="0" w:color="auto"/>
            </w:tcBorders>
            <w:noWrap/>
            <w:vAlign w:val="bottom"/>
            <w:hideMark/>
          </w:tcPr>
          <w:p w14:paraId="6BA7F2EC"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251F3296" w14:textId="77777777" w:rsidR="00C82BCC" w:rsidRDefault="00C82BCC" w:rsidP="00732356">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30322953" w14:textId="7A707AA2" w:rsidR="00253EF4" w:rsidRPr="00253EF4" w:rsidRDefault="00253EF4" w:rsidP="008A3454">
      <w:pPr>
        <w:pStyle w:val="Descripcin"/>
        <w:keepNext/>
        <w:spacing w:before="360"/>
        <w:rPr>
          <w:rFonts w:cs="Times New Roman"/>
          <w:i w:val="0"/>
          <w:iCs w:val="0"/>
          <w:color w:val="auto"/>
          <w:sz w:val="24"/>
          <w:szCs w:val="24"/>
          <w:lang w:eastAsia="en-US"/>
        </w:rPr>
      </w:pPr>
      <w:bookmarkStart w:id="2008" w:name="_Toc79314136"/>
      <w:bookmarkStart w:id="2009" w:name="_Hlk72163419"/>
      <w:r w:rsidRPr="00253EF4">
        <w:rPr>
          <w:rFonts w:cs="Times New Roman"/>
          <w:b/>
          <w:i w:val="0"/>
          <w:iCs w:val="0"/>
          <w:color w:val="auto"/>
          <w:sz w:val="24"/>
          <w:szCs w:val="24"/>
          <w:lang w:eastAsia="en-US"/>
        </w:rPr>
        <w:lastRenderedPageBreak/>
        <w:t xml:space="preserve">Cuadro </w:t>
      </w:r>
      <w:r w:rsidRPr="00253EF4">
        <w:rPr>
          <w:rFonts w:cs="Times New Roman"/>
          <w:b/>
          <w:i w:val="0"/>
          <w:iCs w:val="0"/>
          <w:color w:val="auto"/>
          <w:sz w:val="24"/>
          <w:szCs w:val="24"/>
          <w:lang w:eastAsia="en-US"/>
        </w:rPr>
        <w:fldChar w:fldCharType="begin"/>
      </w:r>
      <w:r w:rsidRPr="00253EF4">
        <w:rPr>
          <w:rFonts w:cs="Times New Roman"/>
          <w:b/>
          <w:i w:val="0"/>
          <w:iCs w:val="0"/>
          <w:color w:val="auto"/>
          <w:sz w:val="24"/>
          <w:szCs w:val="24"/>
          <w:lang w:eastAsia="en-US"/>
        </w:rPr>
        <w:instrText xml:space="preserve"> SEQ Cuadro \* ARABIC </w:instrText>
      </w:r>
      <w:r w:rsidRPr="00253EF4">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144</w:t>
      </w:r>
      <w:r w:rsidRPr="00253EF4">
        <w:rPr>
          <w:rFonts w:cs="Times New Roman"/>
          <w:b/>
          <w:i w:val="0"/>
          <w:iCs w:val="0"/>
          <w:color w:val="auto"/>
          <w:sz w:val="24"/>
          <w:szCs w:val="24"/>
          <w:lang w:eastAsia="en-US"/>
        </w:rPr>
        <w:fldChar w:fldCharType="end"/>
      </w:r>
      <w:r w:rsidRPr="00253EF4">
        <w:rPr>
          <w:rFonts w:cs="Times New Roman"/>
          <w:b/>
          <w:i w:val="0"/>
          <w:iCs w:val="0"/>
          <w:color w:val="auto"/>
          <w:sz w:val="24"/>
          <w:szCs w:val="24"/>
          <w:lang w:eastAsia="en-US"/>
        </w:rPr>
        <w:t>.</w:t>
      </w:r>
      <w:r w:rsidRPr="00253EF4">
        <w:rPr>
          <w:rFonts w:cs="Times New Roman"/>
          <w:i w:val="0"/>
          <w:iCs w:val="0"/>
          <w:color w:val="auto"/>
          <w:sz w:val="24"/>
          <w:szCs w:val="24"/>
          <w:lang w:eastAsia="en-US"/>
        </w:rPr>
        <w:t xml:space="preserve"> Rendimiento de maíz suave en grano seco para diversas dosis de nitrógeno evaluado en las provincias de Bolívar, Chimborazo, Imbabura 2006-2015.</w:t>
      </w:r>
      <w:bookmarkEnd w:id="2008"/>
    </w:p>
    <w:tbl>
      <w:tblPr>
        <w:tblW w:w="7809" w:type="dxa"/>
        <w:jc w:val="center"/>
        <w:tblCellMar>
          <w:left w:w="70" w:type="dxa"/>
          <w:right w:w="70" w:type="dxa"/>
        </w:tblCellMar>
        <w:tblLook w:val="04A0" w:firstRow="1" w:lastRow="0" w:firstColumn="1" w:lastColumn="0" w:noHBand="0" w:noVBand="1"/>
      </w:tblPr>
      <w:tblGrid>
        <w:gridCol w:w="2122"/>
        <w:gridCol w:w="887"/>
        <w:gridCol w:w="530"/>
        <w:gridCol w:w="1870"/>
        <w:gridCol w:w="1200"/>
        <w:gridCol w:w="1200"/>
      </w:tblGrid>
      <w:tr w:rsidR="00C82BCC" w14:paraId="4B22C7D0" w14:textId="77777777" w:rsidTr="001B4E97">
        <w:trPr>
          <w:trHeight w:val="300"/>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bookmarkEnd w:id="2009"/>
          <w:p w14:paraId="60B6A879"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5A6A2177"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0" w:type="dxa"/>
            <w:tcBorders>
              <w:top w:val="single" w:sz="4" w:space="0" w:color="auto"/>
              <w:left w:val="nil"/>
              <w:bottom w:val="single" w:sz="4" w:space="0" w:color="auto"/>
              <w:right w:val="single" w:sz="4" w:space="0" w:color="auto"/>
            </w:tcBorders>
            <w:noWrap/>
            <w:vAlign w:val="bottom"/>
            <w:hideMark/>
          </w:tcPr>
          <w:p w14:paraId="3492C792"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70" w:type="dxa"/>
            <w:tcBorders>
              <w:top w:val="single" w:sz="4" w:space="0" w:color="auto"/>
              <w:left w:val="nil"/>
              <w:bottom w:val="single" w:sz="4" w:space="0" w:color="auto"/>
              <w:right w:val="single" w:sz="4" w:space="0" w:color="auto"/>
            </w:tcBorders>
            <w:noWrap/>
            <w:vAlign w:val="bottom"/>
            <w:hideMark/>
          </w:tcPr>
          <w:p w14:paraId="7DFEF0BF"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3866BEE1" w14:textId="77777777" w:rsidR="00C82BCC" w:rsidRDefault="00C82BCC" w:rsidP="008A3454">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58B5A25E" w14:textId="77777777" w:rsidR="00C82BCC" w:rsidRDefault="00C82BCC" w:rsidP="008A3454">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1F660F2C"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1058645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887" w:type="dxa"/>
            <w:tcBorders>
              <w:top w:val="nil"/>
              <w:left w:val="nil"/>
              <w:bottom w:val="single" w:sz="4" w:space="0" w:color="auto"/>
              <w:right w:val="single" w:sz="4" w:space="0" w:color="auto"/>
            </w:tcBorders>
            <w:noWrap/>
            <w:vAlign w:val="bottom"/>
            <w:hideMark/>
          </w:tcPr>
          <w:p w14:paraId="2A0DEEB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3,05</w:t>
            </w:r>
          </w:p>
        </w:tc>
        <w:tc>
          <w:tcPr>
            <w:tcW w:w="530" w:type="dxa"/>
            <w:tcBorders>
              <w:top w:val="nil"/>
              <w:left w:val="nil"/>
              <w:bottom w:val="single" w:sz="4" w:space="0" w:color="auto"/>
              <w:right w:val="single" w:sz="4" w:space="0" w:color="auto"/>
            </w:tcBorders>
            <w:noWrap/>
            <w:vAlign w:val="bottom"/>
            <w:hideMark/>
          </w:tcPr>
          <w:p w14:paraId="738ABFA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0" w:type="dxa"/>
            <w:tcBorders>
              <w:top w:val="nil"/>
              <w:left w:val="nil"/>
              <w:bottom w:val="single" w:sz="4" w:space="0" w:color="auto"/>
              <w:right w:val="single" w:sz="4" w:space="0" w:color="auto"/>
            </w:tcBorders>
            <w:noWrap/>
            <w:vAlign w:val="bottom"/>
            <w:hideMark/>
          </w:tcPr>
          <w:p w14:paraId="2CE79B8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w:t>
            </w:r>
          </w:p>
        </w:tc>
        <w:tc>
          <w:tcPr>
            <w:tcW w:w="1200" w:type="dxa"/>
            <w:tcBorders>
              <w:top w:val="single" w:sz="4" w:space="0" w:color="auto"/>
              <w:left w:val="nil"/>
              <w:bottom w:val="single" w:sz="4" w:space="0" w:color="auto"/>
              <w:right w:val="single" w:sz="4" w:space="0" w:color="auto"/>
            </w:tcBorders>
            <w:noWrap/>
            <w:vAlign w:val="bottom"/>
            <w:hideMark/>
          </w:tcPr>
          <w:p w14:paraId="4C472C1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61734D3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4278067"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2960DCC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0403B22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3,46</w:t>
            </w:r>
          </w:p>
        </w:tc>
        <w:tc>
          <w:tcPr>
            <w:tcW w:w="530" w:type="dxa"/>
            <w:tcBorders>
              <w:top w:val="nil"/>
              <w:left w:val="nil"/>
              <w:bottom w:val="single" w:sz="4" w:space="0" w:color="auto"/>
              <w:right w:val="single" w:sz="4" w:space="0" w:color="auto"/>
            </w:tcBorders>
            <w:noWrap/>
            <w:vAlign w:val="bottom"/>
            <w:hideMark/>
          </w:tcPr>
          <w:p w14:paraId="1CD6BB3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74</w:t>
            </w:r>
          </w:p>
        </w:tc>
        <w:tc>
          <w:tcPr>
            <w:tcW w:w="1870" w:type="dxa"/>
            <w:tcBorders>
              <w:top w:val="nil"/>
              <w:left w:val="nil"/>
              <w:bottom w:val="single" w:sz="4" w:space="0" w:color="auto"/>
              <w:right w:val="single" w:sz="4" w:space="0" w:color="auto"/>
            </w:tcBorders>
            <w:noWrap/>
            <w:vAlign w:val="bottom"/>
            <w:hideMark/>
          </w:tcPr>
          <w:p w14:paraId="74DA060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c>
          <w:tcPr>
            <w:tcW w:w="1200" w:type="dxa"/>
            <w:tcBorders>
              <w:top w:val="nil"/>
              <w:left w:val="nil"/>
              <w:bottom w:val="single" w:sz="4" w:space="0" w:color="auto"/>
              <w:right w:val="single" w:sz="4" w:space="0" w:color="auto"/>
            </w:tcBorders>
            <w:noWrap/>
            <w:vAlign w:val="bottom"/>
            <w:hideMark/>
          </w:tcPr>
          <w:p w14:paraId="6B25FF7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2BC6C95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4AB242E"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7A75A8C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887" w:type="dxa"/>
            <w:tcBorders>
              <w:top w:val="nil"/>
              <w:left w:val="nil"/>
              <w:bottom w:val="single" w:sz="4" w:space="0" w:color="auto"/>
              <w:right w:val="single" w:sz="4" w:space="0" w:color="auto"/>
            </w:tcBorders>
            <w:noWrap/>
            <w:vAlign w:val="bottom"/>
            <w:hideMark/>
          </w:tcPr>
          <w:p w14:paraId="0EDA12A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3,66</w:t>
            </w:r>
          </w:p>
        </w:tc>
        <w:tc>
          <w:tcPr>
            <w:tcW w:w="530" w:type="dxa"/>
            <w:tcBorders>
              <w:top w:val="nil"/>
              <w:left w:val="nil"/>
              <w:bottom w:val="single" w:sz="4" w:space="0" w:color="auto"/>
              <w:right w:val="single" w:sz="4" w:space="0" w:color="auto"/>
            </w:tcBorders>
            <w:noWrap/>
            <w:vAlign w:val="bottom"/>
            <w:hideMark/>
          </w:tcPr>
          <w:p w14:paraId="5F0A311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0" w:type="dxa"/>
            <w:tcBorders>
              <w:top w:val="nil"/>
              <w:left w:val="nil"/>
              <w:bottom w:val="single" w:sz="4" w:space="0" w:color="auto"/>
              <w:right w:val="single" w:sz="4" w:space="0" w:color="auto"/>
            </w:tcBorders>
            <w:noWrap/>
            <w:vAlign w:val="bottom"/>
            <w:hideMark/>
          </w:tcPr>
          <w:p w14:paraId="250AF1F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w:t>
            </w:r>
          </w:p>
        </w:tc>
        <w:tc>
          <w:tcPr>
            <w:tcW w:w="1200" w:type="dxa"/>
            <w:tcBorders>
              <w:top w:val="nil"/>
              <w:left w:val="nil"/>
              <w:bottom w:val="single" w:sz="4" w:space="0" w:color="auto"/>
              <w:right w:val="single" w:sz="4" w:space="0" w:color="auto"/>
            </w:tcBorders>
            <w:noWrap/>
            <w:vAlign w:val="bottom"/>
            <w:hideMark/>
          </w:tcPr>
          <w:p w14:paraId="2FF14EB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5764E4D2"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56A6ED1C"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4497D50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0FD418A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4,37</w:t>
            </w:r>
          </w:p>
        </w:tc>
        <w:tc>
          <w:tcPr>
            <w:tcW w:w="530" w:type="dxa"/>
            <w:tcBorders>
              <w:top w:val="nil"/>
              <w:left w:val="nil"/>
              <w:bottom w:val="single" w:sz="4" w:space="0" w:color="auto"/>
              <w:right w:val="single" w:sz="4" w:space="0" w:color="auto"/>
            </w:tcBorders>
            <w:noWrap/>
            <w:vAlign w:val="bottom"/>
            <w:hideMark/>
          </w:tcPr>
          <w:p w14:paraId="56C19CF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0" w:type="dxa"/>
            <w:tcBorders>
              <w:top w:val="nil"/>
              <w:left w:val="nil"/>
              <w:bottom w:val="single" w:sz="4" w:space="0" w:color="auto"/>
              <w:right w:val="single" w:sz="4" w:space="0" w:color="auto"/>
            </w:tcBorders>
            <w:noWrap/>
            <w:vAlign w:val="bottom"/>
            <w:hideMark/>
          </w:tcPr>
          <w:p w14:paraId="5CAFD70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w:t>
            </w:r>
          </w:p>
        </w:tc>
        <w:tc>
          <w:tcPr>
            <w:tcW w:w="1200" w:type="dxa"/>
            <w:tcBorders>
              <w:top w:val="nil"/>
              <w:left w:val="nil"/>
              <w:bottom w:val="single" w:sz="4" w:space="0" w:color="auto"/>
              <w:right w:val="single" w:sz="4" w:space="0" w:color="auto"/>
            </w:tcBorders>
            <w:noWrap/>
            <w:vAlign w:val="bottom"/>
            <w:hideMark/>
          </w:tcPr>
          <w:p w14:paraId="60D9B1F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1A8E0D7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6250ADF0"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5CE3406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140</w:t>
            </w:r>
          </w:p>
        </w:tc>
        <w:tc>
          <w:tcPr>
            <w:tcW w:w="887" w:type="dxa"/>
            <w:tcBorders>
              <w:top w:val="nil"/>
              <w:left w:val="nil"/>
              <w:bottom w:val="single" w:sz="4" w:space="0" w:color="auto"/>
              <w:right w:val="single" w:sz="4" w:space="0" w:color="auto"/>
            </w:tcBorders>
            <w:noWrap/>
            <w:vAlign w:val="bottom"/>
            <w:hideMark/>
          </w:tcPr>
          <w:p w14:paraId="152BC66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4,44</w:t>
            </w:r>
          </w:p>
        </w:tc>
        <w:tc>
          <w:tcPr>
            <w:tcW w:w="530" w:type="dxa"/>
            <w:tcBorders>
              <w:top w:val="nil"/>
              <w:left w:val="nil"/>
              <w:bottom w:val="single" w:sz="4" w:space="0" w:color="auto"/>
              <w:right w:val="single" w:sz="4" w:space="0" w:color="auto"/>
            </w:tcBorders>
            <w:noWrap/>
            <w:vAlign w:val="bottom"/>
            <w:hideMark/>
          </w:tcPr>
          <w:p w14:paraId="4B68373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870" w:type="dxa"/>
            <w:tcBorders>
              <w:top w:val="nil"/>
              <w:left w:val="nil"/>
              <w:bottom w:val="single" w:sz="4" w:space="0" w:color="auto"/>
              <w:right w:val="single" w:sz="4" w:space="0" w:color="auto"/>
            </w:tcBorders>
            <w:noWrap/>
            <w:vAlign w:val="bottom"/>
            <w:hideMark/>
          </w:tcPr>
          <w:p w14:paraId="781AF6D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0,21</w:t>
            </w:r>
          </w:p>
        </w:tc>
        <w:tc>
          <w:tcPr>
            <w:tcW w:w="1200" w:type="dxa"/>
            <w:tcBorders>
              <w:top w:val="nil"/>
              <w:left w:val="nil"/>
              <w:bottom w:val="single" w:sz="4" w:space="0" w:color="auto"/>
              <w:right w:val="single" w:sz="4" w:space="0" w:color="auto"/>
            </w:tcBorders>
            <w:noWrap/>
            <w:vAlign w:val="bottom"/>
            <w:hideMark/>
          </w:tcPr>
          <w:p w14:paraId="3D7DA43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1811149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17D78F7B"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4C2DC76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13476D8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4,74</w:t>
            </w:r>
          </w:p>
        </w:tc>
        <w:tc>
          <w:tcPr>
            <w:tcW w:w="530" w:type="dxa"/>
            <w:tcBorders>
              <w:top w:val="nil"/>
              <w:left w:val="nil"/>
              <w:bottom w:val="single" w:sz="4" w:space="0" w:color="auto"/>
              <w:right w:val="single" w:sz="4" w:space="0" w:color="auto"/>
            </w:tcBorders>
            <w:noWrap/>
            <w:vAlign w:val="bottom"/>
            <w:hideMark/>
          </w:tcPr>
          <w:p w14:paraId="36415C8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870" w:type="dxa"/>
            <w:tcBorders>
              <w:top w:val="nil"/>
              <w:left w:val="nil"/>
              <w:bottom w:val="single" w:sz="4" w:space="0" w:color="auto"/>
              <w:right w:val="single" w:sz="4" w:space="0" w:color="auto"/>
            </w:tcBorders>
            <w:noWrap/>
            <w:vAlign w:val="bottom"/>
            <w:hideMark/>
          </w:tcPr>
          <w:p w14:paraId="0486D53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w:t>
            </w:r>
          </w:p>
        </w:tc>
        <w:tc>
          <w:tcPr>
            <w:tcW w:w="1200" w:type="dxa"/>
            <w:tcBorders>
              <w:top w:val="nil"/>
              <w:left w:val="nil"/>
              <w:bottom w:val="single" w:sz="4" w:space="0" w:color="auto"/>
              <w:right w:val="single" w:sz="4" w:space="0" w:color="auto"/>
            </w:tcBorders>
            <w:noWrap/>
            <w:vAlign w:val="bottom"/>
            <w:hideMark/>
          </w:tcPr>
          <w:p w14:paraId="43AEB80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20D7F4D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1B382477"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43A812D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noWrap/>
            <w:vAlign w:val="bottom"/>
            <w:hideMark/>
          </w:tcPr>
          <w:p w14:paraId="21E77B9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4,82</w:t>
            </w:r>
          </w:p>
        </w:tc>
        <w:tc>
          <w:tcPr>
            <w:tcW w:w="530" w:type="dxa"/>
            <w:tcBorders>
              <w:top w:val="nil"/>
              <w:left w:val="nil"/>
              <w:bottom w:val="single" w:sz="4" w:space="0" w:color="auto"/>
              <w:right w:val="single" w:sz="4" w:space="0" w:color="auto"/>
            </w:tcBorders>
            <w:noWrap/>
            <w:vAlign w:val="bottom"/>
            <w:hideMark/>
          </w:tcPr>
          <w:p w14:paraId="487C9C7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78</w:t>
            </w:r>
          </w:p>
        </w:tc>
        <w:tc>
          <w:tcPr>
            <w:tcW w:w="1870" w:type="dxa"/>
            <w:tcBorders>
              <w:top w:val="nil"/>
              <w:left w:val="nil"/>
              <w:bottom w:val="single" w:sz="4" w:space="0" w:color="auto"/>
              <w:right w:val="single" w:sz="4" w:space="0" w:color="auto"/>
            </w:tcBorders>
            <w:noWrap/>
            <w:vAlign w:val="bottom"/>
            <w:hideMark/>
          </w:tcPr>
          <w:p w14:paraId="6F8AF71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c>
          <w:tcPr>
            <w:tcW w:w="1200" w:type="dxa"/>
            <w:tcBorders>
              <w:top w:val="nil"/>
              <w:left w:val="nil"/>
              <w:bottom w:val="single" w:sz="4" w:space="0" w:color="auto"/>
              <w:right w:val="single" w:sz="4" w:space="0" w:color="auto"/>
            </w:tcBorders>
            <w:noWrap/>
            <w:vAlign w:val="bottom"/>
            <w:hideMark/>
          </w:tcPr>
          <w:p w14:paraId="4136FFB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75FD8DD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05856D57"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53DBA04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887" w:type="dxa"/>
            <w:tcBorders>
              <w:top w:val="nil"/>
              <w:left w:val="nil"/>
              <w:bottom w:val="single" w:sz="4" w:space="0" w:color="auto"/>
              <w:right w:val="single" w:sz="4" w:space="0" w:color="auto"/>
            </w:tcBorders>
            <w:noWrap/>
            <w:vAlign w:val="bottom"/>
            <w:hideMark/>
          </w:tcPr>
          <w:p w14:paraId="2BA19738"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5,23</w:t>
            </w:r>
          </w:p>
        </w:tc>
        <w:tc>
          <w:tcPr>
            <w:tcW w:w="530" w:type="dxa"/>
            <w:tcBorders>
              <w:top w:val="nil"/>
              <w:left w:val="nil"/>
              <w:bottom w:val="single" w:sz="4" w:space="0" w:color="auto"/>
              <w:right w:val="single" w:sz="4" w:space="0" w:color="auto"/>
            </w:tcBorders>
            <w:noWrap/>
            <w:vAlign w:val="bottom"/>
            <w:hideMark/>
          </w:tcPr>
          <w:p w14:paraId="713312B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w:t>
            </w:r>
          </w:p>
        </w:tc>
        <w:tc>
          <w:tcPr>
            <w:tcW w:w="1870" w:type="dxa"/>
            <w:tcBorders>
              <w:top w:val="nil"/>
              <w:left w:val="nil"/>
              <w:bottom w:val="single" w:sz="4" w:space="0" w:color="auto"/>
              <w:right w:val="single" w:sz="4" w:space="0" w:color="auto"/>
            </w:tcBorders>
            <w:noWrap/>
            <w:vAlign w:val="bottom"/>
            <w:hideMark/>
          </w:tcPr>
          <w:p w14:paraId="4F62BCD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0,22</w:t>
            </w:r>
          </w:p>
        </w:tc>
        <w:tc>
          <w:tcPr>
            <w:tcW w:w="1200" w:type="dxa"/>
            <w:tcBorders>
              <w:top w:val="nil"/>
              <w:left w:val="nil"/>
              <w:bottom w:val="single" w:sz="4" w:space="0" w:color="auto"/>
              <w:right w:val="single" w:sz="4" w:space="0" w:color="auto"/>
            </w:tcBorders>
            <w:noWrap/>
            <w:vAlign w:val="bottom"/>
            <w:hideMark/>
          </w:tcPr>
          <w:p w14:paraId="19F4732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51F3801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06069302"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6AC04F8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887" w:type="dxa"/>
            <w:tcBorders>
              <w:top w:val="nil"/>
              <w:left w:val="nil"/>
              <w:bottom w:val="single" w:sz="4" w:space="0" w:color="auto"/>
              <w:right w:val="single" w:sz="4" w:space="0" w:color="auto"/>
            </w:tcBorders>
            <w:noWrap/>
            <w:vAlign w:val="bottom"/>
            <w:hideMark/>
          </w:tcPr>
          <w:p w14:paraId="6EB9208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5,82</w:t>
            </w:r>
          </w:p>
        </w:tc>
        <w:tc>
          <w:tcPr>
            <w:tcW w:w="530" w:type="dxa"/>
            <w:tcBorders>
              <w:top w:val="nil"/>
              <w:left w:val="nil"/>
              <w:bottom w:val="single" w:sz="4" w:space="0" w:color="auto"/>
              <w:right w:val="single" w:sz="4" w:space="0" w:color="auto"/>
            </w:tcBorders>
            <w:noWrap/>
            <w:vAlign w:val="bottom"/>
            <w:hideMark/>
          </w:tcPr>
          <w:p w14:paraId="4F22A7E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870" w:type="dxa"/>
            <w:tcBorders>
              <w:top w:val="nil"/>
              <w:left w:val="nil"/>
              <w:bottom w:val="single" w:sz="4" w:space="0" w:color="auto"/>
              <w:right w:val="single" w:sz="4" w:space="0" w:color="auto"/>
            </w:tcBorders>
            <w:noWrap/>
            <w:vAlign w:val="bottom"/>
            <w:hideMark/>
          </w:tcPr>
          <w:p w14:paraId="7F8F108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w:t>
            </w:r>
          </w:p>
        </w:tc>
        <w:tc>
          <w:tcPr>
            <w:tcW w:w="1200" w:type="dxa"/>
            <w:tcBorders>
              <w:top w:val="nil"/>
              <w:left w:val="nil"/>
              <w:bottom w:val="single" w:sz="4" w:space="0" w:color="auto"/>
              <w:right w:val="single" w:sz="4" w:space="0" w:color="auto"/>
            </w:tcBorders>
            <w:noWrap/>
            <w:vAlign w:val="bottom"/>
            <w:hideMark/>
          </w:tcPr>
          <w:p w14:paraId="2E79977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09B5298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0F8CFB87"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4542765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887" w:type="dxa"/>
            <w:tcBorders>
              <w:top w:val="nil"/>
              <w:left w:val="nil"/>
              <w:bottom w:val="single" w:sz="4" w:space="0" w:color="auto"/>
              <w:right w:val="single" w:sz="4" w:space="0" w:color="auto"/>
            </w:tcBorders>
            <w:noWrap/>
            <w:vAlign w:val="bottom"/>
            <w:hideMark/>
          </w:tcPr>
          <w:p w14:paraId="21C2AD7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5,94</w:t>
            </w:r>
          </w:p>
        </w:tc>
        <w:tc>
          <w:tcPr>
            <w:tcW w:w="530" w:type="dxa"/>
            <w:tcBorders>
              <w:top w:val="nil"/>
              <w:left w:val="nil"/>
              <w:bottom w:val="single" w:sz="4" w:space="0" w:color="auto"/>
              <w:right w:val="single" w:sz="4" w:space="0" w:color="auto"/>
            </w:tcBorders>
            <w:noWrap/>
            <w:vAlign w:val="bottom"/>
            <w:hideMark/>
          </w:tcPr>
          <w:p w14:paraId="4484869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870" w:type="dxa"/>
            <w:tcBorders>
              <w:top w:val="nil"/>
              <w:left w:val="nil"/>
              <w:bottom w:val="single" w:sz="4" w:space="0" w:color="auto"/>
              <w:right w:val="single" w:sz="4" w:space="0" w:color="auto"/>
            </w:tcBorders>
            <w:noWrap/>
            <w:vAlign w:val="bottom"/>
            <w:hideMark/>
          </w:tcPr>
          <w:p w14:paraId="2B2D289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0,59</w:t>
            </w:r>
          </w:p>
        </w:tc>
        <w:tc>
          <w:tcPr>
            <w:tcW w:w="1200" w:type="dxa"/>
            <w:tcBorders>
              <w:top w:val="nil"/>
              <w:left w:val="nil"/>
              <w:bottom w:val="single" w:sz="4" w:space="0" w:color="auto"/>
              <w:right w:val="single" w:sz="4" w:space="0" w:color="auto"/>
            </w:tcBorders>
            <w:noWrap/>
            <w:vAlign w:val="bottom"/>
            <w:hideMark/>
          </w:tcPr>
          <w:p w14:paraId="7E7A6CA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39A87B3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2B65CB96" w14:textId="77777777" w:rsidR="008A3454" w:rsidRDefault="00C82BCC" w:rsidP="008A3454">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2010" w:name="_Toc79314137"/>
    </w:p>
    <w:p w14:paraId="00F284B7" w14:textId="6B59377A" w:rsidR="00253EF4" w:rsidRPr="008A3454" w:rsidRDefault="00253EF4" w:rsidP="008A3454">
      <w:pPr>
        <w:autoSpaceDE w:val="0"/>
        <w:autoSpaceDN w:val="0"/>
        <w:adjustRightInd w:val="0"/>
        <w:spacing w:before="360" w:after="0" w:line="360" w:lineRule="auto"/>
        <w:rPr>
          <w:rFonts w:cs="Times New Roman"/>
          <w:szCs w:val="24"/>
        </w:rPr>
      </w:pPr>
      <w:r w:rsidRPr="00253EF4">
        <w:rPr>
          <w:rFonts w:cs="Times New Roman"/>
          <w:b/>
          <w:szCs w:val="24"/>
        </w:rPr>
        <w:t xml:space="preserve">Cuadro </w:t>
      </w:r>
      <w:r w:rsidRPr="00253EF4">
        <w:rPr>
          <w:rFonts w:cs="Times New Roman"/>
          <w:b/>
          <w:i/>
          <w:iCs/>
          <w:szCs w:val="24"/>
        </w:rPr>
        <w:fldChar w:fldCharType="begin"/>
      </w:r>
      <w:r w:rsidRPr="00253EF4">
        <w:rPr>
          <w:rFonts w:cs="Times New Roman"/>
          <w:b/>
          <w:szCs w:val="24"/>
        </w:rPr>
        <w:instrText xml:space="preserve"> SEQ Cuadro \* ARABIC </w:instrText>
      </w:r>
      <w:r w:rsidRPr="00253EF4">
        <w:rPr>
          <w:rFonts w:cs="Times New Roman"/>
          <w:b/>
          <w:i/>
          <w:iCs/>
          <w:szCs w:val="24"/>
        </w:rPr>
        <w:fldChar w:fldCharType="separate"/>
      </w:r>
      <w:r w:rsidR="000D1F55">
        <w:rPr>
          <w:rFonts w:cs="Times New Roman"/>
          <w:b/>
          <w:noProof/>
          <w:szCs w:val="24"/>
        </w:rPr>
        <w:t>145</w:t>
      </w:r>
      <w:r w:rsidRPr="00253EF4">
        <w:rPr>
          <w:rFonts w:cs="Times New Roman"/>
          <w:b/>
          <w:i/>
          <w:iCs/>
          <w:szCs w:val="24"/>
        </w:rPr>
        <w:fldChar w:fldCharType="end"/>
      </w:r>
      <w:r w:rsidRPr="00253EF4">
        <w:rPr>
          <w:rFonts w:cs="Times New Roman"/>
          <w:b/>
          <w:szCs w:val="24"/>
        </w:rPr>
        <w:t xml:space="preserve">. </w:t>
      </w:r>
      <w:r w:rsidRPr="00253EF4">
        <w:rPr>
          <w:rFonts w:cs="Times New Roman"/>
          <w:szCs w:val="24"/>
        </w:rPr>
        <w:t>Rendimiento de maíz suave en grano seco para diversas dosis de fósforo evaluado en las provincias de Bolívar, Chimborazo, Imbabura 2006-2015.</w:t>
      </w:r>
      <w:bookmarkEnd w:id="2010"/>
    </w:p>
    <w:tbl>
      <w:tblPr>
        <w:tblW w:w="6238" w:type="dxa"/>
        <w:jc w:val="center"/>
        <w:tblCellMar>
          <w:left w:w="70" w:type="dxa"/>
          <w:right w:w="70" w:type="dxa"/>
        </w:tblCellMar>
        <w:tblLook w:val="04A0" w:firstRow="1" w:lastRow="0" w:firstColumn="1" w:lastColumn="0" w:noHBand="0" w:noVBand="1"/>
      </w:tblPr>
      <w:tblGrid>
        <w:gridCol w:w="2227"/>
        <w:gridCol w:w="887"/>
        <w:gridCol w:w="1200"/>
        <w:gridCol w:w="1924"/>
      </w:tblGrid>
      <w:tr w:rsidR="00C82BCC" w14:paraId="4753DFE8" w14:textId="77777777" w:rsidTr="00253EF4">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0A4603F5"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3B128F1E"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1200" w:type="dxa"/>
            <w:tcBorders>
              <w:top w:val="single" w:sz="4" w:space="0" w:color="auto"/>
              <w:left w:val="nil"/>
              <w:bottom w:val="single" w:sz="4" w:space="0" w:color="auto"/>
              <w:right w:val="single" w:sz="4" w:space="0" w:color="auto"/>
            </w:tcBorders>
            <w:noWrap/>
            <w:vAlign w:val="bottom"/>
            <w:hideMark/>
          </w:tcPr>
          <w:p w14:paraId="520945D1"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24" w:type="dxa"/>
            <w:tcBorders>
              <w:top w:val="single" w:sz="4" w:space="0" w:color="auto"/>
              <w:left w:val="nil"/>
              <w:bottom w:val="single" w:sz="4" w:space="0" w:color="auto"/>
              <w:right w:val="single" w:sz="4" w:space="0" w:color="auto"/>
            </w:tcBorders>
            <w:noWrap/>
            <w:vAlign w:val="bottom"/>
            <w:hideMark/>
          </w:tcPr>
          <w:p w14:paraId="48C84D8C"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6CBC59FB" w14:textId="77777777" w:rsidTr="00253EF4">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7C19E4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87" w:type="dxa"/>
            <w:tcBorders>
              <w:top w:val="nil"/>
              <w:left w:val="nil"/>
              <w:bottom w:val="single" w:sz="4" w:space="0" w:color="auto"/>
              <w:right w:val="single" w:sz="4" w:space="0" w:color="auto"/>
            </w:tcBorders>
            <w:noWrap/>
            <w:vAlign w:val="bottom"/>
            <w:hideMark/>
          </w:tcPr>
          <w:p w14:paraId="59E1B8D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3,05</w:t>
            </w:r>
          </w:p>
        </w:tc>
        <w:tc>
          <w:tcPr>
            <w:tcW w:w="1200" w:type="dxa"/>
            <w:tcBorders>
              <w:top w:val="nil"/>
              <w:left w:val="nil"/>
              <w:bottom w:val="single" w:sz="4" w:space="0" w:color="auto"/>
              <w:right w:val="single" w:sz="4" w:space="0" w:color="auto"/>
            </w:tcBorders>
            <w:noWrap/>
            <w:vAlign w:val="bottom"/>
            <w:hideMark/>
          </w:tcPr>
          <w:p w14:paraId="437D395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24" w:type="dxa"/>
            <w:tcBorders>
              <w:top w:val="nil"/>
              <w:left w:val="nil"/>
              <w:bottom w:val="single" w:sz="4" w:space="0" w:color="auto"/>
              <w:right w:val="single" w:sz="4" w:space="0" w:color="auto"/>
            </w:tcBorders>
            <w:noWrap/>
            <w:vAlign w:val="bottom"/>
            <w:hideMark/>
          </w:tcPr>
          <w:p w14:paraId="360EB18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w:t>
            </w:r>
          </w:p>
        </w:tc>
      </w:tr>
      <w:tr w:rsidR="00C82BCC" w14:paraId="77490EBE" w14:textId="77777777" w:rsidTr="00253EF4">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0D4F44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w:t>
            </w:r>
          </w:p>
        </w:tc>
        <w:tc>
          <w:tcPr>
            <w:tcW w:w="887" w:type="dxa"/>
            <w:tcBorders>
              <w:top w:val="nil"/>
              <w:left w:val="nil"/>
              <w:bottom w:val="single" w:sz="4" w:space="0" w:color="auto"/>
              <w:right w:val="single" w:sz="4" w:space="0" w:color="auto"/>
            </w:tcBorders>
            <w:noWrap/>
            <w:vAlign w:val="bottom"/>
            <w:hideMark/>
          </w:tcPr>
          <w:p w14:paraId="54AB6E6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3,87</w:t>
            </w:r>
          </w:p>
        </w:tc>
        <w:tc>
          <w:tcPr>
            <w:tcW w:w="1200" w:type="dxa"/>
            <w:tcBorders>
              <w:top w:val="nil"/>
              <w:left w:val="nil"/>
              <w:bottom w:val="single" w:sz="4" w:space="0" w:color="auto"/>
              <w:right w:val="single" w:sz="4" w:space="0" w:color="auto"/>
            </w:tcBorders>
            <w:noWrap/>
            <w:vAlign w:val="bottom"/>
            <w:hideMark/>
          </w:tcPr>
          <w:p w14:paraId="4FB74AD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w:t>
            </w:r>
          </w:p>
        </w:tc>
        <w:tc>
          <w:tcPr>
            <w:tcW w:w="1924" w:type="dxa"/>
            <w:tcBorders>
              <w:top w:val="nil"/>
              <w:left w:val="nil"/>
              <w:bottom w:val="single" w:sz="4" w:space="0" w:color="auto"/>
              <w:right w:val="single" w:sz="4" w:space="0" w:color="auto"/>
            </w:tcBorders>
            <w:noWrap/>
            <w:vAlign w:val="bottom"/>
            <w:hideMark/>
          </w:tcPr>
          <w:p w14:paraId="45C0249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0,23</w:t>
            </w:r>
          </w:p>
        </w:tc>
      </w:tr>
      <w:tr w:rsidR="00C82BCC" w14:paraId="1947BF1B" w14:textId="77777777" w:rsidTr="00253EF4">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48C7975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2C04E7D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4,25</w:t>
            </w:r>
          </w:p>
        </w:tc>
        <w:tc>
          <w:tcPr>
            <w:tcW w:w="1200" w:type="dxa"/>
            <w:tcBorders>
              <w:top w:val="nil"/>
              <w:left w:val="nil"/>
              <w:bottom w:val="single" w:sz="4" w:space="0" w:color="auto"/>
              <w:right w:val="single" w:sz="4" w:space="0" w:color="auto"/>
            </w:tcBorders>
            <w:noWrap/>
            <w:vAlign w:val="bottom"/>
            <w:hideMark/>
          </w:tcPr>
          <w:p w14:paraId="533F5F7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924" w:type="dxa"/>
            <w:tcBorders>
              <w:top w:val="nil"/>
              <w:left w:val="nil"/>
              <w:bottom w:val="single" w:sz="4" w:space="0" w:color="auto"/>
              <w:right w:val="single" w:sz="4" w:space="0" w:color="auto"/>
            </w:tcBorders>
            <w:noWrap/>
            <w:vAlign w:val="bottom"/>
            <w:hideMark/>
          </w:tcPr>
          <w:p w14:paraId="413E978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0,26</w:t>
            </w:r>
          </w:p>
        </w:tc>
      </w:tr>
      <w:tr w:rsidR="00C82BCC" w14:paraId="473BB112" w14:textId="77777777" w:rsidTr="00253EF4">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07B36F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41F8787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4,25</w:t>
            </w:r>
          </w:p>
        </w:tc>
        <w:tc>
          <w:tcPr>
            <w:tcW w:w="1200" w:type="dxa"/>
            <w:tcBorders>
              <w:top w:val="nil"/>
              <w:left w:val="nil"/>
              <w:bottom w:val="single" w:sz="4" w:space="0" w:color="auto"/>
              <w:right w:val="single" w:sz="4" w:space="0" w:color="auto"/>
            </w:tcBorders>
            <w:noWrap/>
            <w:vAlign w:val="bottom"/>
            <w:hideMark/>
          </w:tcPr>
          <w:p w14:paraId="7433872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924" w:type="dxa"/>
            <w:tcBorders>
              <w:top w:val="nil"/>
              <w:left w:val="nil"/>
              <w:bottom w:val="single" w:sz="4" w:space="0" w:color="auto"/>
              <w:right w:val="single" w:sz="4" w:space="0" w:color="auto"/>
            </w:tcBorders>
            <w:noWrap/>
            <w:vAlign w:val="bottom"/>
            <w:hideMark/>
          </w:tcPr>
          <w:p w14:paraId="77D526B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w:t>
            </w:r>
          </w:p>
        </w:tc>
      </w:tr>
      <w:tr w:rsidR="00C82BCC" w14:paraId="7E01948F" w14:textId="77777777" w:rsidTr="00253EF4">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5804D0F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4BD23E6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4,27</w:t>
            </w:r>
          </w:p>
        </w:tc>
        <w:tc>
          <w:tcPr>
            <w:tcW w:w="1200" w:type="dxa"/>
            <w:tcBorders>
              <w:top w:val="nil"/>
              <w:left w:val="nil"/>
              <w:bottom w:val="single" w:sz="4" w:space="0" w:color="auto"/>
              <w:right w:val="single" w:sz="4" w:space="0" w:color="auto"/>
            </w:tcBorders>
            <w:noWrap/>
            <w:vAlign w:val="bottom"/>
            <w:hideMark/>
          </w:tcPr>
          <w:p w14:paraId="5BB0834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w:t>
            </w:r>
          </w:p>
        </w:tc>
        <w:tc>
          <w:tcPr>
            <w:tcW w:w="1924" w:type="dxa"/>
            <w:tcBorders>
              <w:top w:val="nil"/>
              <w:left w:val="nil"/>
              <w:bottom w:val="single" w:sz="4" w:space="0" w:color="auto"/>
              <w:right w:val="single" w:sz="4" w:space="0" w:color="auto"/>
            </w:tcBorders>
            <w:noWrap/>
            <w:vAlign w:val="bottom"/>
            <w:hideMark/>
          </w:tcPr>
          <w:p w14:paraId="1DA92BC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0,15</w:t>
            </w:r>
          </w:p>
        </w:tc>
      </w:tr>
      <w:tr w:rsidR="00C82BCC" w14:paraId="58E83C46" w14:textId="77777777" w:rsidTr="00253EF4">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DAD2A4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887" w:type="dxa"/>
            <w:tcBorders>
              <w:top w:val="nil"/>
              <w:left w:val="nil"/>
              <w:bottom w:val="single" w:sz="4" w:space="0" w:color="auto"/>
              <w:right w:val="single" w:sz="4" w:space="0" w:color="auto"/>
            </w:tcBorders>
            <w:noWrap/>
            <w:vAlign w:val="bottom"/>
            <w:hideMark/>
          </w:tcPr>
          <w:p w14:paraId="173C0192"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4,59</w:t>
            </w:r>
          </w:p>
        </w:tc>
        <w:tc>
          <w:tcPr>
            <w:tcW w:w="1200" w:type="dxa"/>
            <w:tcBorders>
              <w:top w:val="nil"/>
              <w:left w:val="nil"/>
              <w:bottom w:val="single" w:sz="4" w:space="0" w:color="auto"/>
              <w:right w:val="single" w:sz="4" w:space="0" w:color="auto"/>
            </w:tcBorders>
            <w:noWrap/>
            <w:vAlign w:val="bottom"/>
            <w:hideMark/>
          </w:tcPr>
          <w:p w14:paraId="741509B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24" w:type="dxa"/>
            <w:tcBorders>
              <w:top w:val="nil"/>
              <w:left w:val="nil"/>
              <w:bottom w:val="single" w:sz="4" w:space="0" w:color="auto"/>
              <w:right w:val="single" w:sz="4" w:space="0" w:color="auto"/>
            </w:tcBorders>
            <w:noWrap/>
            <w:vAlign w:val="bottom"/>
            <w:hideMark/>
          </w:tcPr>
          <w:p w14:paraId="66229CD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w:t>
            </w:r>
          </w:p>
        </w:tc>
      </w:tr>
      <w:tr w:rsidR="00C82BCC" w14:paraId="3962EA0B" w14:textId="77777777" w:rsidTr="00253EF4">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605D248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704FBD8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4,78</w:t>
            </w:r>
          </w:p>
        </w:tc>
        <w:tc>
          <w:tcPr>
            <w:tcW w:w="1200" w:type="dxa"/>
            <w:tcBorders>
              <w:top w:val="nil"/>
              <w:left w:val="nil"/>
              <w:bottom w:val="single" w:sz="4" w:space="0" w:color="auto"/>
              <w:right w:val="single" w:sz="4" w:space="0" w:color="auto"/>
            </w:tcBorders>
            <w:noWrap/>
            <w:vAlign w:val="bottom"/>
            <w:hideMark/>
          </w:tcPr>
          <w:p w14:paraId="3E27373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w:t>
            </w:r>
          </w:p>
        </w:tc>
        <w:tc>
          <w:tcPr>
            <w:tcW w:w="1924" w:type="dxa"/>
            <w:tcBorders>
              <w:top w:val="nil"/>
              <w:left w:val="nil"/>
              <w:bottom w:val="single" w:sz="4" w:space="0" w:color="auto"/>
              <w:right w:val="single" w:sz="4" w:space="0" w:color="auto"/>
            </w:tcBorders>
            <w:noWrap/>
            <w:vAlign w:val="bottom"/>
            <w:hideMark/>
          </w:tcPr>
          <w:p w14:paraId="017D278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0,16</w:t>
            </w:r>
          </w:p>
        </w:tc>
      </w:tr>
      <w:tr w:rsidR="00C82BCC" w14:paraId="2D9E88C8" w14:textId="77777777" w:rsidTr="00253EF4">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2B98D1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4365F87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5,48</w:t>
            </w:r>
          </w:p>
        </w:tc>
        <w:tc>
          <w:tcPr>
            <w:tcW w:w="1200" w:type="dxa"/>
            <w:tcBorders>
              <w:top w:val="nil"/>
              <w:left w:val="nil"/>
              <w:bottom w:val="single" w:sz="4" w:space="0" w:color="auto"/>
              <w:right w:val="single" w:sz="4" w:space="0" w:color="auto"/>
            </w:tcBorders>
            <w:noWrap/>
            <w:vAlign w:val="bottom"/>
            <w:hideMark/>
          </w:tcPr>
          <w:p w14:paraId="39FA53B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924" w:type="dxa"/>
            <w:tcBorders>
              <w:top w:val="nil"/>
              <w:left w:val="nil"/>
              <w:bottom w:val="single" w:sz="4" w:space="0" w:color="auto"/>
              <w:right w:val="single" w:sz="4" w:space="0" w:color="auto"/>
            </w:tcBorders>
            <w:noWrap/>
            <w:vAlign w:val="bottom"/>
            <w:hideMark/>
          </w:tcPr>
          <w:p w14:paraId="536A3C7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0,54</w:t>
            </w:r>
          </w:p>
        </w:tc>
      </w:tr>
    </w:tbl>
    <w:p w14:paraId="6F8174ED" w14:textId="77777777" w:rsidR="008A3454" w:rsidRDefault="00C82BCC" w:rsidP="008A3454">
      <w:pPr>
        <w:autoSpaceDE w:val="0"/>
        <w:autoSpaceDN w:val="0"/>
        <w:adjustRightInd w:val="0"/>
        <w:spacing w:before="360" w:after="360" w:line="360" w:lineRule="auto"/>
        <w:rPr>
          <w:rFonts w:cs="Times New Roman"/>
          <w:szCs w:val="24"/>
        </w:rPr>
      </w:pPr>
      <w:r>
        <w:rPr>
          <w:rFonts w:cs="Times New Roman"/>
          <w:szCs w:val="24"/>
        </w:rPr>
        <w:t>Se observa que el cultivo sin aplicación del macroelemento fósforo es superior en promedio a las dosis de 15, 30, 50 y 70 medidas; por lo que no existe relación directa entre las dosis de fósforo y el promedio alcanzado. No existieron diferencias estadísticas significativas entre los promedios de rendimiento para las</w:t>
      </w:r>
      <w:r w:rsidR="00253EF4">
        <w:rPr>
          <w:rFonts w:cs="Times New Roman"/>
          <w:szCs w:val="24"/>
        </w:rPr>
        <w:t xml:space="preserve"> diversas dosis de P aplicados.</w:t>
      </w:r>
      <w:bookmarkStart w:id="2011" w:name="_Toc79314138"/>
    </w:p>
    <w:p w14:paraId="1B78DCF9" w14:textId="77777777" w:rsidR="008A3454" w:rsidRDefault="008A3454" w:rsidP="008A3454">
      <w:pPr>
        <w:autoSpaceDE w:val="0"/>
        <w:autoSpaceDN w:val="0"/>
        <w:adjustRightInd w:val="0"/>
        <w:spacing w:before="360" w:after="360" w:line="360" w:lineRule="auto"/>
        <w:rPr>
          <w:rFonts w:cs="Times New Roman"/>
          <w:b/>
          <w:szCs w:val="24"/>
        </w:rPr>
      </w:pPr>
      <w:r>
        <w:rPr>
          <w:rFonts w:cs="Times New Roman"/>
          <w:b/>
          <w:szCs w:val="24"/>
        </w:rPr>
        <w:br w:type="page"/>
      </w:r>
    </w:p>
    <w:p w14:paraId="67784F27" w14:textId="2AF67735" w:rsidR="00253EF4" w:rsidRPr="008A3454" w:rsidRDefault="00253EF4" w:rsidP="008A3454">
      <w:pPr>
        <w:autoSpaceDE w:val="0"/>
        <w:autoSpaceDN w:val="0"/>
        <w:adjustRightInd w:val="0"/>
        <w:spacing w:before="360" w:after="0" w:line="360" w:lineRule="auto"/>
        <w:rPr>
          <w:rFonts w:cs="Times New Roman"/>
          <w:szCs w:val="24"/>
        </w:rPr>
      </w:pPr>
      <w:r w:rsidRPr="00253EF4">
        <w:rPr>
          <w:rFonts w:cs="Times New Roman"/>
          <w:b/>
          <w:szCs w:val="24"/>
        </w:rPr>
        <w:lastRenderedPageBreak/>
        <w:t xml:space="preserve">Cuadro </w:t>
      </w:r>
      <w:r w:rsidRPr="00253EF4">
        <w:rPr>
          <w:rFonts w:cs="Times New Roman"/>
          <w:b/>
          <w:i/>
          <w:iCs/>
          <w:szCs w:val="24"/>
        </w:rPr>
        <w:fldChar w:fldCharType="begin"/>
      </w:r>
      <w:r w:rsidRPr="00253EF4">
        <w:rPr>
          <w:rFonts w:cs="Times New Roman"/>
          <w:b/>
          <w:szCs w:val="24"/>
        </w:rPr>
        <w:instrText xml:space="preserve"> SEQ Cuadro \* ARABIC </w:instrText>
      </w:r>
      <w:r w:rsidRPr="00253EF4">
        <w:rPr>
          <w:rFonts w:cs="Times New Roman"/>
          <w:b/>
          <w:i/>
          <w:iCs/>
          <w:szCs w:val="24"/>
        </w:rPr>
        <w:fldChar w:fldCharType="separate"/>
      </w:r>
      <w:r w:rsidR="000D1F55">
        <w:rPr>
          <w:rFonts w:cs="Times New Roman"/>
          <w:b/>
          <w:noProof/>
          <w:szCs w:val="24"/>
        </w:rPr>
        <w:t>146</w:t>
      </w:r>
      <w:r w:rsidRPr="00253EF4">
        <w:rPr>
          <w:rFonts w:cs="Times New Roman"/>
          <w:b/>
          <w:i/>
          <w:iCs/>
          <w:szCs w:val="24"/>
        </w:rPr>
        <w:fldChar w:fldCharType="end"/>
      </w:r>
      <w:r w:rsidRPr="00253EF4">
        <w:rPr>
          <w:rFonts w:cs="Times New Roman"/>
          <w:b/>
          <w:szCs w:val="24"/>
        </w:rPr>
        <w:t>.</w:t>
      </w:r>
      <w:r w:rsidRPr="00253EF4">
        <w:rPr>
          <w:rFonts w:cs="Times New Roman"/>
          <w:szCs w:val="24"/>
        </w:rPr>
        <w:t xml:space="preserve"> Rendimiento de maíz suave en grano seco para diversas dosis de potasio evaluado en las provincias de Bolívar, Chimborazo, Imbabura 2006-2015.</w:t>
      </w:r>
      <w:bookmarkEnd w:id="2011"/>
    </w:p>
    <w:tbl>
      <w:tblPr>
        <w:tblW w:w="7366" w:type="dxa"/>
        <w:jc w:val="center"/>
        <w:tblCellMar>
          <w:left w:w="70" w:type="dxa"/>
          <w:right w:w="70" w:type="dxa"/>
        </w:tblCellMar>
        <w:tblLook w:val="04A0" w:firstRow="1" w:lastRow="0" w:firstColumn="1" w:lastColumn="0" w:noHBand="0" w:noVBand="1"/>
      </w:tblPr>
      <w:tblGrid>
        <w:gridCol w:w="2227"/>
        <w:gridCol w:w="887"/>
        <w:gridCol w:w="709"/>
        <w:gridCol w:w="2126"/>
        <w:gridCol w:w="1417"/>
      </w:tblGrid>
      <w:tr w:rsidR="00C82BCC" w14:paraId="17F44FCA" w14:textId="77777777" w:rsidTr="001B4E97">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01C7A2EB"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62C1CE49"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09" w:type="dxa"/>
            <w:tcBorders>
              <w:top w:val="single" w:sz="4" w:space="0" w:color="auto"/>
              <w:left w:val="nil"/>
              <w:bottom w:val="single" w:sz="4" w:space="0" w:color="auto"/>
              <w:right w:val="single" w:sz="4" w:space="0" w:color="auto"/>
            </w:tcBorders>
            <w:noWrap/>
            <w:vAlign w:val="bottom"/>
            <w:hideMark/>
          </w:tcPr>
          <w:p w14:paraId="4013BA36"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2126" w:type="dxa"/>
            <w:tcBorders>
              <w:top w:val="single" w:sz="4" w:space="0" w:color="auto"/>
              <w:left w:val="nil"/>
              <w:bottom w:val="single" w:sz="4" w:space="0" w:color="auto"/>
              <w:right w:val="single" w:sz="4" w:space="0" w:color="auto"/>
            </w:tcBorders>
            <w:noWrap/>
            <w:vAlign w:val="bottom"/>
            <w:hideMark/>
          </w:tcPr>
          <w:p w14:paraId="4FDB857B"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417" w:type="dxa"/>
            <w:tcBorders>
              <w:top w:val="single" w:sz="4" w:space="0" w:color="auto"/>
              <w:left w:val="nil"/>
              <w:bottom w:val="single" w:sz="4" w:space="0" w:color="auto"/>
              <w:right w:val="single" w:sz="4" w:space="0" w:color="auto"/>
            </w:tcBorders>
            <w:noWrap/>
            <w:vAlign w:val="bottom"/>
            <w:hideMark/>
          </w:tcPr>
          <w:p w14:paraId="339C8DAF"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Lsd 0,05</w:t>
            </w:r>
          </w:p>
        </w:tc>
      </w:tr>
      <w:tr w:rsidR="00C82BCC" w14:paraId="3CC2CF70"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2A5AA5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887" w:type="dxa"/>
            <w:tcBorders>
              <w:top w:val="nil"/>
              <w:left w:val="nil"/>
              <w:bottom w:val="single" w:sz="4" w:space="0" w:color="auto"/>
              <w:right w:val="single" w:sz="4" w:space="0" w:color="auto"/>
            </w:tcBorders>
            <w:noWrap/>
            <w:vAlign w:val="bottom"/>
            <w:hideMark/>
          </w:tcPr>
          <w:p w14:paraId="78856B2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3,05</w:t>
            </w:r>
          </w:p>
        </w:tc>
        <w:tc>
          <w:tcPr>
            <w:tcW w:w="709" w:type="dxa"/>
            <w:tcBorders>
              <w:top w:val="nil"/>
              <w:left w:val="nil"/>
              <w:bottom w:val="single" w:sz="4" w:space="0" w:color="auto"/>
              <w:right w:val="single" w:sz="4" w:space="0" w:color="auto"/>
            </w:tcBorders>
            <w:noWrap/>
            <w:vAlign w:val="bottom"/>
            <w:hideMark/>
          </w:tcPr>
          <w:p w14:paraId="316DA2C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2126" w:type="dxa"/>
            <w:tcBorders>
              <w:top w:val="nil"/>
              <w:left w:val="nil"/>
              <w:bottom w:val="single" w:sz="4" w:space="0" w:color="auto"/>
              <w:right w:val="single" w:sz="4" w:space="0" w:color="auto"/>
            </w:tcBorders>
            <w:noWrap/>
            <w:vAlign w:val="bottom"/>
            <w:hideMark/>
          </w:tcPr>
          <w:p w14:paraId="560B32E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w:t>
            </w:r>
          </w:p>
        </w:tc>
        <w:tc>
          <w:tcPr>
            <w:tcW w:w="1417" w:type="dxa"/>
            <w:tcBorders>
              <w:top w:val="nil"/>
              <w:left w:val="nil"/>
              <w:bottom w:val="single" w:sz="4" w:space="0" w:color="auto"/>
              <w:right w:val="single" w:sz="4" w:space="0" w:color="auto"/>
            </w:tcBorders>
            <w:noWrap/>
            <w:vAlign w:val="bottom"/>
            <w:hideMark/>
          </w:tcPr>
          <w:p w14:paraId="06AD2DC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2075C99A"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89CDDD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54F77F5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3,84</w:t>
            </w:r>
          </w:p>
        </w:tc>
        <w:tc>
          <w:tcPr>
            <w:tcW w:w="709" w:type="dxa"/>
            <w:tcBorders>
              <w:top w:val="nil"/>
              <w:left w:val="nil"/>
              <w:bottom w:val="single" w:sz="4" w:space="0" w:color="auto"/>
              <w:right w:val="single" w:sz="4" w:space="0" w:color="auto"/>
            </w:tcBorders>
            <w:noWrap/>
            <w:vAlign w:val="bottom"/>
            <w:hideMark/>
          </w:tcPr>
          <w:p w14:paraId="35DDC8B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2126" w:type="dxa"/>
            <w:tcBorders>
              <w:top w:val="nil"/>
              <w:left w:val="nil"/>
              <w:bottom w:val="single" w:sz="4" w:space="0" w:color="auto"/>
              <w:right w:val="single" w:sz="4" w:space="0" w:color="auto"/>
            </w:tcBorders>
            <w:noWrap/>
            <w:vAlign w:val="bottom"/>
            <w:hideMark/>
          </w:tcPr>
          <w:p w14:paraId="186AA5B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0,34</w:t>
            </w:r>
          </w:p>
        </w:tc>
        <w:tc>
          <w:tcPr>
            <w:tcW w:w="1417" w:type="dxa"/>
            <w:tcBorders>
              <w:top w:val="nil"/>
              <w:left w:val="nil"/>
              <w:bottom w:val="single" w:sz="4" w:space="0" w:color="auto"/>
              <w:right w:val="single" w:sz="4" w:space="0" w:color="auto"/>
            </w:tcBorders>
            <w:noWrap/>
            <w:vAlign w:val="bottom"/>
            <w:hideMark/>
          </w:tcPr>
          <w:p w14:paraId="4E6554D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6A964714"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61C3E392"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32FE54F2"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4,26</w:t>
            </w:r>
          </w:p>
        </w:tc>
        <w:tc>
          <w:tcPr>
            <w:tcW w:w="709" w:type="dxa"/>
            <w:tcBorders>
              <w:top w:val="nil"/>
              <w:left w:val="nil"/>
              <w:bottom w:val="single" w:sz="4" w:space="0" w:color="auto"/>
              <w:right w:val="single" w:sz="4" w:space="0" w:color="auto"/>
            </w:tcBorders>
            <w:noWrap/>
            <w:vAlign w:val="bottom"/>
            <w:hideMark/>
          </w:tcPr>
          <w:p w14:paraId="620D99E2"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2126" w:type="dxa"/>
            <w:tcBorders>
              <w:top w:val="nil"/>
              <w:left w:val="nil"/>
              <w:bottom w:val="single" w:sz="4" w:space="0" w:color="auto"/>
              <w:right w:val="single" w:sz="4" w:space="0" w:color="auto"/>
            </w:tcBorders>
            <w:noWrap/>
            <w:vAlign w:val="bottom"/>
            <w:hideMark/>
          </w:tcPr>
          <w:p w14:paraId="3ED5685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0,16</w:t>
            </w:r>
          </w:p>
        </w:tc>
        <w:tc>
          <w:tcPr>
            <w:tcW w:w="1417" w:type="dxa"/>
            <w:tcBorders>
              <w:top w:val="nil"/>
              <w:left w:val="nil"/>
              <w:bottom w:val="single" w:sz="4" w:space="0" w:color="auto"/>
              <w:right w:val="single" w:sz="4" w:space="0" w:color="auto"/>
            </w:tcBorders>
            <w:noWrap/>
            <w:vAlign w:val="bottom"/>
            <w:hideMark/>
          </w:tcPr>
          <w:p w14:paraId="1C119BE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2EB509FF"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231AE8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6700FF8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4,34</w:t>
            </w:r>
          </w:p>
        </w:tc>
        <w:tc>
          <w:tcPr>
            <w:tcW w:w="709" w:type="dxa"/>
            <w:tcBorders>
              <w:top w:val="nil"/>
              <w:left w:val="nil"/>
              <w:bottom w:val="single" w:sz="4" w:space="0" w:color="auto"/>
              <w:right w:val="single" w:sz="4" w:space="0" w:color="auto"/>
            </w:tcBorders>
            <w:noWrap/>
            <w:vAlign w:val="bottom"/>
            <w:hideMark/>
          </w:tcPr>
          <w:p w14:paraId="2C56D3E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w:t>
            </w:r>
          </w:p>
        </w:tc>
        <w:tc>
          <w:tcPr>
            <w:tcW w:w="2126" w:type="dxa"/>
            <w:tcBorders>
              <w:top w:val="nil"/>
              <w:left w:val="nil"/>
              <w:bottom w:val="single" w:sz="4" w:space="0" w:color="auto"/>
              <w:right w:val="single" w:sz="4" w:space="0" w:color="auto"/>
            </w:tcBorders>
            <w:noWrap/>
            <w:vAlign w:val="bottom"/>
            <w:hideMark/>
          </w:tcPr>
          <w:p w14:paraId="1A0B145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0,18</w:t>
            </w:r>
          </w:p>
        </w:tc>
        <w:tc>
          <w:tcPr>
            <w:tcW w:w="1417" w:type="dxa"/>
            <w:tcBorders>
              <w:top w:val="nil"/>
              <w:left w:val="nil"/>
              <w:bottom w:val="single" w:sz="4" w:space="0" w:color="auto"/>
              <w:right w:val="single" w:sz="4" w:space="0" w:color="auto"/>
            </w:tcBorders>
            <w:noWrap/>
            <w:vAlign w:val="bottom"/>
            <w:hideMark/>
          </w:tcPr>
          <w:p w14:paraId="36171608"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51F413A1"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24D545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1BA9DCE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w:t>
            </w:r>
          </w:p>
        </w:tc>
        <w:tc>
          <w:tcPr>
            <w:tcW w:w="709" w:type="dxa"/>
            <w:tcBorders>
              <w:top w:val="nil"/>
              <w:left w:val="nil"/>
              <w:bottom w:val="single" w:sz="4" w:space="0" w:color="auto"/>
              <w:right w:val="single" w:sz="4" w:space="0" w:color="auto"/>
            </w:tcBorders>
            <w:noWrap/>
            <w:vAlign w:val="bottom"/>
            <w:hideMark/>
          </w:tcPr>
          <w:p w14:paraId="5E8D876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w:t>
            </w:r>
          </w:p>
        </w:tc>
        <w:tc>
          <w:tcPr>
            <w:tcW w:w="2126" w:type="dxa"/>
            <w:tcBorders>
              <w:top w:val="nil"/>
              <w:left w:val="nil"/>
              <w:bottom w:val="single" w:sz="4" w:space="0" w:color="auto"/>
              <w:right w:val="single" w:sz="4" w:space="0" w:color="auto"/>
            </w:tcBorders>
            <w:noWrap/>
            <w:vAlign w:val="bottom"/>
            <w:hideMark/>
          </w:tcPr>
          <w:p w14:paraId="768F63C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0,19</w:t>
            </w:r>
          </w:p>
        </w:tc>
        <w:tc>
          <w:tcPr>
            <w:tcW w:w="1417" w:type="dxa"/>
            <w:tcBorders>
              <w:top w:val="nil"/>
              <w:left w:val="nil"/>
              <w:bottom w:val="single" w:sz="4" w:space="0" w:color="auto"/>
              <w:right w:val="single" w:sz="4" w:space="0" w:color="auto"/>
            </w:tcBorders>
            <w:noWrap/>
            <w:vAlign w:val="bottom"/>
            <w:hideMark/>
          </w:tcPr>
          <w:p w14:paraId="75F4F8A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6DD7E7C2"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BA1F62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2F6D413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w:t>
            </w:r>
          </w:p>
        </w:tc>
        <w:tc>
          <w:tcPr>
            <w:tcW w:w="709" w:type="dxa"/>
            <w:tcBorders>
              <w:top w:val="nil"/>
              <w:left w:val="nil"/>
              <w:bottom w:val="single" w:sz="4" w:space="0" w:color="auto"/>
              <w:right w:val="single" w:sz="4" w:space="0" w:color="auto"/>
            </w:tcBorders>
            <w:noWrap/>
            <w:vAlign w:val="bottom"/>
            <w:hideMark/>
          </w:tcPr>
          <w:p w14:paraId="0D6C796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2126" w:type="dxa"/>
            <w:tcBorders>
              <w:top w:val="nil"/>
              <w:left w:val="nil"/>
              <w:bottom w:val="single" w:sz="4" w:space="0" w:color="auto"/>
              <w:right w:val="single" w:sz="4" w:space="0" w:color="auto"/>
            </w:tcBorders>
            <w:noWrap/>
            <w:vAlign w:val="bottom"/>
            <w:hideMark/>
          </w:tcPr>
          <w:p w14:paraId="157B5A9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0,48</w:t>
            </w:r>
          </w:p>
        </w:tc>
        <w:tc>
          <w:tcPr>
            <w:tcW w:w="1417" w:type="dxa"/>
            <w:tcBorders>
              <w:top w:val="nil"/>
              <w:left w:val="nil"/>
              <w:bottom w:val="single" w:sz="4" w:space="0" w:color="auto"/>
              <w:right w:val="single" w:sz="4" w:space="0" w:color="auto"/>
            </w:tcBorders>
            <w:noWrap/>
            <w:vAlign w:val="bottom"/>
            <w:hideMark/>
          </w:tcPr>
          <w:p w14:paraId="384FF0D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6729060F"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0EE2F46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33C65DF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w:t>
            </w:r>
          </w:p>
        </w:tc>
        <w:tc>
          <w:tcPr>
            <w:tcW w:w="709" w:type="dxa"/>
            <w:tcBorders>
              <w:top w:val="nil"/>
              <w:left w:val="nil"/>
              <w:bottom w:val="single" w:sz="4" w:space="0" w:color="auto"/>
              <w:right w:val="single" w:sz="4" w:space="0" w:color="auto"/>
            </w:tcBorders>
            <w:noWrap/>
            <w:vAlign w:val="bottom"/>
            <w:hideMark/>
          </w:tcPr>
          <w:p w14:paraId="5C10C5E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w:t>
            </w:r>
          </w:p>
        </w:tc>
        <w:tc>
          <w:tcPr>
            <w:tcW w:w="2126" w:type="dxa"/>
            <w:tcBorders>
              <w:top w:val="nil"/>
              <w:left w:val="nil"/>
              <w:bottom w:val="single" w:sz="4" w:space="0" w:color="auto"/>
              <w:right w:val="single" w:sz="4" w:space="0" w:color="auto"/>
            </w:tcBorders>
            <w:noWrap/>
            <w:vAlign w:val="bottom"/>
            <w:hideMark/>
          </w:tcPr>
          <w:p w14:paraId="0A85B0C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0,3</w:t>
            </w:r>
          </w:p>
        </w:tc>
        <w:tc>
          <w:tcPr>
            <w:tcW w:w="1417" w:type="dxa"/>
            <w:tcBorders>
              <w:top w:val="nil"/>
              <w:left w:val="nil"/>
              <w:bottom w:val="single" w:sz="4" w:space="0" w:color="auto"/>
              <w:right w:val="single" w:sz="4" w:space="0" w:color="auto"/>
            </w:tcBorders>
            <w:noWrap/>
            <w:vAlign w:val="bottom"/>
            <w:hideMark/>
          </w:tcPr>
          <w:p w14:paraId="45DA6A3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321F7D2A"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BDA5DF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7354AC5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6,08</w:t>
            </w:r>
          </w:p>
        </w:tc>
        <w:tc>
          <w:tcPr>
            <w:tcW w:w="709" w:type="dxa"/>
            <w:tcBorders>
              <w:top w:val="nil"/>
              <w:left w:val="nil"/>
              <w:bottom w:val="single" w:sz="4" w:space="0" w:color="auto"/>
              <w:right w:val="single" w:sz="4" w:space="0" w:color="auto"/>
            </w:tcBorders>
            <w:noWrap/>
            <w:vAlign w:val="bottom"/>
            <w:hideMark/>
          </w:tcPr>
          <w:p w14:paraId="12657CD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2126" w:type="dxa"/>
            <w:tcBorders>
              <w:top w:val="nil"/>
              <w:left w:val="nil"/>
              <w:bottom w:val="single" w:sz="4" w:space="0" w:color="auto"/>
              <w:right w:val="single" w:sz="4" w:space="0" w:color="auto"/>
            </w:tcBorders>
            <w:noWrap/>
            <w:vAlign w:val="bottom"/>
            <w:hideMark/>
          </w:tcPr>
          <w:p w14:paraId="5A735D7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w:t>
            </w:r>
          </w:p>
        </w:tc>
        <w:tc>
          <w:tcPr>
            <w:tcW w:w="1417" w:type="dxa"/>
            <w:tcBorders>
              <w:top w:val="nil"/>
              <w:left w:val="nil"/>
              <w:bottom w:val="single" w:sz="4" w:space="0" w:color="auto"/>
              <w:right w:val="single" w:sz="4" w:space="0" w:color="auto"/>
            </w:tcBorders>
            <w:noWrap/>
            <w:vAlign w:val="bottom"/>
            <w:hideMark/>
          </w:tcPr>
          <w:p w14:paraId="16D630E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bl>
    <w:p w14:paraId="56EE966A" w14:textId="77777777" w:rsidR="008A3454" w:rsidRDefault="00C82BCC" w:rsidP="008A3454">
      <w:pPr>
        <w:autoSpaceDE w:val="0"/>
        <w:autoSpaceDN w:val="0"/>
        <w:adjustRightInd w:val="0"/>
        <w:spacing w:before="360" w:after="360" w:line="360" w:lineRule="auto"/>
        <w:rPr>
          <w:rFonts w:cs="Times New Roman"/>
          <w:szCs w:val="24"/>
        </w:rPr>
      </w:pPr>
      <w:r>
        <w:rPr>
          <w:rFonts w:cs="Times New Roman"/>
          <w:szCs w:val="24"/>
        </w:rPr>
        <w:t>No hay relación directa entre las dosis de potasio y los promedios registrados pues donde no se aplicó el macronutriente el valor del promedio es superior a aquellas pruebas donde se aplicó 5 y 40 medidas. Según la prueba de Lsd, no existieron diferencias estadísticas significativas entre los promedios de rendimiento para las diversas dosis de K aplicados.</w:t>
      </w:r>
      <w:bookmarkStart w:id="2012" w:name="_Toc79314139"/>
    </w:p>
    <w:p w14:paraId="34178DE2" w14:textId="7A95537B" w:rsidR="00253EF4" w:rsidRPr="008A3454" w:rsidRDefault="00253EF4" w:rsidP="008A3454">
      <w:pPr>
        <w:autoSpaceDE w:val="0"/>
        <w:autoSpaceDN w:val="0"/>
        <w:adjustRightInd w:val="0"/>
        <w:spacing w:before="360" w:after="0" w:line="360" w:lineRule="auto"/>
        <w:rPr>
          <w:rFonts w:cs="Times New Roman"/>
          <w:szCs w:val="24"/>
        </w:rPr>
      </w:pPr>
      <w:r w:rsidRPr="00253EF4">
        <w:rPr>
          <w:rFonts w:cs="Times New Roman"/>
          <w:b/>
          <w:szCs w:val="24"/>
        </w:rPr>
        <w:t xml:space="preserve">Cuadro </w:t>
      </w:r>
      <w:r w:rsidRPr="00253EF4">
        <w:rPr>
          <w:rFonts w:cs="Times New Roman"/>
          <w:b/>
          <w:i/>
          <w:iCs/>
          <w:szCs w:val="24"/>
        </w:rPr>
        <w:fldChar w:fldCharType="begin"/>
      </w:r>
      <w:r w:rsidRPr="00253EF4">
        <w:rPr>
          <w:rFonts w:cs="Times New Roman"/>
          <w:b/>
          <w:szCs w:val="24"/>
        </w:rPr>
        <w:instrText xml:space="preserve"> SEQ Cuadro \* ARABIC </w:instrText>
      </w:r>
      <w:r w:rsidRPr="00253EF4">
        <w:rPr>
          <w:rFonts w:cs="Times New Roman"/>
          <w:b/>
          <w:i/>
          <w:iCs/>
          <w:szCs w:val="24"/>
        </w:rPr>
        <w:fldChar w:fldCharType="separate"/>
      </w:r>
      <w:r w:rsidR="000D1F55">
        <w:rPr>
          <w:rFonts w:cs="Times New Roman"/>
          <w:b/>
          <w:noProof/>
          <w:szCs w:val="24"/>
        </w:rPr>
        <w:t>147</w:t>
      </w:r>
      <w:r w:rsidRPr="00253EF4">
        <w:rPr>
          <w:rFonts w:cs="Times New Roman"/>
          <w:b/>
          <w:i/>
          <w:iCs/>
          <w:szCs w:val="24"/>
        </w:rPr>
        <w:fldChar w:fldCharType="end"/>
      </w:r>
      <w:r w:rsidRPr="00253EF4">
        <w:rPr>
          <w:rFonts w:cs="Times New Roman"/>
          <w:b/>
          <w:szCs w:val="24"/>
        </w:rPr>
        <w:t xml:space="preserve">. </w:t>
      </w:r>
      <w:r w:rsidRPr="00253EF4">
        <w:rPr>
          <w:rFonts w:cs="Times New Roman"/>
          <w:szCs w:val="24"/>
        </w:rPr>
        <w:t>Rendimiento de maíz suave en grano seco para diversas dosis de azufre evaluado en las provincias de Bolívar, Chimborazo, Imbabura 2006-2015.</w:t>
      </w:r>
      <w:bookmarkEnd w:id="2012"/>
    </w:p>
    <w:tbl>
      <w:tblPr>
        <w:tblW w:w="6091" w:type="dxa"/>
        <w:jc w:val="center"/>
        <w:tblCellMar>
          <w:left w:w="70" w:type="dxa"/>
          <w:right w:w="70" w:type="dxa"/>
        </w:tblCellMar>
        <w:tblLook w:val="04A0" w:firstRow="1" w:lastRow="0" w:firstColumn="1" w:lastColumn="0" w:noHBand="0" w:noVBand="1"/>
      </w:tblPr>
      <w:tblGrid>
        <w:gridCol w:w="2122"/>
        <w:gridCol w:w="887"/>
        <w:gridCol w:w="1200"/>
        <w:gridCol w:w="1882"/>
      </w:tblGrid>
      <w:tr w:rsidR="00C82BCC" w14:paraId="2B807294" w14:textId="77777777" w:rsidTr="001B4E97">
        <w:trPr>
          <w:trHeight w:val="300"/>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5FDC4E61"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21B7CE5C"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1200" w:type="dxa"/>
            <w:tcBorders>
              <w:top w:val="single" w:sz="4" w:space="0" w:color="auto"/>
              <w:left w:val="nil"/>
              <w:bottom w:val="single" w:sz="4" w:space="0" w:color="auto"/>
              <w:right w:val="single" w:sz="4" w:space="0" w:color="auto"/>
            </w:tcBorders>
            <w:noWrap/>
            <w:vAlign w:val="bottom"/>
            <w:hideMark/>
          </w:tcPr>
          <w:p w14:paraId="23746136"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82" w:type="dxa"/>
            <w:tcBorders>
              <w:top w:val="single" w:sz="4" w:space="0" w:color="auto"/>
              <w:left w:val="nil"/>
              <w:bottom w:val="single" w:sz="4" w:space="0" w:color="auto"/>
              <w:right w:val="single" w:sz="4" w:space="0" w:color="auto"/>
            </w:tcBorders>
            <w:noWrap/>
            <w:vAlign w:val="bottom"/>
            <w:hideMark/>
          </w:tcPr>
          <w:p w14:paraId="42C21A87"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4E4ECC5E"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79B860D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316735F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3,63</w:t>
            </w:r>
          </w:p>
        </w:tc>
        <w:tc>
          <w:tcPr>
            <w:tcW w:w="1200" w:type="dxa"/>
            <w:tcBorders>
              <w:top w:val="nil"/>
              <w:left w:val="nil"/>
              <w:bottom w:val="single" w:sz="4" w:space="0" w:color="auto"/>
              <w:right w:val="single" w:sz="4" w:space="0" w:color="auto"/>
            </w:tcBorders>
            <w:noWrap/>
            <w:vAlign w:val="bottom"/>
            <w:hideMark/>
          </w:tcPr>
          <w:p w14:paraId="5F8D873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w:t>
            </w:r>
          </w:p>
        </w:tc>
        <w:tc>
          <w:tcPr>
            <w:tcW w:w="1882" w:type="dxa"/>
            <w:tcBorders>
              <w:top w:val="nil"/>
              <w:left w:val="nil"/>
              <w:bottom w:val="single" w:sz="4" w:space="0" w:color="auto"/>
              <w:right w:val="single" w:sz="4" w:space="0" w:color="auto"/>
            </w:tcBorders>
            <w:noWrap/>
            <w:vAlign w:val="bottom"/>
            <w:hideMark/>
          </w:tcPr>
          <w:p w14:paraId="53891DF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0,19</w:t>
            </w:r>
          </w:p>
        </w:tc>
      </w:tr>
      <w:tr w:rsidR="00C82BCC" w14:paraId="6F5744B6"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40030AD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4FC49C8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4,22</w:t>
            </w:r>
          </w:p>
        </w:tc>
        <w:tc>
          <w:tcPr>
            <w:tcW w:w="1200" w:type="dxa"/>
            <w:tcBorders>
              <w:top w:val="nil"/>
              <w:left w:val="nil"/>
              <w:bottom w:val="single" w:sz="4" w:space="0" w:color="auto"/>
              <w:right w:val="single" w:sz="4" w:space="0" w:color="auto"/>
            </w:tcBorders>
            <w:noWrap/>
            <w:vAlign w:val="bottom"/>
            <w:hideMark/>
          </w:tcPr>
          <w:p w14:paraId="44B58B2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w:t>
            </w:r>
          </w:p>
        </w:tc>
        <w:tc>
          <w:tcPr>
            <w:tcW w:w="1882" w:type="dxa"/>
            <w:tcBorders>
              <w:top w:val="nil"/>
              <w:left w:val="nil"/>
              <w:bottom w:val="single" w:sz="4" w:space="0" w:color="auto"/>
              <w:right w:val="single" w:sz="4" w:space="0" w:color="auto"/>
            </w:tcBorders>
            <w:noWrap/>
            <w:vAlign w:val="bottom"/>
            <w:hideMark/>
          </w:tcPr>
          <w:p w14:paraId="03A86C8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0,16</w:t>
            </w:r>
          </w:p>
        </w:tc>
      </w:tr>
      <w:tr w:rsidR="00C82BCC" w14:paraId="0235D89C"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01F3EEA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061681B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4,72</w:t>
            </w:r>
          </w:p>
        </w:tc>
        <w:tc>
          <w:tcPr>
            <w:tcW w:w="1200" w:type="dxa"/>
            <w:tcBorders>
              <w:top w:val="nil"/>
              <w:left w:val="nil"/>
              <w:bottom w:val="single" w:sz="4" w:space="0" w:color="auto"/>
              <w:right w:val="single" w:sz="4" w:space="0" w:color="auto"/>
            </w:tcBorders>
            <w:noWrap/>
            <w:vAlign w:val="bottom"/>
            <w:hideMark/>
          </w:tcPr>
          <w:p w14:paraId="287AFA3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76</w:t>
            </w:r>
          </w:p>
        </w:tc>
        <w:tc>
          <w:tcPr>
            <w:tcW w:w="1882" w:type="dxa"/>
            <w:tcBorders>
              <w:top w:val="nil"/>
              <w:left w:val="nil"/>
              <w:bottom w:val="single" w:sz="4" w:space="0" w:color="auto"/>
              <w:right w:val="single" w:sz="4" w:space="0" w:color="auto"/>
            </w:tcBorders>
            <w:noWrap/>
            <w:vAlign w:val="bottom"/>
            <w:hideMark/>
          </w:tcPr>
          <w:p w14:paraId="10DCD07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0,19</w:t>
            </w:r>
          </w:p>
        </w:tc>
      </w:tr>
      <w:tr w:rsidR="00C82BCC" w14:paraId="792FD177"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66C3881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7647B68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4,78</w:t>
            </w:r>
          </w:p>
        </w:tc>
        <w:tc>
          <w:tcPr>
            <w:tcW w:w="1200" w:type="dxa"/>
            <w:tcBorders>
              <w:top w:val="nil"/>
              <w:left w:val="nil"/>
              <w:bottom w:val="single" w:sz="4" w:space="0" w:color="auto"/>
              <w:right w:val="single" w:sz="4" w:space="0" w:color="auto"/>
            </w:tcBorders>
            <w:noWrap/>
            <w:vAlign w:val="bottom"/>
            <w:hideMark/>
          </w:tcPr>
          <w:p w14:paraId="383230A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w:t>
            </w:r>
          </w:p>
        </w:tc>
        <w:tc>
          <w:tcPr>
            <w:tcW w:w="1882" w:type="dxa"/>
            <w:tcBorders>
              <w:top w:val="nil"/>
              <w:left w:val="nil"/>
              <w:bottom w:val="single" w:sz="4" w:space="0" w:color="auto"/>
              <w:right w:val="single" w:sz="4" w:space="0" w:color="auto"/>
            </w:tcBorders>
            <w:noWrap/>
            <w:vAlign w:val="bottom"/>
            <w:hideMark/>
          </w:tcPr>
          <w:p w14:paraId="78809DB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0,19</w:t>
            </w:r>
          </w:p>
        </w:tc>
      </w:tr>
      <w:tr w:rsidR="00C82BCC" w14:paraId="4952A45A" w14:textId="77777777" w:rsidTr="001B4E97">
        <w:trPr>
          <w:trHeight w:val="300"/>
          <w:jc w:val="center"/>
        </w:trPr>
        <w:tc>
          <w:tcPr>
            <w:tcW w:w="2122" w:type="dxa"/>
            <w:tcBorders>
              <w:top w:val="nil"/>
              <w:left w:val="single" w:sz="4" w:space="0" w:color="auto"/>
              <w:bottom w:val="single" w:sz="4" w:space="0" w:color="auto"/>
              <w:right w:val="single" w:sz="4" w:space="0" w:color="auto"/>
            </w:tcBorders>
            <w:noWrap/>
            <w:vAlign w:val="bottom"/>
            <w:hideMark/>
          </w:tcPr>
          <w:p w14:paraId="3A83CDD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887" w:type="dxa"/>
            <w:tcBorders>
              <w:top w:val="nil"/>
              <w:left w:val="nil"/>
              <w:bottom w:val="single" w:sz="4" w:space="0" w:color="auto"/>
              <w:right w:val="single" w:sz="4" w:space="0" w:color="auto"/>
            </w:tcBorders>
            <w:noWrap/>
            <w:vAlign w:val="bottom"/>
            <w:hideMark/>
          </w:tcPr>
          <w:p w14:paraId="6D7BDA6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5,76</w:t>
            </w:r>
          </w:p>
        </w:tc>
        <w:tc>
          <w:tcPr>
            <w:tcW w:w="1200" w:type="dxa"/>
            <w:tcBorders>
              <w:top w:val="nil"/>
              <w:left w:val="nil"/>
              <w:bottom w:val="single" w:sz="4" w:space="0" w:color="auto"/>
              <w:right w:val="single" w:sz="4" w:space="0" w:color="auto"/>
            </w:tcBorders>
            <w:noWrap/>
            <w:vAlign w:val="bottom"/>
            <w:hideMark/>
          </w:tcPr>
          <w:p w14:paraId="4376E84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882" w:type="dxa"/>
            <w:tcBorders>
              <w:top w:val="nil"/>
              <w:left w:val="nil"/>
              <w:bottom w:val="single" w:sz="4" w:space="0" w:color="auto"/>
              <w:right w:val="single" w:sz="4" w:space="0" w:color="auto"/>
            </w:tcBorders>
            <w:noWrap/>
            <w:vAlign w:val="bottom"/>
            <w:hideMark/>
          </w:tcPr>
          <w:p w14:paraId="43B9C8A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0,53</w:t>
            </w:r>
          </w:p>
        </w:tc>
      </w:tr>
    </w:tbl>
    <w:p w14:paraId="4A2FB53C" w14:textId="4939BAFF" w:rsidR="00253EF4" w:rsidRPr="00253EF4" w:rsidRDefault="00253EF4" w:rsidP="008A3454">
      <w:pPr>
        <w:pStyle w:val="Descripcin"/>
        <w:keepNext/>
        <w:spacing w:before="360"/>
        <w:rPr>
          <w:rFonts w:cs="Times New Roman"/>
          <w:i w:val="0"/>
          <w:iCs w:val="0"/>
          <w:color w:val="auto"/>
          <w:sz w:val="24"/>
          <w:szCs w:val="24"/>
          <w:lang w:eastAsia="en-US"/>
        </w:rPr>
      </w:pPr>
      <w:bookmarkStart w:id="2013" w:name="_Toc79314140"/>
      <w:r w:rsidRPr="00253EF4">
        <w:rPr>
          <w:rFonts w:cs="Times New Roman"/>
          <w:b/>
          <w:i w:val="0"/>
          <w:iCs w:val="0"/>
          <w:color w:val="auto"/>
          <w:sz w:val="24"/>
          <w:szCs w:val="24"/>
          <w:lang w:eastAsia="en-US"/>
        </w:rPr>
        <w:t xml:space="preserve">Cuadro </w:t>
      </w:r>
      <w:r w:rsidRPr="00253EF4">
        <w:rPr>
          <w:rFonts w:cs="Times New Roman"/>
          <w:b/>
          <w:i w:val="0"/>
          <w:iCs w:val="0"/>
          <w:color w:val="auto"/>
          <w:sz w:val="24"/>
          <w:szCs w:val="24"/>
          <w:lang w:eastAsia="en-US"/>
        </w:rPr>
        <w:fldChar w:fldCharType="begin"/>
      </w:r>
      <w:r w:rsidRPr="00253EF4">
        <w:rPr>
          <w:rFonts w:cs="Times New Roman"/>
          <w:b/>
          <w:i w:val="0"/>
          <w:iCs w:val="0"/>
          <w:color w:val="auto"/>
          <w:sz w:val="24"/>
          <w:szCs w:val="24"/>
          <w:lang w:eastAsia="en-US"/>
        </w:rPr>
        <w:instrText xml:space="preserve"> SEQ Cuadro \* ARABIC </w:instrText>
      </w:r>
      <w:r w:rsidRPr="00253EF4">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148</w:t>
      </w:r>
      <w:r w:rsidRPr="00253EF4">
        <w:rPr>
          <w:rFonts w:cs="Times New Roman"/>
          <w:b/>
          <w:i w:val="0"/>
          <w:iCs w:val="0"/>
          <w:color w:val="auto"/>
          <w:sz w:val="24"/>
          <w:szCs w:val="24"/>
          <w:lang w:eastAsia="en-US"/>
        </w:rPr>
        <w:fldChar w:fldCharType="end"/>
      </w:r>
      <w:r w:rsidRPr="00253EF4">
        <w:rPr>
          <w:rFonts w:cs="Times New Roman"/>
          <w:b/>
          <w:i w:val="0"/>
          <w:iCs w:val="0"/>
          <w:color w:val="auto"/>
          <w:sz w:val="24"/>
          <w:szCs w:val="24"/>
          <w:lang w:eastAsia="en-US"/>
        </w:rPr>
        <w:t>.</w:t>
      </w:r>
      <w:r w:rsidRPr="00253EF4">
        <w:rPr>
          <w:rFonts w:cs="Times New Roman"/>
          <w:i w:val="0"/>
          <w:iCs w:val="0"/>
          <w:color w:val="auto"/>
          <w:sz w:val="24"/>
          <w:szCs w:val="24"/>
          <w:lang w:eastAsia="en-US"/>
        </w:rPr>
        <w:t xml:space="preserve"> Rendimiento de maíz suave en grano seco para diversas dosis de magnesio evaluado en las provincias de Bolívar, Chimborazo, Imbabura 2006-2015.</w:t>
      </w:r>
      <w:bookmarkEnd w:id="2013"/>
    </w:p>
    <w:tbl>
      <w:tblPr>
        <w:tblW w:w="6232" w:type="dxa"/>
        <w:jc w:val="center"/>
        <w:tblCellMar>
          <w:left w:w="70" w:type="dxa"/>
          <w:right w:w="70" w:type="dxa"/>
        </w:tblCellMar>
        <w:tblLook w:val="04A0" w:firstRow="1" w:lastRow="0" w:firstColumn="1" w:lastColumn="0" w:noHBand="0" w:noVBand="1"/>
      </w:tblPr>
      <w:tblGrid>
        <w:gridCol w:w="2227"/>
        <w:gridCol w:w="887"/>
        <w:gridCol w:w="1200"/>
        <w:gridCol w:w="1918"/>
      </w:tblGrid>
      <w:tr w:rsidR="00C82BCC" w14:paraId="134C048D" w14:textId="77777777" w:rsidTr="001B4E97">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3D65738B"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780E630D"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1200" w:type="dxa"/>
            <w:tcBorders>
              <w:top w:val="single" w:sz="4" w:space="0" w:color="auto"/>
              <w:left w:val="nil"/>
              <w:bottom w:val="single" w:sz="4" w:space="0" w:color="auto"/>
              <w:right w:val="single" w:sz="4" w:space="0" w:color="auto"/>
            </w:tcBorders>
            <w:noWrap/>
            <w:vAlign w:val="bottom"/>
            <w:hideMark/>
          </w:tcPr>
          <w:p w14:paraId="5AFAD578"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18" w:type="dxa"/>
            <w:tcBorders>
              <w:top w:val="single" w:sz="4" w:space="0" w:color="auto"/>
              <w:left w:val="nil"/>
              <w:bottom w:val="single" w:sz="4" w:space="0" w:color="auto"/>
              <w:right w:val="single" w:sz="4" w:space="0" w:color="auto"/>
            </w:tcBorders>
            <w:noWrap/>
            <w:vAlign w:val="bottom"/>
            <w:hideMark/>
          </w:tcPr>
          <w:p w14:paraId="63DC3E39"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14A79927"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665741A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3C7E98D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3,87</w:t>
            </w:r>
          </w:p>
        </w:tc>
        <w:tc>
          <w:tcPr>
            <w:tcW w:w="1200" w:type="dxa"/>
            <w:tcBorders>
              <w:top w:val="nil"/>
              <w:left w:val="nil"/>
              <w:bottom w:val="single" w:sz="4" w:space="0" w:color="auto"/>
              <w:right w:val="single" w:sz="4" w:space="0" w:color="auto"/>
            </w:tcBorders>
            <w:noWrap/>
            <w:vAlign w:val="bottom"/>
            <w:hideMark/>
          </w:tcPr>
          <w:p w14:paraId="5FBAE6B1"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918" w:type="dxa"/>
            <w:tcBorders>
              <w:top w:val="nil"/>
              <w:left w:val="nil"/>
              <w:bottom w:val="single" w:sz="4" w:space="0" w:color="auto"/>
              <w:right w:val="single" w:sz="4" w:space="0" w:color="auto"/>
            </w:tcBorders>
            <w:noWrap/>
            <w:vAlign w:val="bottom"/>
            <w:hideMark/>
          </w:tcPr>
          <w:p w14:paraId="20310C0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0,18</w:t>
            </w:r>
          </w:p>
        </w:tc>
      </w:tr>
      <w:tr w:rsidR="00C82BCC" w14:paraId="3E697148"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CAB258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4CCB033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4,45</w:t>
            </w:r>
          </w:p>
        </w:tc>
        <w:tc>
          <w:tcPr>
            <w:tcW w:w="1200" w:type="dxa"/>
            <w:tcBorders>
              <w:top w:val="nil"/>
              <w:left w:val="nil"/>
              <w:bottom w:val="single" w:sz="4" w:space="0" w:color="auto"/>
              <w:right w:val="single" w:sz="4" w:space="0" w:color="auto"/>
            </w:tcBorders>
            <w:noWrap/>
            <w:vAlign w:val="bottom"/>
            <w:hideMark/>
          </w:tcPr>
          <w:p w14:paraId="2346E26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918" w:type="dxa"/>
            <w:tcBorders>
              <w:top w:val="nil"/>
              <w:left w:val="nil"/>
              <w:bottom w:val="single" w:sz="4" w:space="0" w:color="auto"/>
              <w:right w:val="single" w:sz="4" w:space="0" w:color="auto"/>
            </w:tcBorders>
            <w:noWrap/>
            <w:vAlign w:val="bottom"/>
            <w:hideMark/>
          </w:tcPr>
          <w:p w14:paraId="716803D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0,53</w:t>
            </w:r>
          </w:p>
        </w:tc>
      </w:tr>
      <w:tr w:rsidR="00C82BCC" w14:paraId="3565AC70"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6E2BA6F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1BB0C9A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4,51</w:t>
            </w:r>
          </w:p>
        </w:tc>
        <w:tc>
          <w:tcPr>
            <w:tcW w:w="1200" w:type="dxa"/>
            <w:tcBorders>
              <w:top w:val="nil"/>
              <w:left w:val="nil"/>
              <w:bottom w:val="single" w:sz="4" w:space="0" w:color="auto"/>
              <w:right w:val="single" w:sz="4" w:space="0" w:color="auto"/>
            </w:tcBorders>
            <w:noWrap/>
            <w:vAlign w:val="bottom"/>
            <w:hideMark/>
          </w:tcPr>
          <w:p w14:paraId="68345AB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w:t>
            </w:r>
          </w:p>
        </w:tc>
        <w:tc>
          <w:tcPr>
            <w:tcW w:w="1918" w:type="dxa"/>
            <w:tcBorders>
              <w:top w:val="nil"/>
              <w:left w:val="nil"/>
              <w:bottom w:val="single" w:sz="4" w:space="0" w:color="auto"/>
              <w:right w:val="single" w:sz="4" w:space="0" w:color="auto"/>
            </w:tcBorders>
            <w:noWrap/>
            <w:vAlign w:val="bottom"/>
            <w:hideMark/>
          </w:tcPr>
          <w:p w14:paraId="3B89ED6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0,11</w:t>
            </w:r>
          </w:p>
        </w:tc>
      </w:tr>
      <w:tr w:rsidR="00C82BCC" w14:paraId="46B3218F"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18950F9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87" w:type="dxa"/>
            <w:tcBorders>
              <w:top w:val="nil"/>
              <w:left w:val="nil"/>
              <w:bottom w:val="single" w:sz="4" w:space="0" w:color="auto"/>
              <w:right w:val="single" w:sz="4" w:space="0" w:color="auto"/>
            </w:tcBorders>
            <w:noWrap/>
            <w:vAlign w:val="bottom"/>
            <w:hideMark/>
          </w:tcPr>
          <w:p w14:paraId="2984EC7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4,76</w:t>
            </w:r>
          </w:p>
        </w:tc>
        <w:tc>
          <w:tcPr>
            <w:tcW w:w="1200" w:type="dxa"/>
            <w:tcBorders>
              <w:top w:val="nil"/>
              <w:left w:val="nil"/>
              <w:bottom w:val="single" w:sz="4" w:space="0" w:color="auto"/>
              <w:right w:val="single" w:sz="4" w:space="0" w:color="auto"/>
            </w:tcBorders>
            <w:noWrap/>
            <w:vAlign w:val="bottom"/>
            <w:hideMark/>
          </w:tcPr>
          <w:p w14:paraId="6B6FDFA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918" w:type="dxa"/>
            <w:tcBorders>
              <w:top w:val="nil"/>
              <w:left w:val="nil"/>
              <w:bottom w:val="single" w:sz="4" w:space="0" w:color="auto"/>
              <w:right w:val="single" w:sz="4" w:space="0" w:color="auto"/>
            </w:tcBorders>
            <w:noWrap/>
            <w:vAlign w:val="bottom"/>
            <w:hideMark/>
          </w:tcPr>
          <w:p w14:paraId="3DE2F3E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0,53</w:t>
            </w:r>
          </w:p>
        </w:tc>
      </w:tr>
      <w:tr w:rsidR="00C82BCC" w14:paraId="65AB74B5" w14:textId="77777777" w:rsidTr="008A3454">
        <w:trPr>
          <w:trHeight w:val="300"/>
          <w:jc w:val="center"/>
        </w:trPr>
        <w:tc>
          <w:tcPr>
            <w:tcW w:w="2227" w:type="dxa"/>
            <w:tcBorders>
              <w:top w:val="nil"/>
              <w:left w:val="single" w:sz="4" w:space="0" w:color="auto"/>
              <w:bottom w:val="nil"/>
              <w:right w:val="single" w:sz="4" w:space="0" w:color="auto"/>
            </w:tcBorders>
            <w:noWrap/>
            <w:vAlign w:val="bottom"/>
            <w:hideMark/>
          </w:tcPr>
          <w:p w14:paraId="611B397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nil"/>
              <w:right w:val="single" w:sz="4" w:space="0" w:color="auto"/>
            </w:tcBorders>
            <w:noWrap/>
            <w:vAlign w:val="bottom"/>
            <w:hideMark/>
          </w:tcPr>
          <w:p w14:paraId="6C78BE9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5,07</w:t>
            </w:r>
          </w:p>
        </w:tc>
        <w:tc>
          <w:tcPr>
            <w:tcW w:w="1200" w:type="dxa"/>
            <w:tcBorders>
              <w:top w:val="nil"/>
              <w:left w:val="nil"/>
              <w:bottom w:val="nil"/>
              <w:right w:val="single" w:sz="4" w:space="0" w:color="auto"/>
            </w:tcBorders>
            <w:noWrap/>
            <w:vAlign w:val="bottom"/>
            <w:hideMark/>
          </w:tcPr>
          <w:p w14:paraId="6F343BF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w:t>
            </w:r>
          </w:p>
        </w:tc>
        <w:tc>
          <w:tcPr>
            <w:tcW w:w="1918" w:type="dxa"/>
            <w:tcBorders>
              <w:top w:val="nil"/>
              <w:left w:val="nil"/>
              <w:bottom w:val="nil"/>
              <w:right w:val="single" w:sz="4" w:space="0" w:color="auto"/>
            </w:tcBorders>
            <w:noWrap/>
            <w:vAlign w:val="bottom"/>
            <w:hideMark/>
          </w:tcPr>
          <w:p w14:paraId="41EE151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0,28</w:t>
            </w:r>
          </w:p>
        </w:tc>
      </w:tr>
      <w:tr w:rsidR="008A3454" w14:paraId="11AEC7D9" w14:textId="77777777" w:rsidTr="001B4E97">
        <w:trPr>
          <w:trHeight w:val="300"/>
          <w:jc w:val="center"/>
        </w:trPr>
        <w:tc>
          <w:tcPr>
            <w:tcW w:w="2227" w:type="dxa"/>
            <w:tcBorders>
              <w:top w:val="nil"/>
              <w:left w:val="single" w:sz="4" w:space="0" w:color="auto"/>
              <w:bottom w:val="single" w:sz="4" w:space="0" w:color="auto"/>
              <w:right w:val="single" w:sz="4" w:space="0" w:color="auto"/>
            </w:tcBorders>
            <w:noWrap/>
            <w:vAlign w:val="bottom"/>
          </w:tcPr>
          <w:p w14:paraId="46303EA5" w14:textId="77777777" w:rsidR="008A3454" w:rsidRDefault="008A3454" w:rsidP="008A3454">
            <w:pPr>
              <w:spacing w:after="0" w:line="240" w:lineRule="auto"/>
              <w:jc w:val="center"/>
              <w:rPr>
                <w:rFonts w:eastAsia="Times New Roman" w:cs="Times New Roman"/>
                <w:color w:val="000000"/>
                <w:szCs w:val="24"/>
                <w:lang w:eastAsia="es-EC"/>
              </w:rPr>
            </w:pPr>
          </w:p>
        </w:tc>
        <w:tc>
          <w:tcPr>
            <w:tcW w:w="887" w:type="dxa"/>
            <w:tcBorders>
              <w:top w:val="nil"/>
              <w:left w:val="nil"/>
              <w:bottom w:val="single" w:sz="4" w:space="0" w:color="auto"/>
              <w:right w:val="single" w:sz="4" w:space="0" w:color="auto"/>
            </w:tcBorders>
            <w:noWrap/>
            <w:vAlign w:val="bottom"/>
          </w:tcPr>
          <w:p w14:paraId="43E0180F" w14:textId="77777777" w:rsidR="008A3454" w:rsidRDefault="008A3454" w:rsidP="008A3454">
            <w:pPr>
              <w:spacing w:after="0" w:line="240" w:lineRule="auto"/>
              <w:jc w:val="center"/>
              <w:rPr>
                <w:rFonts w:eastAsia="Times New Roman" w:cs="Times New Roman"/>
                <w:color w:val="000000"/>
                <w:szCs w:val="24"/>
                <w:lang w:eastAsia="es-EC"/>
              </w:rPr>
            </w:pPr>
          </w:p>
        </w:tc>
        <w:tc>
          <w:tcPr>
            <w:tcW w:w="1200" w:type="dxa"/>
            <w:tcBorders>
              <w:top w:val="nil"/>
              <w:left w:val="nil"/>
              <w:bottom w:val="single" w:sz="4" w:space="0" w:color="auto"/>
              <w:right w:val="single" w:sz="4" w:space="0" w:color="auto"/>
            </w:tcBorders>
            <w:noWrap/>
            <w:vAlign w:val="bottom"/>
          </w:tcPr>
          <w:p w14:paraId="0707C24E" w14:textId="77777777" w:rsidR="008A3454" w:rsidRDefault="008A3454" w:rsidP="008A3454">
            <w:pPr>
              <w:spacing w:after="0" w:line="240" w:lineRule="auto"/>
              <w:jc w:val="center"/>
              <w:rPr>
                <w:rFonts w:eastAsia="Times New Roman" w:cs="Times New Roman"/>
                <w:color w:val="000000"/>
                <w:szCs w:val="24"/>
                <w:lang w:eastAsia="es-EC"/>
              </w:rPr>
            </w:pPr>
          </w:p>
        </w:tc>
        <w:tc>
          <w:tcPr>
            <w:tcW w:w="1918" w:type="dxa"/>
            <w:tcBorders>
              <w:top w:val="nil"/>
              <w:left w:val="nil"/>
              <w:bottom w:val="single" w:sz="4" w:space="0" w:color="auto"/>
              <w:right w:val="single" w:sz="4" w:space="0" w:color="auto"/>
            </w:tcBorders>
            <w:noWrap/>
            <w:vAlign w:val="bottom"/>
          </w:tcPr>
          <w:p w14:paraId="4FB5EF6B" w14:textId="77777777" w:rsidR="008A3454" w:rsidRDefault="008A3454" w:rsidP="008A3454">
            <w:pPr>
              <w:spacing w:after="0" w:line="240" w:lineRule="auto"/>
              <w:jc w:val="center"/>
              <w:rPr>
                <w:rFonts w:eastAsia="Times New Roman" w:cs="Times New Roman"/>
                <w:color w:val="000000"/>
                <w:szCs w:val="24"/>
                <w:lang w:eastAsia="es-EC"/>
              </w:rPr>
            </w:pPr>
          </w:p>
        </w:tc>
      </w:tr>
    </w:tbl>
    <w:p w14:paraId="289CB531" w14:textId="523472FF" w:rsidR="006B5CA5" w:rsidRDefault="006B5CA5" w:rsidP="008A3454">
      <w:pPr>
        <w:pStyle w:val="Prrafodelista"/>
        <w:numPr>
          <w:ilvl w:val="0"/>
          <w:numId w:val="32"/>
        </w:numPr>
        <w:autoSpaceDE w:val="0"/>
        <w:autoSpaceDN w:val="0"/>
        <w:adjustRightInd w:val="0"/>
        <w:spacing w:before="360" w:after="360" w:line="360" w:lineRule="auto"/>
        <w:ind w:left="1077" w:hanging="357"/>
        <w:rPr>
          <w:rFonts w:cs="Times New Roman"/>
          <w:bCs/>
          <w:szCs w:val="24"/>
        </w:rPr>
      </w:pPr>
      <w:r>
        <w:rPr>
          <w:rFonts w:cs="Times New Roman"/>
          <w:bCs/>
          <w:szCs w:val="24"/>
        </w:rPr>
        <w:lastRenderedPageBreak/>
        <w:t xml:space="preserve">Nitrógeno </w:t>
      </w:r>
    </w:p>
    <w:p w14:paraId="1382B051" w14:textId="17B2C94D" w:rsidR="008A3454" w:rsidRDefault="00C82BCC" w:rsidP="008A3454">
      <w:pPr>
        <w:jc w:val="center"/>
        <w:rPr>
          <w:rFonts w:cs="Times New Roman"/>
          <w:szCs w:val="24"/>
        </w:rPr>
      </w:pPr>
      <w:r>
        <w:rPr>
          <w:rFonts w:cs="Times New Roman"/>
          <w:noProof/>
          <w:szCs w:val="24"/>
          <w:lang w:eastAsia="es-EC"/>
        </w:rPr>
        <w:drawing>
          <wp:inline distT="0" distB="0" distL="0" distR="0" wp14:anchorId="62A3825B" wp14:editId="693FA6A8">
            <wp:extent cx="3923271" cy="1953655"/>
            <wp:effectExtent l="0" t="0" r="1270" b="8890"/>
            <wp:docPr id="89" name="Gráfico 89">
              <a:extLst xmlns:a="http://schemas.openxmlformats.org/drawingml/2006/main">
                <a:ext uri="{FF2B5EF4-FFF2-40B4-BE49-F238E27FC236}">
                  <a16:creationId xmlns:a16="http://schemas.microsoft.com/office/drawing/2014/main" id="{2FE00FA8-241C-4C03-B075-5D809FE2C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683D135" w14:textId="79E94357" w:rsidR="00C82BCC" w:rsidRDefault="00C82BCC" w:rsidP="008A3454">
      <w:pPr>
        <w:pStyle w:val="Ttulo3"/>
        <w:spacing w:before="360" w:after="360"/>
      </w:pPr>
      <w:bookmarkStart w:id="2014" w:name="_Toc80312355"/>
      <w:r>
        <w:t>A</w:t>
      </w:r>
      <w:r w:rsidR="00E44165">
        <w:t>b</w:t>
      </w:r>
      <w:r>
        <w:t>sorción de nitrógeno (Kg</w:t>
      </w:r>
      <w:r>
        <w:rPr>
          <w:rFonts w:eastAsia="Times New Roman"/>
          <w:color w:val="000000"/>
          <w:lang w:eastAsia="es-EC"/>
        </w:rPr>
        <w:t>/</w:t>
      </w:r>
      <w:r>
        <w:t>ha</w:t>
      </w:r>
      <w:r>
        <w:rPr>
          <w:vertAlign w:val="superscript"/>
        </w:rPr>
        <w:t>-1</w:t>
      </w:r>
      <w:r>
        <w:t>)</w:t>
      </w:r>
      <w:bookmarkEnd w:id="2014"/>
    </w:p>
    <w:p w14:paraId="37F3C84B" w14:textId="77777777" w:rsidR="008A3454" w:rsidRDefault="00C82BCC" w:rsidP="008A3454">
      <w:pPr>
        <w:autoSpaceDE w:val="0"/>
        <w:autoSpaceDN w:val="0"/>
        <w:adjustRightInd w:val="0"/>
        <w:spacing w:after="0" w:line="360" w:lineRule="auto"/>
        <w:rPr>
          <w:rFonts w:cs="Times New Roman"/>
          <w:b/>
          <w:bCs/>
          <w:color w:val="0000FF"/>
        </w:rPr>
      </w:pPr>
      <w:r>
        <w:rPr>
          <w:rFonts w:cs="Times New Roman"/>
          <w:szCs w:val="24"/>
        </w:rPr>
        <w:t>Al utilizar el modelo estadístico para la absorción total de nitrógeno, se detectaron diferencias estadísticas significativas (p &lt;0,05) para las fuentes de variación de provincia, nitrógeno, fósforo, potasio, azufre y magnesio (</w:t>
      </w:r>
      <w:r w:rsidR="00C21A60">
        <w:rPr>
          <w:rFonts w:cs="Times New Roman"/>
          <w:szCs w:val="24"/>
        </w:rPr>
        <w:t>Cuadro</w:t>
      </w:r>
      <w:r>
        <w:rPr>
          <w:rFonts w:cs="Times New Roman"/>
          <w:szCs w:val="24"/>
        </w:rPr>
        <w:t xml:space="preserve"> 14</w:t>
      </w:r>
      <w:r w:rsidR="00331821">
        <w:rPr>
          <w:rFonts w:cs="Times New Roman"/>
          <w:szCs w:val="24"/>
        </w:rPr>
        <w:t>9</w:t>
      </w:r>
      <w:r>
        <w:rPr>
          <w:rFonts w:cs="Times New Roman"/>
          <w:szCs w:val="24"/>
        </w:rPr>
        <w:t>). Por lo tanto, las dosis de los fertilizantes y el efecto ambiental de la provincia afectaron a esta variable. El promedio general de la absorción total de nitrógeno fue 124,06 Kg/ha; con un R</w:t>
      </w:r>
      <w:r>
        <w:rPr>
          <w:rFonts w:cs="Times New Roman"/>
          <w:szCs w:val="24"/>
          <w:vertAlign w:val="superscript"/>
        </w:rPr>
        <w:t>2</w:t>
      </w:r>
      <w:r>
        <w:rPr>
          <w:rFonts w:cs="Times New Roman"/>
          <w:szCs w:val="24"/>
        </w:rPr>
        <w:t xml:space="preserve"> de 0,69 y un coeficiente de variación fue de 29,19 %</w:t>
      </w:r>
      <w:r>
        <w:rPr>
          <w:rFonts w:cs="Times New Roman"/>
          <w:b/>
          <w:bCs/>
          <w:color w:val="0000FF"/>
        </w:rPr>
        <w:t>.</w:t>
      </w:r>
      <w:bookmarkStart w:id="2015" w:name="_Toc79314141"/>
    </w:p>
    <w:p w14:paraId="07D526DF" w14:textId="19627720" w:rsidR="00253EF4" w:rsidRPr="008A3454" w:rsidRDefault="00253EF4" w:rsidP="008A3454">
      <w:pPr>
        <w:autoSpaceDE w:val="0"/>
        <w:autoSpaceDN w:val="0"/>
        <w:adjustRightInd w:val="0"/>
        <w:spacing w:before="360" w:after="0" w:line="360" w:lineRule="auto"/>
        <w:rPr>
          <w:rFonts w:cs="Times New Roman"/>
          <w:b/>
          <w:bCs/>
          <w:color w:val="0000FF"/>
        </w:rPr>
      </w:pPr>
      <w:r w:rsidRPr="00253EF4">
        <w:rPr>
          <w:rFonts w:cs="Times New Roman"/>
          <w:b/>
          <w:szCs w:val="24"/>
        </w:rPr>
        <w:t xml:space="preserve">Cuadro </w:t>
      </w:r>
      <w:r w:rsidRPr="00253EF4">
        <w:rPr>
          <w:rFonts w:cs="Times New Roman"/>
          <w:b/>
          <w:i/>
          <w:iCs/>
          <w:szCs w:val="24"/>
        </w:rPr>
        <w:fldChar w:fldCharType="begin"/>
      </w:r>
      <w:r w:rsidRPr="00253EF4">
        <w:rPr>
          <w:rFonts w:cs="Times New Roman"/>
          <w:b/>
          <w:szCs w:val="24"/>
        </w:rPr>
        <w:instrText xml:space="preserve"> SEQ Cuadro \* ARABIC </w:instrText>
      </w:r>
      <w:r w:rsidRPr="00253EF4">
        <w:rPr>
          <w:rFonts w:cs="Times New Roman"/>
          <w:b/>
          <w:i/>
          <w:iCs/>
          <w:szCs w:val="24"/>
        </w:rPr>
        <w:fldChar w:fldCharType="separate"/>
      </w:r>
      <w:r w:rsidR="000D1F55">
        <w:rPr>
          <w:rFonts w:cs="Times New Roman"/>
          <w:b/>
          <w:noProof/>
          <w:szCs w:val="24"/>
        </w:rPr>
        <w:t>149</w:t>
      </w:r>
      <w:r w:rsidRPr="00253EF4">
        <w:rPr>
          <w:rFonts w:cs="Times New Roman"/>
          <w:b/>
          <w:i/>
          <w:iCs/>
          <w:szCs w:val="24"/>
        </w:rPr>
        <w:fldChar w:fldCharType="end"/>
      </w:r>
      <w:r w:rsidRPr="00253EF4">
        <w:rPr>
          <w:rFonts w:cs="Times New Roman"/>
          <w:b/>
          <w:szCs w:val="24"/>
        </w:rPr>
        <w:t>.</w:t>
      </w:r>
      <w:r w:rsidRPr="00253EF4">
        <w:rPr>
          <w:rFonts w:cs="Times New Roman"/>
          <w:szCs w:val="24"/>
        </w:rPr>
        <w:t xml:space="preserve"> Análisis de la Varianza (SC tipo I) y porcentaje de varianza para absorción de nitrógeno de maíz suave en grano seco, evaluado (Consolidado) en las provincias de Bolívar, Chimborazo, Imbabura (2006-2015).</w:t>
      </w:r>
      <w:bookmarkEnd w:id="2015"/>
    </w:p>
    <w:tbl>
      <w:tblPr>
        <w:tblW w:w="5000" w:type="pct"/>
        <w:tblCellMar>
          <w:left w:w="70" w:type="dxa"/>
          <w:right w:w="70" w:type="dxa"/>
        </w:tblCellMar>
        <w:tblLook w:val="04A0" w:firstRow="1" w:lastRow="0" w:firstColumn="1" w:lastColumn="0" w:noHBand="0" w:noVBand="1"/>
      </w:tblPr>
      <w:tblGrid>
        <w:gridCol w:w="1081"/>
        <w:gridCol w:w="1160"/>
        <w:gridCol w:w="1069"/>
        <w:gridCol w:w="1075"/>
        <w:gridCol w:w="1077"/>
        <w:gridCol w:w="1078"/>
        <w:gridCol w:w="1387"/>
      </w:tblGrid>
      <w:tr w:rsidR="00C82BCC" w14:paraId="47D6197C" w14:textId="77777777" w:rsidTr="00253EF4">
        <w:trPr>
          <w:trHeight w:val="300"/>
        </w:trPr>
        <w:tc>
          <w:tcPr>
            <w:tcW w:w="697" w:type="pct"/>
            <w:tcBorders>
              <w:top w:val="single" w:sz="4" w:space="0" w:color="auto"/>
              <w:left w:val="single" w:sz="4" w:space="0" w:color="auto"/>
              <w:bottom w:val="single" w:sz="4" w:space="0" w:color="auto"/>
              <w:right w:val="single" w:sz="4" w:space="0" w:color="auto"/>
            </w:tcBorders>
            <w:noWrap/>
            <w:vAlign w:val="bottom"/>
            <w:hideMark/>
          </w:tcPr>
          <w:p w14:paraId="5AB80024"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F.V.</w:t>
            </w:r>
          </w:p>
        </w:tc>
        <w:tc>
          <w:tcPr>
            <w:tcW w:w="697" w:type="pct"/>
            <w:tcBorders>
              <w:top w:val="single" w:sz="4" w:space="0" w:color="auto"/>
              <w:left w:val="nil"/>
              <w:bottom w:val="single" w:sz="4" w:space="0" w:color="auto"/>
              <w:right w:val="single" w:sz="4" w:space="0" w:color="auto"/>
            </w:tcBorders>
            <w:noWrap/>
            <w:vAlign w:val="bottom"/>
            <w:hideMark/>
          </w:tcPr>
          <w:p w14:paraId="5FEA4CB4"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SC</w:t>
            </w:r>
          </w:p>
        </w:tc>
        <w:tc>
          <w:tcPr>
            <w:tcW w:w="697" w:type="pct"/>
            <w:tcBorders>
              <w:top w:val="single" w:sz="4" w:space="0" w:color="auto"/>
              <w:left w:val="nil"/>
              <w:bottom w:val="single" w:sz="4" w:space="0" w:color="auto"/>
              <w:right w:val="single" w:sz="4" w:space="0" w:color="auto"/>
            </w:tcBorders>
            <w:noWrap/>
            <w:vAlign w:val="bottom"/>
            <w:hideMark/>
          </w:tcPr>
          <w:p w14:paraId="3A8D773F" w14:textId="7BBAE7EE" w:rsidR="00C82BCC" w:rsidRDefault="00F25CE6"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G</w:t>
            </w:r>
            <w:r w:rsidR="00C82BCC">
              <w:rPr>
                <w:rFonts w:eastAsia="Times New Roman" w:cs="Times New Roman"/>
                <w:b/>
                <w:bCs/>
                <w:color w:val="000000"/>
                <w:szCs w:val="24"/>
                <w:lang w:eastAsia="es-EC"/>
              </w:rPr>
              <w:t>l</w:t>
            </w:r>
          </w:p>
        </w:tc>
        <w:tc>
          <w:tcPr>
            <w:tcW w:w="697" w:type="pct"/>
            <w:tcBorders>
              <w:top w:val="single" w:sz="4" w:space="0" w:color="auto"/>
              <w:left w:val="nil"/>
              <w:bottom w:val="single" w:sz="4" w:space="0" w:color="auto"/>
              <w:right w:val="single" w:sz="4" w:space="0" w:color="auto"/>
            </w:tcBorders>
            <w:noWrap/>
            <w:vAlign w:val="bottom"/>
            <w:hideMark/>
          </w:tcPr>
          <w:p w14:paraId="60248E44"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CM</w:t>
            </w:r>
          </w:p>
        </w:tc>
        <w:tc>
          <w:tcPr>
            <w:tcW w:w="698" w:type="pct"/>
            <w:tcBorders>
              <w:top w:val="single" w:sz="4" w:space="0" w:color="auto"/>
              <w:left w:val="nil"/>
              <w:bottom w:val="single" w:sz="4" w:space="0" w:color="auto"/>
              <w:right w:val="single" w:sz="4" w:space="0" w:color="auto"/>
            </w:tcBorders>
            <w:noWrap/>
            <w:vAlign w:val="bottom"/>
            <w:hideMark/>
          </w:tcPr>
          <w:p w14:paraId="7572B37F"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F</w:t>
            </w:r>
          </w:p>
        </w:tc>
        <w:tc>
          <w:tcPr>
            <w:tcW w:w="698" w:type="pct"/>
            <w:tcBorders>
              <w:top w:val="single" w:sz="4" w:space="0" w:color="auto"/>
              <w:left w:val="nil"/>
              <w:bottom w:val="single" w:sz="4" w:space="0" w:color="auto"/>
              <w:right w:val="single" w:sz="4" w:space="0" w:color="auto"/>
            </w:tcBorders>
            <w:noWrap/>
            <w:vAlign w:val="bottom"/>
            <w:hideMark/>
          </w:tcPr>
          <w:p w14:paraId="4C5D0573"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817" w:type="pct"/>
            <w:tcBorders>
              <w:top w:val="single" w:sz="4" w:space="0" w:color="auto"/>
              <w:left w:val="nil"/>
              <w:bottom w:val="single" w:sz="4" w:space="0" w:color="auto"/>
              <w:right w:val="single" w:sz="4" w:space="0" w:color="auto"/>
            </w:tcBorders>
            <w:noWrap/>
            <w:vAlign w:val="bottom"/>
            <w:hideMark/>
          </w:tcPr>
          <w:p w14:paraId="27A6DF6D" w14:textId="77777777" w:rsidR="00C82BCC" w:rsidRDefault="00C82BCC" w:rsidP="008A3454">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3E68122F"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7B9C8F6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Modelo</w:t>
            </w:r>
          </w:p>
        </w:tc>
        <w:tc>
          <w:tcPr>
            <w:tcW w:w="697" w:type="pct"/>
            <w:tcBorders>
              <w:top w:val="nil"/>
              <w:left w:val="nil"/>
              <w:bottom w:val="single" w:sz="4" w:space="0" w:color="auto"/>
              <w:right w:val="single" w:sz="4" w:space="0" w:color="auto"/>
            </w:tcBorders>
            <w:noWrap/>
            <w:vAlign w:val="bottom"/>
            <w:hideMark/>
          </w:tcPr>
          <w:p w14:paraId="4037193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597756,91</w:t>
            </w:r>
          </w:p>
        </w:tc>
        <w:tc>
          <w:tcPr>
            <w:tcW w:w="697" w:type="pct"/>
            <w:tcBorders>
              <w:top w:val="nil"/>
              <w:left w:val="nil"/>
              <w:bottom w:val="single" w:sz="4" w:space="0" w:color="auto"/>
              <w:right w:val="single" w:sz="4" w:space="0" w:color="auto"/>
            </w:tcBorders>
            <w:noWrap/>
            <w:vAlign w:val="bottom"/>
            <w:hideMark/>
          </w:tcPr>
          <w:p w14:paraId="1CCF644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697" w:type="pct"/>
            <w:tcBorders>
              <w:top w:val="nil"/>
              <w:left w:val="nil"/>
              <w:bottom w:val="single" w:sz="4" w:space="0" w:color="auto"/>
              <w:right w:val="single" w:sz="4" w:space="0" w:color="auto"/>
            </w:tcBorders>
            <w:noWrap/>
            <w:vAlign w:val="bottom"/>
            <w:hideMark/>
          </w:tcPr>
          <w:p w14:paraId="5B466642"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19282,48</w:t>
            </w:r>
          </w:p>
        </w:tc>
        <w:tc>
          <w:tcPr>
            <w:tcW w:w="698" w:type="pct"/>
            <w:tcBorders>
              <w:top w:val="nil"/>
              <w:left w:val="nil"/>
              <w:bottom w:val="single" w:sz="4" w:space="0" w:color="auto"/>
              <w:right w:val="single" w:sz="4" w:space="0" w:color="auto"/>
            </w:tcBorders>
            <w:noWrap/>
            <w:vAlign w:val="bottom"/>
            <w:hideMark/>
          </w:tcPr>
          <w:p w14:paraId="36CDDED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14,7</w:t>
            </w:r>
          </w:p>
        </w:tc>
        <w:tc>
          <w:tcPr>
            <w:tcW w:w="698" w:type="pct"/>
            <w:tcBorders>
              <w:top w:val="nil"/>
              <w:left w:val="nil"/>
              <w:bottom w:val="single" w:sz="4" w:space="0" w:color="auto"/>
              <w:right w:val="single" w:sz="4" w:space="0" w:color="auto"/>
            </w:tcBorders>
            <w:noWrap/>
            <w:vAlign w:val="bottom"/>
            <w:hideMark/>
          </w:tcPr>
          <w:p w14:paraId="12EB01C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5CAEF13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68,56</w:t>
            </w:r>
          </w:p>
        </w:tc>
      </w:tr>
      <w:tr w:rsidR="00C82BCC" w14:paraId="75C4EA24"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398E7B0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Provincia</w:t>
            </w:r>
          </w:p>
        </w:tc>
        <w:tc>
          <w:tcPr>
            <w:tcW w:w="697" w:type="pct"/>
            <w:tcBorders>
              <w:top w:val="nil"/>
              <w:left w:val="nil"/>
              <w:bottom w:val="single" w:sz="4" w:space="0" w:color="auto"/>
              <w:right w:val="single" w:sz="4" w:space="0" w:color="auto"/>
            </w:tcBorders>
            <w:noWrap/>
            <w:vAlign w:val="bottom"/>
            <w:hideMark/>
          </w:tcPr>
          <w:p w14:paraId="2A1383B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186620,86</w:t>
            </w:r>
          </w:p>
        </w:tc>
        <w:tc>
          <w:tcPr>
            <w:tcW w:w="697" w:type="pct"/>
            <w:tcBorders>
              <w:top w:val="nil"/>
              <w:left w:val="nil"/>
              <w:bottom w:val="single" w:sz="4" w:space="0" w:color="auto"/>
              <w:right w:val="single" w:sz="4" w:space="0" w:color="auto"/>
            </w:tcBorders>
            <w:noWrap/>
            <w:vAlign w:val="bottom"/>
            <w:hideMark/>
          </w:tcPr>
          <w:p w14:paraId="49B166E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97" w:type="pct"/>
            <w:tcBorders>
              <w:top w:val="nil"/>
              <w:left w:val="nil"/>
              <w:bottom w:val="single" w:sz="4" w:space="0" w:color="auto"/>
              <w:right w:val="single" w:sz="4" w:space="0" w:color="auto"/>
            </w:tcBorders>
            <w:noWrap/>
            <w:vAlign w:val="bottom"/>
            <w:hideMark/>
          </w:tcPr>
          <w:p w14:paraId="35C4F70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93310,43</w:t>
            </w:r>
          </w:p>
        </w:tc>
        <w:tc>
          <w:tcPr>
            <w:tcW w:w="698" w:type="pct"/>
            <w:tcBorders>
              <w:top w:val="nil"/>
              <w:left w:val="nil"/>
              <w:bottom w:val="single" w:sz="4" w:space="0" w:color="auto"/>
              <w:right w:val="single" w:sz="4" w:space="0" w:color="auto"/>
            </w:tcBorders>
            <w:noWrap/>
            <w:vAlign w:val="bottom"/>
            <w:hideMark/>
          </w:tcPr>
          <w:p w14:paraId="60454B8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71,13</w:t>
            </w:r>
          </w:p>
        </w:tc>
        <w:tc>
          <w:tcPr>
            <w:tcW w:w="698" w:type="pct"/>
            <w:tcBorders>
              <w:top w:val="nil"/>
              <w:left w:val="nil"/>
              <w:bottom w:val="single" w:sz="4" w:space="0" w:color="auto"/>
              <w:right w:val="single" w:sz="4" w:space="0" w:color="auto"/>
            </w:tcBorders>
            <w:noWrap/>
            <w:vAlign w:val="bottom"/>
            <w:hideMark/>
          </w:tcPr>
          <w:p w14:paraId="5D6ED27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7F8D961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21,40</w:t>
            </w:r>
          </w:p>
        </w:tc>
      </w:tr>
      <w:tr w:rsidR="00C82BCC" w14:paraId="59373121"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1E5760F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Dosis N</w:t>
            </w:r>
          </w:p>
        </w:tc>
        <w:tc>
          <w:tcPr>
            <w:tcW w:w="697" w:type="pct"/>
            <w:tcBorders>
              <w:top w:val="nil"/>
              <w:left w:val="nil"/>
              <w:bottom w:val="single" w:sz="4" w:space="0" w:color="auto"/>
              <w:right w:val="single" w:sz="4" w:space="0" w:color="auto"/>
            </w:tcBorders>
            <w:noWrap/>
            <w:vAlign w:val="bottom"/>
            <w:hideMark/>
          </w:tcPr>
          <w:p w14:paraId="193091C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229160,76</w:t>
            </w:r>
          </w:p>
        </w:tc>
        <w:tc>
          <w:tcPr>
            <w:tcW w:w="697" w:type="pct"/>
            <w:tcBorders>
              <w:top w:val="nil"/>
              <w:left w:val="nil"/>
              <w:bottom w:val="single" w:sz="4" w:space="0" w:color="auto"/>
              <w:right w:val="single" w:sz="4" w:space="0" w:color="auto"/>
            </w:tcBorders>
            <w:noWrap/>
            <w:vAlign w:val="bottom"/>
            <w:hideMark/>
          </w:tcPr>
          <w:p w14:paraId="7754ED7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w:t>
            </w:r>
          </w:p>
        </w:tc>
        <w:tc>
          <w:tcPr>
            <w:tcW w:w="697" w:type="pct"/>
            <w:tcBorders>
              <w:top w:val="nil"/>
              <w:left w:val="nil"/>
              <w:bottom w:val="single" w:sz="4" w:space="0" w:color="auto"/>
              <w:right w:val="single" w:sz="4" w:space="0" w:color="auto"/>
            </w:tcBorders>
            <w:noWrap/>
            <w:vAlign w:val="bottom"/>
            <w:hideMark/>
          </w:tcPr>
          <w:p w14:paraId="102698D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25462,31</w:t>
            </w:r>
          </w:p>
        </w:tc>
        <w:tc>
          <w:tcPr>
            <w:tcW w:w="698" w:type="pct"/>
            <w:tcBorders>
              <w:top w:val="nil"/>
              <w:left w:val="nil"/>
              <w:bottom w:val="single" w:sz="4" w:space="0" w:color="auto"/>
              <w:right w:val="single" w:sz="4" w:space="0" w:color="auto"/>
            </w:tcBorders>
            <w:noWrap/>
            <w:vAlign w:val="bottom"/>
            <w:hideMark/>
          </w:tcPr>
          <w:p w14:paraId="33C33DC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19,41</w:t>
            </w:r>
          </w:p>
        </w:tc>
        <w:tc>
          <w:tcPr>
            <w:tcW w:w="698" w:type="pct"/>
            <w:tcBorders>
              <w:top w:val="nil"/>
              <w:left w:val="nil"/>
              <w:bottom w:val="single" w:sz="4" w:space="0" w:color="auto"/>
              <w:right w:val="single" w:sz="4" w:space="0" w:color="auto"/>
            </w:tcBorders>
            <w:noWrap/>
            <w:vAlign w:val="bottom"/>
            <w:hideMark/>
          </w:tcPr>
          <w:p w14:paraId="642535C2"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028C3E1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26,28</w:t>
            </w:r>
          </w:p>
        </w:tc>
      </w:tr>
      <w:tr w:rsidR="00C82BCC" w14:paraId="272A95E0"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356495F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Dosis P</w:t>
            </w:r>
          </w:p>
        </w:tc>
        <w:tc>
          <w:tcPr>
            <w:tcW w:w="697" w:type="pct"/>
            <w:tcBorders>
              <w:top w:val="nil"/>
              <w:left w:val="nil"/>
              <w:bottom w:val="single" w:sz="4" w:space="0" w:color="auto"/>
              <w:right w:val="single" w:sz="4" w:space="0" w:color="auto"/>
            </w:tcBorders>
            <w:noWrap/>
            <w:vAlign w:val="bottom"/>
            <w:hideMark/>
          </w:tcPr>
          <w:p w14:paraId="6EDAAA9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48149,21</w:t>
            </w:r>
          </w:p>
        </w:tc>
        <w:tc>
          <w:tcPr>
            <w:tcW w:w="697" w:type="pct"/>
            <w:tcBorders>
              <w:top w:val="nil"/>
              <w:left w:val="nil"/>
              <w:bottom w:val="single" w:sz="4" w:space="0" w:color="auto"/>
              <w:right w:val="single" w:sz="4" w:space="0" w:color="auto"/>
            </w:tcBorders>
            <w:noWrap/>
            <w:vAlign w:val="bottom"/>
            <w:hideMark/>
          </w:tcPr>
          <w:p w14:paraId="55CFCFC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97" w:type="pct"/>
            <w:tcBorders>
              <w:top w:val="nil"/>
              <w:left w:val="nil"/>
              <w:bottom w:val="single" w:sz="4" w:space="0" w:color="auto"/>
              <w:right w:val="single" w:sz="4" w:space="0" w:color="auto"/>
            </w:tcBorders>
            <w:noWrap/>
            <w:vAlign w:val="bottom"/>
            <w:hideMark/>
          </w:tcPr>
          <w:p w14:paraId="2062EC9F"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8024,87</w:t>
            </w:r>
          </w:p>
        </w:tc>
        <w:tc>
          <w:tcPr>
            <w:tcW w:w="698" w:type="pct"/>
            <w:tcBorders>
              <w:top w:val="nil"/>
              <w:left w:val="nil"/>
              <w:bottom w:val="single" w:sz="4" w:space="0" w:color="auto"/>
              <w:right w:val="single" w:sz="4" w:space="0" w:color="auto"/>
            </w:tcBorders>
            <w:noWrap/>
            <w:vAlign w:val="bottom"/>
            <w:hideMark/>
          </w:tcPr>
          <w:p w14:paraId="0E1C55C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6,12</w:t>
            </w:r>
          </w:p>
        </w:tc>
        <w:tc>
          <w:tcPr>
            <w:tcW w:w="698" w:type="pct"/>
            <w:tcBorders>
              <w:top w:val="nil"/>
              <w:left w:val="nil"/>
              <w:bottom w:val="single" w:sz="4" w:space="0" w:color="auto"/>
              <w:right w:val="single" w:sz="4" w:space="0" w:color="auto"/>
            </w:tcBorders>
            <w:noWrap/>
            <w:vAlign w:val="bottom"/>
            <w:hideMark/>
          </w:tcPr>
          <w:p w14:paraId="70124CE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091C8BC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5,52</w:t>
            </w:r>
          </w:p>
        </w:tc>
      </w:tr>
      <w:tr w:rsidR="00C82BCC" w14:paraId="068E5768"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27C48AA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Dosis K</w:t>
            </w:r>
          </w:p>
        </w:tc>
        <w:tc>
          <w:tcPr>
            <w:tcW w:w="697" w:type="pct"/>
            <w:tcBorders>
              <w:top w:val="nil"/>
              <w:left w:val="nil"/>
              <w:bottom w:val="single" w:sz="4" w:space="0" w:color="auto"/>
              <w:right w:val="single" w:sz="4" w:space="0" w:color="auto"/>
            </w:tcBorders>
            <w:noWrap/>
            <w:vAlign w:val="bottom"/>
            <w:hideMark/>
          </w:tcPr>
          <w:p w14:paraId="3A078E5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48990,14</w:t>
            </w:r>
          </w:p>
        </w:tc>
        <w:tc>
          <w:tcPr>
            <w:tcW w:w="697" w:type="pct"/>
            <w:tcBorders>
              <w:top w:val="nil"/>
              <w:left w:val="nil"/>
              <w:bottom w:val="single" w:sz="4" w:space="0" w:color="auto"/>
              <w:right w:val="single" w:sz="4" w:space="0" w:color="auto"/>
            </w:tcBorders>
            <w:noWrap/>
            <w:vAlign w:val="bottom"/>
            <w:hideMark/>
          </w:tcPr>
          <w:p w14:paraId="4EED8F5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97" w:type="pct"/>
            <w:tcBorders>
              <w:top w:val="nil"/>
              <w:left w:val="nil"/>
              <w:bottom w:val="single" w:sz="4" w:space="0" w:color="auto"/>
              <w:right w:val="single" w:sz="4" w:space="0" w:color="auto"/>
            </w:tcBorders>
            <w:noWrap/>
            <w:vAlign w:val="bottom"/>
            <w:hideMark/>
          </w:tcPr>
          <w:p w14:paraId="0AA15C6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8165,02</w:t>
            </w:r>
          </w:p>
        </w:tc>
        <w:tc>
          <w:tcPr>
            <w:tcW w:w="698" w:type="pct"/>
            <w:tcBorders>
              <w:top w:val="nil"/>
              <w:left w:val="nil"/>
              <w:bottom w:val="single" w:sz="4" w:space="0" w:color="auto"/>
              <w:right w:val="single" w:sz="4" w:space="0" w:color="auto"/>
            </w:tcBorders>
            <w:noWrap/>
            <w:vAlign w:val="bottom"/>
            <w:hideMark/>
          </w:tcPr>
          <w:p w14:paraId="6B633DD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6,22</w:t>
            </w:r>
          </w:p>
        </w:tc>
        <w:tc>
          <w:tcPr>
            <w:tcW w:w="698" w:type="pct"/>
            <w:tcBorders>
              <w:top w:val="nil"/>
              <w:left w:val="nil"/>
              <w:bottom w:val="single" w:sz="4" w:space="0" w:color="auto"/>
              <w:right w:val="single" w:sz="4" w:space="0" w:color="auto"/>
            </w:tcBorders>
            <w:noWrap/>
            <w:vAlign w:val="bottom"/>
            <w:hideMark/>
          </w:tcPr>
          <w:p w14:paraId="5948AAE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53D0A672"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5,62</w:t>
            </w:r>
          </w:p>
        </w:tc>
      </w:tr>
      <w:tr w:rsidR="00C82BCC" w14:paraId="726C69BE"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1DBBEB2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Dosis S</w:t>
            </w:r>
          </w:p>
        </w:tc>
        <w:tc>
          <w:tcPr>
            <w:tcW w:w="697" w:type="pct"/>
            <w:tcBorders>
              <w:top w:val="nil"/>
              <w:left w:val="nil"/>
              <w:bottom w:val="single" w:sz="4" w:space="0" w:color="auto"/>
              <w:right w:val="single" w:sz="4" w:space="0" w:color="auto"/>
            </w:tcBorders>
            <w:noWrap/>
            <w:vAlign w:val="bottom"/>
            <w:hideMark/>
          </w:tcPr>
          <w:p w14:paraId="4D38FDC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41719,91</w:t>
            </w:r>
          </w:p>
        </w:tc>
        <w:tc>
          <w:tcPr>
            <w:tcW w:w="697" w:type="pct"/>
            <w:tcBorders>
              <w:top w:val="nil"/>
              <w:left w:val="nil"/>
              <w:bottom w:val="single" w:sz="4" w:space="0" w:color="auto"/>
              <w:right w:val="single" w:sz="4" w:space="0" w:color="auto"/>
            </w:tcBorders>
            <w:noWrap/>
            <w:vAlign w:val="bottom"/>
            <w:hideMark/>
          </w:tcPr>
          <w:p w14:paraId="1E6B8CA3"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97" w:type="pct"/>
            <w:tcBorders>
              <w:top w:val="nil"/>
              <w:left w:val="nil"/>
              <w:bottom w:val="single" w:sz="4" w:space="0" w:color="auto"/>
              <w:right w:val="single" w:sz="4" w:space="0" w:color="auto"/>
            </w:tcBorders>
            <w:noWrap/>
            <w:vAlign w:val="bottom"/>
            <w:hideMark/>
          </w:tcPr>
          <w:p w14:paraId="1EFF138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10429,98</w:t>
            </w:r>
          </w:p>
        </w:tc>
        <w:tc>
          <w:tcPr>
            <w:tcW w:w="698" w:type="pct"/>
            <w:tcBorders>
              <w:top w:val="nil"/>
              <w:left w:val="nil"/>
              <w:bottom w:val="single" w:sz="4" w:space="0" w:color="auto"/>
              <w:right w:val="single" w:sz="4" w:space="0" w:color="auto"/>
            </w:tcBorders>
            <w:noWrap/>
            <w:vAlign w:val="bottom"/>
            <w:hideMark/>
          </w:tcPr>
          <w:p w14:paraId="3A9D9C8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7,95</w:t>
            </w:r>
          </w:p>
        </w:tc>
        <w:tc>
          <w:tcPr>
            <w:tcW w:w="698" w:type="pct"/>
            <w:tcBorders>
              <w:top w:val="nil"/>
              <w:left w:val="nil"/>
              <w:bottom w:val="single" w:sz="4" w:space="0" w:color="auto"/>
              <w:right w:val="single" w:sz="4" w:space="0" w:color="auto"/>
            </w:tcBorders>
            <w:noWrap/>
            <w:vAlign w:val="bottom"/>
            <w:hideMark/>
          </w:tcPr>
          <w:p w14:paraId="4B8AC980"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266100E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4,78</w:t>
            </w:r>
          </w:p>
        </w:tc>
      </w:tr>
      <w:tr w:rsidR="00C82BCC" w14:paraId="38F8A965"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44219755"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Dosis Mg</w:t>
            </w:r>
          </w:p>
        </w:tc>
        <w:tc>
          <w:tcPr>
            <w:tcW w:w="697" w:type="pct"/>
            <w:tcBorders>
              <w:top w:val="nil"/>
              <w:left w:val="nil"/>
              <w:bottom w:val="single" w:sz="4" w:space="0" w:color="auto"/>
              <w:right w:val="single" w:sz="4" w:space="0" w:color="auto"/>
            </w:tcBorders>
            <w:noWrap/>
            <w:vAlign w:val="bottom"/>
            <w:hideMark/>
          </w:tcPr>
          <w:p w14:paraId="57B774B7"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43116,03</w:t>
            </w:r>
          </w:p>
        </w:tc>
        <w:tc>
          <w:tcPr>
            <w:tcW w:w="697" w:type="pct"/>
            <w:tcBorders>
              <w:top w:val="nil"/>
              <w:left w:val="nil"/>
              <w:bottom w:val="single" w:sz="4" w:space="0" w:color="auto"/>
              <w:right w:val="single" w:sz="4" w:space="0" w:color="auto"/>
            </w:tcBorders>
            <w:noWrap/>
            <w:vAlign w:val="bottom"/>
            <w:hideMark/>
          </w:tcPr>
          <w:p w14:paraId="34056C58"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97" w:type="pct"/>
            <w:tcBorders>
              <w:top w:val="nil"/>
              <w:left w:val="nil"/>
              <w:bottom w:val="single" w:sz="4" w:space="0" w:color="auto"/>
              <w:right w:val="single" w:sz="4" w:space="0" w:color="auto"/>
            </w:tcBorders>
            <w:noWrap/>
            <w:vAlign w:val="bottom"/>
            <w:hideMark/>
          </w:tcPr>
          <w:p w14:paraId="4F1A39F8"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10779,01</w:t>
            </w:r>
          </w:p>
        </w:tc>
        <w:tc>
          <w:tcPr>
            <w:tcW w:w="698" w:type="pct"/>
            <w:tcBorders>
              <w:top w:val="nil"/>
              <w:left w:val="nil"/>
              <w:bottom w:val="single" w:sz="4" w:space="0" w:color="auto"/>
              <w:right w:val="single" w:sz="4" w:space="0" w:color="auto"/>
            </w:tcBorders>
            <w:noWrap/>
            <w:vAlign w:val="bottom"/>
            <w:hideMark/>
          </w:tcPr>
          <w:p w14:paraId="3C2EBC4E"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8,22</w:t>
            </w:r>
          </w:p>
        </w:tc>
        <w:tc>
          <w:tcPr>
            <w:tcW w:w="698" w:type="pct"/>
            <w:tcBorders>
              <w:top w:val="nil"/>
              <w:left w:val="nil"/>
              <w:bottom w:val="single" w:sz="4" w:space="0" w:color="auto"/>
              <w:right w:val="single" w:sz="4" w:space="0" w:color="auto"/>
            </w:tcBorders>
            <w:noWrap/>
            <w:vAlign w:val="bottom"/>
            <w:hideMark/>
          </w:tcPr>
          <w:p w14:paraId="67FAD4A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1CBDD09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4,94</w:t>
            </w:r>
          </w:p>
        </w:tc>
      </w:tr>
      <w:tr w:rsidR="00C82BCC" w14:paraId="6EC894E8"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36874E6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Error</w:t>
            </w:r>
          </w:p>
        </w:tc>
        <w:tc>
          <w:tcPr>
            <w:tcW w:w="697" w:type="pct"/>
            <w:tcBorders>
              <w:top w:val="nil"/>
              <w:left w:val="nil"/>
              <w:bottom w:val="single" w:sz="4" w:space="0" w:color="auto"/>
              <w:right w:val="single" w:sz="4" w:space="0" w:color="auto"/>
            </w:tcBorders>
            <w:noWrap/>
            <w:vAlign w:val="bottom"/>
            <w:hideMark/>
          </w:tcPr>
          <w:p w14:paraId="7FD8710D"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274166,32</w:t>
            </w:r>
          </w:p>
        </w:tc>
        <w:tc>
          <w:tcPr>
            <w:tcW w:w="697" w:type="pct"/>
            <w:tcBorders>
              <w:top w:val="nil"/>
              <w:left w:val="nil"/>
              <w:bottom w:val="single" w:sz="4" w:space="0" w:color="auto"/>
              <w:right w:val="single" w:sz="4" w:space="0" w:color="auto"/>
            </w:tcBorders>
            <w:noWrap/>
            <w:vAlign w:val="bottom"/>
            <w:hideMark/>
          </w:tcPr>
          <w:p w14:paraId="2D760E8A"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209</w:t>
            </w:r>
          </w:p>
        </w:tc>
        <w:tc>
          <w:tcPr>
            <w:tcW w:w="697" w:type="pct"/>
            <w:tcBorders>
              <w:top w:val="nil"/>
              <w:left w:val="nil"/>
              <w:bottom w:val="single" w:sz="4" w:space="0" w:color="auto"/>
              <w:right w:val="single" w:sz="4" w:space="0" w:color="auto"/>
            </w:tcBorders>
            <w:noWrap/>
            <w:vAlign w:val="bottom"/>
            <w:hideMark/>
          </w:tcPr>
          <w:p w14:paraId="25187FB4"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1311,8</w:t>
            </w:r>
          </w:p>
        </w:tc>
        <w:tc>
          <w:tcPr>
            <w:tcW w:w="698" w:type="pct"/>
            <w:tcBorders>
              <w:top w:val="nil"/>
              <w:left w:val="nil"/>
              <w:bottom w:val="single" w:sz="4" w:space="0" w:color="auto"/>
              <w:right w:val="single" w:sz="4" w:space="0" w:color="auto"/>
            </w:tcBorders>
            <w:noWrap/>
            <w:vAlign w:val="bottom"/>
            <w:hideMark/>
          </w:tcPr>
          <w:p w14:paraId="37E7DF61" w14:textId="77777777" w:rsidR="00C82BCC" w:rsidRDefault="00C82BCC" w:rsidP="008A3454">
            <w:pPr>
              <w:spacing w:line="240" w:lineRule="auto"/>
              <w:rPr>
                <w:rFonts w:eastAsia="Times New Roman" w:cs="Times New Roman"/>
                <w:color w:val="000000"/>
                <w:szCs w:val="24"/>
                <w:lang w:eastAsia="es-EC"/>
              </w:rPr>
            </w:pPr>
          </w:p>
        </w:tc>
        <w:tc>
          <w:tcPr>
            <w:tcW w:w="698" w:type="pct"/>
            <w:tcBorders>
              <w:top w:val="nil"/>
              <w:left w:val="nil"/>
              <w:bottom w:val="single" w:sz="4" w:space="0" w:color="auto"/>
              <w:right w:val="single" w:sz="4" w:space="0" w:color="auto"/>
            </w:tcBorders>
            <w:noWrap/>
            <w:vAlign w:val="bottom"/>
            <w:hideMark/>
          </w:tcPr>
          <w:p w14:paraId="55714E8D" w14:textId="77777777" w:rsidR="00C82BCC" w:rsidRDefault="00C82BCC" w:rsidP="008A3454">
            <w:pPr>
              <w:spacing w:after="0" w:line="240" w:lineRule="auto"/>
              <w:rPr>
                <w:sz w:val="20"/>
                <w:szCs w:val="20"/>
                <w:lang w:eastAsia="es-EC"/>
              </w:rPr>
            </w:pPr>
          </w:p>
        </w:tc>
        <w:tc>
          <w:tcPr>
            <w:tcW w:w="817" w:type="pct"/>
            <w:tcBorders>
              <w:top w:val="nil"/>
              <w:left w:val="nil"/>
              <w:bottom w:val="single" w:sz="4" w:space="0" w:color="auto"/>
              <w:right w:val="single" w:sz="4" w:space="0" w:color="auto"/>
            </w:tcBorders>
            <w:noWrap/>
            <w:vAlign w:val="bottom"/>
            <w:hideMark/>
          </w:tcPr>
          <w:p w14:paraId="76DF478B"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31,44</w:t>
            </w:r>
          </w:p>
        </w:tc>
      </w:tr>
      <w:tr w:rsidR="00C82BCC" w14:paraId="25146631" w14:textId="77777777" w:rsidTr="00253EF4">
        <w:trPr>
          <w:trHeight w:val="300"/>
        </w:trPr>
        <w:tc>
          <w:tcPr>
            <w:tcW w:w="697" w:type="pct"/>
            <w:tcBorders>
              <w:top w:val="nil"/>
              <w:left w:val="single" w:sz="4" w:space="0" w:color="auto"/>
              <w:bottom w:val="single" w:sz="4" w:space="0" w:color="auto"/>
              <w:right w:val="single" w:sz="4" w:space="0" w:color="auto"/>
            </w:tcBorders>
            <w:noWrap/>
            <w:vAlign w:val="bottom"/>
            <w:hideMark/>
          </w:tcPr>
          <w:p w14:paraId="20057A66"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Total</w:t>
            </w:r>
          </w:p>
        </w:tc>
        <w:tc>
          <w:tcPr>
            <w:tcW w:w="697" w:type="pct"/>
            <w:tcBorders>
              <w:top w:val="nil"/>
              <w:left w:val="nil"/>
              <w:bottom w:val="single" w:sz="4" w:space="0" w:color="auto"/>
              <w:right w:val="single" w:sz="4" w:space="0" w:color="auto"/>
            </w:tcBorders>
            <w:noWrap/>
            <w:vAlign w:val="bottom"/>
            <w:hideMark/>
          </w:tcPr>
          <w:p w14:paraId="0D35671C"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871923,24</w:t>
            </w:r>
          </w:p>
        </w:tc>
        <w:tc>
          <w:tcPr>
            <w:tcW w:w="697" w:type="pct"/>
            <w:tcBorders>
              <w:top w:val="nil"/>
              <w:left w:val="nil"/>
              <w:bottom w:val="single" w:sz="4" w:space="0" w:color="auto"/>
              <w:right w:val="single" w:sz="4" w:space="0" w:color="auto"/>
            </w:tcBorders>
            <w:noWrap/>
            <w:vAlign w:val="bottom"/>
            <w:hideMark/>
          </w:tcPr>
          <w:p w14:paraId="54C15EA9" w14:textId="77777777" w:rsidR="00C82BCC" w:rsidRDefault="00C82BCC" w:rsidP="008A3454">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240</w:t>
            </w:r>
          </w:p>
        </w:tc>
        <w:tc>
          <w:tcPr>
            <w:tcW w:w="697" w:type="pct"/>
            <w:tcBorders>
              <w:top w:val="nil"/>
              <w:left w:val="nil"/>
              <w:bottom w:val="single" w:sz="4" w:space="0" w:color="auto"/>
              <w:right w:val="single" w:sz="4" w:space="0" w:color="auto"/>
            </w:tcBorders>
            <w:noWrap/>
            <w:vAlign w:val="bottom"/>
            <w:hideMark/>
          </w:tcPr>
          <w:p w14:paraId="195949CC" w14:textId="77777777" w:rsidR="00C82BCC" w:rsidRDefault="00C82BCC" w:rsidP="008A3454">
            <w:pPr>
              <w:spacing w:line="240" w:lineRule="auto"/>
              <w:rPr>
                <w:rFonts w:eastAsia="Times New Roman" w:cs="Times New Roman"/>
                <w:color w:val="000000"/>
                <w:szCs w:val="24"/>
                <w:lang w:eastAsia="es-EC"/>
              </w:rPr>
            </w:pPr>
          </w:p>
        </w:tc>
        <w:tc>
          <w:tcPr>
            <w:tcW w:w="698" w:type="pct"/>
            <w:tcBorders>
              <w:top w:val="nil"/>
              <w:left w:val="nil"/>
              <w:bottom w:val="single" w:sz="4" w:space="0" w:color="auto"/>
              <w:right w:val="single" w:sz="4" w:space="0" w:color="auto"/>
            </w:tcBorders>
            <w:noWrap/>
            <w:vAlign w:val="bottom"/>
            <w:hideMark/>
          </w:tcPr>
          <w:p w14:paraId="1170C6C4" w14:textId="77777777" w:rsidR="00C82BCC" w:rsidRDefault="00C82BCC" w:rsidP="008A3454">
            <w:pPr>
              <w:spacing w:after="0" w:line="240" w:lineRule="auto"/>
              <w:rPr>
                <w:sz w:val="20"/>
                <w:szCs w:val="20"/>
                <w:lang w:eastAsia="es-EC"/>
              </w:rPr>
            </w:pPr>
          </w:p>
        </w:tc>
        <w:tc>
          <w:tcPr>
            <w:tcW w:w="698" w:type="pct"/>
            <w:tcBorders>
              <w:top w:val="nil"/>
              <w:left w:val="nil"/>
              <w:bottom w:val="single" w:sz="4" w:space="0" w:color="auto"/>
              <w:right w:val="single" w:sz="4" w:space="0" w:color="auto"/>
            </w:tcBorders>
            <w:noWrap/>
            <w:vAlign w:val="bottom"/>
            <w:hideMark/>
          </w:tcPr>
          <w:p w14:paraId="2E8614C3" w14:textId="77777777" w:rsidR="00C82BCC" w:rsidRDefault="00C82BCC" w:rsidP="008A3454">
            <w:pPr>
              <w:spacing w:after="0" w:line="240" w:lineRule="auto"/>
              <w:rPr>
                <w:sz w:val="20"/>
                <w:szCs w:val="20"/>
                <w:lang w:eastAsia="es-EC"/>
              </w:rPr>
            </w:pPr>
          </w:p>
        </w:tc>
        <w:tc>
          <w:tcPr>
            <w:tcW w:w="817" w:type="pct"/>
            <w:tcBorders>
              <w:top w:val="nil"/>
              <w:left w:val="nil"/>
              <w:bottom w:val="single" w:sz="4" w:space="0" w:color="auto"/>
              <w:right w:val="single" w:sz="4" w:space="0" w:color="auto"/>
            </w:tcBorders>
            <w:noWrap/>
            <w:vAlign w:val="bottom"/>
            <w:hideMark/>
          </w:tcPr>
          <w:p w14:paraId="68D74239" w14:textId="77777777" w:rsidR="00C82BCC" w:rsidRDefault="00C82BCC" w:rsidP="008A3454">
            <w:pPr>
              <w:spacing w:after="0" w:line="240" w:lineRule="auto"/>
              <w:rPr>
                <w:sz w:val="20"/>
                <w:szCs w:val="20"/>
                <w:lang w:eastAsia="es-EC"/>
              </w:rPr>
            </w:pPr>
          </w:p>
        </w:tc>
      </w:tr>
    </w:tbl>
    <w:p w14:paraId="7D974968" w14:textId="77777777" w:rsidR="008A3454" w:rsidRDefault="00C82BCC" w:rsidP="008A3454">
      <w:pPr>
        <w:autoSpaceDE w:val="0"/>
        <w:autoSpaceDN w:val="0"/>
        <w:adjustRightInd w:val="0"/>
        <w:spacing w:before="360" w:after="360" w:line="360" w:lineRule="auto"/>
        <w:rPr>
          <w:rFonts w:cs="Times New Roman"/>
          <w:bCs/>
          <w:szCs w:val="24"/>
        </w:rPr>
      </w:pPr>
      <w:r>
        <w:rPr>
          <w:rFonts w:cs="Times New Roman"/>
          <w:bCs/>
          <w:szCs w:val="24"/>
        </w:rPr>
        <w:t xml:space="preserve">El modelo estadístico establecido explica el 68,56 % de la variación observada en los datos; siendo nitrógeno el nutriente con más importancia que explica el 26,28 </w:t>
      </w:r>
      <w:r>
        <w:rPr>
          <w:rFonts w:cs="Times New Roman"/>
          <w:bCs/>
          <w:szCs w:val="24"/>
        </w:rPr>
        <w:lastRenderedPageBreak/>
        <w:t xml:space="preserve">% de la variación observada. Un 31,44 % de la variación se les atribuyó a efectos aleatorios que el modelo no pudo explicar (error). La provincia, el fósforo, potasio, azufre, magnesio explicaron el 21,40 %, 5,52 %, 5,62 %, 4,78 %, y 4,94 % de la </w:t>
      </w:r>
      <w:r>
        <w:rPr>
          <w:rFonts w:cs="Times New Roman"/>
          <w:szCs w:val="24"/>
        </w:rPr>
        <w:t xml:space="preserve">absorción total de nitrógeno </w:t>
      </w:r>
      <w:r>
        <w:rPr>
          <w:rFonts w:cs="Times New Roman"/>
          <w:bCs/>
          <w:szCs w:val="24"/>
        </w:rPr>
        <w:t>respectivamente (</w:t>
      </w:r>
      <w:r w:rsidR="003E244D">
        <w:rPr>
          <w:rFonts w:cs="Times New Roman"/>
          <w:bCs/>
          <w:szCs w:val="24"/>
        </w:rPr>
        <w:t xml:space="preserve">Cuadro </w:t>
      </w:r>
      <w:r>
        <w:rPr>
          <w:rFonts w:cs="Times New Roman"/>
          <w:bCs/>
          <w:szCs w:val="24"/>
        </w:rPr>
        <w:t xml:space="preserve">151).  </w:t>
      </w:r>
    </w:p>
    <w:p w14:paraId="4808090C" w14:textId="6BA394FB" w:rsidR="00C82BCC" w:rsidRDefault="00C82BCC" w:rsidP="008A3454">
      <w:pPr>
        <w:autoSpaceDE w:val="0"/>
        <w:autoSpaceDN w:val="0"/>
        <w:adjustRightInd w:val="0"/>
        <w:spacing w:before="360" w:after="360" w:line="360" w:lineRule="auto"/>
        <w:rPr>
          <w:rFonts w:cs="Times New Roman"/>
          <w:bCs/>
          <w:szCs w:val="24"/>
        </w:rPr>
      </w:pPr>
      <w:r>
        <w:rPr>
          <w:rFonts w:cs="Times New Roman"/>
          <w:bCs/>
          <w:szCs w:val="24"/>
        </w:rPr>
        <w:t xml:space="preserve">En </w:t>
      </w:r>
      <w:r w:rsidR="003E244D">
        <w:rPr>
          <w:rFonts w:cs="Times New Roman"/>
          <w:bCs/>
          <w:szCs w:val="24"/>
        </w:rPr>
        <w:t>los cuadros</w:t>
      </w:r>
      <w:r>
        <w:rPr>
          <w:rFonts w:cs="Times New Roman"/>
          <w:bCs/>
          <w:szCs w:val="24"/>
        </w:rPr>
        <w:t xml:space="preserve"> 148, 149, 150, 152, 153 y 154 se presentan los promedios y el error estándar de absorción de nitrógeno por efecto de las localidades (provincia) y los niveles de nitrógeno, fósforo, potasio, azufre, magnesio con su respectiva prueba de Lsd Fisher (alfa=0,05). </w:t>
      </w:r>
    </w:p>
    <w:p w14:paraId="191AB41B" w14:textId="1F8F8034" w:rsidR="00253EF4" w:rsidRPr="00253EF4" w:rsidRDefault="00253EF4" w:rsidP="008A3454">
      <w:pPr>
        <w:pStyle w:val="Descripcin"/>
        <w:keepNext/>
        <w:spacing w:before="360"/>
        <w:rPr>
          <w:rFonts w:cs="Times New Roman"/>
          <w:bCs/>
          <w:i w:val="0"/>
          <w:iCs w:val="0"/>
          <w:color w:val="auto"/>
          <w:sz w:val="24"/>
          <w:szCs w:val="24"/>
          <w:lang w:eastAsia="en-US"/>
        </w:rPr>
      </w:pPr>
      <w:bookmarkStart w:id="2016" w:name="_Toc79314142"/>
      <w:r w:rsidRPr="00253EF4">
        <w:rPr>
          <w:rFonts w:cs="Times New Roman"/>
          <w:b/>
          <w:bCs/>
          <w:i w:val="0"/>
          <w:iCs w:val="0"/>
          <w:color w:val="auto"/>
          <w:sz w:val="24"/>
          <w:szCs w:val="24"/>
          <w:lang w:eastAsia="en-US"/>
        </w:rPr>
        <w:t xml:space="preserve">Cuadro </w:t>
      </w:r>
      <w:r w:rsidRPr="00253EF4">
        <w:rPr>
          <w:rFonts w:cs="Times New Roman"/>
          <w:b/>
          <w:bCs/>
          <w:i w:val="0"/>
          <w:iCs w:val="0"/>
          <w:color w:val="auto"/>
          <w:sz w:val="24"/>
          <w:szCs w:val="24"/>
          <w:lang w:eastAsia="en-US"/>
        </w:rPr>
        <w:fldChar w:fldCharType="begin"/>
      </w:r>
      <w:r w:rsidRPr="00253EF4">
        <w:rPr>
          <w:rFonts w:cs="Times New Roman"/>
          <w:b/>
          <w:bCs/>
          <w:i w:val="0"/>
          <w:iCs w:val="0"/>
          <w:color w:val="auto"/>
          <w:sz w:val="24"/>
          <w:szCs w:val="24"/>
          <w:lang w:eastAsia="en-US"/>
        </w:rPr>
        <w:instrText xml:space="preserve"> SEQ Cuadro \* ARABIC </w:instrText>
      </w:r>
      <w:r w:rsidRPr="00253EF4">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150</w:t>
      </w:r>
      <w:r w:rsidRPr="00253EF4">
        <w:rPr>
          <w:rFonts w:cs="Times New Roman"/>
          <w:b/>
          <w:bCs/>
          <w:i w:val="0"/>
          <w:iCs w:val="0"/>
          <w:color w:val="auto"/>
          <w:sz w:val="24"/>
          <w:szCs w:val="24"/>
          <w:lang w:eastAsia="en-US"/>
        </w:rPr>
        <w:fldChar w:fldCharType="end"/>
      </w:r>
      <w:r w:rsidRPr="00253EF4">
        <w:rPr>
          <w:rFonts w:cs="Times New Roman"/>
          <w:b/>
          <w:bCs/>
          <w:i w:val="0"/>
          <w:iCs w:val="0"/>
          <w:color w:val="auto"/>
          <w:sz w:val="24"/>
          <w:szCs w:val="24"/>
          <w:lang w:eastAsia="en-US"/>
        </w:rPr>
        <w:t xml:space="preserve">. </w:t>
      </w:r>
      <w:r w:rsidRPr="00253EF4">
        <w:rPr>
          <w:rFonts w:cs="Times New Roman"/>
          <w:bCs/>
          <w:i w:val="0"/>
          <w:iCs w:val="0"/>
          <w:color w:val="auto"/>
          <w:sz w:val="24"/>
          <w:szCs w:val="24"/>
          <w:lang w:eastAsia="en-US"/>
        </w:rPr>
        <w:t>Absorción total de nitrógeno de plantas de maíz suave evaluadas en las provincias de Bolívar, Chimborazo, Imbabura (2006-2015).</w:t>
      </w:r>
      <w:bookmarkEnd w:id="2016"/>
    </w:p>
    <w:tbl>
      <w:tblPr>
        <w:tblW w:w="7327" w:type="dxa"/>
        <w:jc w:val="center"/>
        <w:tblCellMar>
          <w:left w:w="70" w:type="dxa"/>
          <w:right w:w="70" w:type="dxa"/>
        </w:tblCellMar>
        <w:tblLook w:val="04A0" w:firstRow="1" w:lastRow="0" w:firstColumn="1" w:lastColumn="0" w:noHBand="0" w:noVBand="1"/>
      </w:tblPr>
      <w:tblGrid>
        <w:gridCol w:w="1327"/>
        <w:gridCol w:w="1200"/>
        <w:gridCol w:w="1200"/>
        <w:gridCol w:w="1797"/>
        <w:gridCol w:w="603"/>
        <w:gridCol w:w="1200"/>
      </w:tblGrid>
      <w:tr w:rsidR="00C82BCC" w14:paraId="6FC3ED72" w14:textId="77777777" w:rsidTr="0074674B">
        <w:trPr>
          <w:trHeight w:val="300"/>
          <w:jc w:val="center"/>
        </w:trPr>
        <w:tc>
          <w:tcPr>
            <w:tcW w:w="1327" w:type="dxa"/>
            <w:tcBorders>
              <w:top w:val="single" w:sz="4" w:space="0" w:color="auto"/>
              <w:left w:val="single" w:sz="4" w:space="0" w:color="auto"/>
              <w:bottom w:val="single" w:sz="4" w:space="0" w:color="auto"/>
              <w:right w:val="single" w:sz="4" w:space="0" w:color="auto"/>
            </w:tcBorders>
            <w:noWrap/>
            <w:hideMark/>
          </w:tcPr>
          <w:p w14:paraId="774FE9D9"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Provincia</w:t>
            </w:r>
          </w:p>
        </w:tc>
        <w:tc>
          <w:tcPr>
            <w:tcW w:w="1200" w:type="dxa"/>
            <w:tcBorders>
              <w:top w:val="single" w:sz="4" w:space="0" w:color="auto"/>
              <w:left w:val="nil"/>
              <w:bottom w:val="single" w:sz="4" w:space="0" w:color="auto"/>
              <w:right w:val="single" w:sz="4" w:space="0" w:color="auto"/>
            </w:tcBorders>
            <w:noWrap/>
            <w:hideMark/>
          </w:tcPr>
          <w:p w14:paraId="4FCB1787"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1200" w:type="dxa"/>
            <w:tcBorders>
              <w:top w:val="single" w:sz="4" w:space="0" w:color="auto"/>
              <w:left w:val="nil"/>
              <w:bottom w:val="single" w:sz="4" w:space="0" w:color="auto"/>
              <w:right w:val="single" w:sz="4" w:space="0" w:color="auto"/>
            </w:tcBorders>
            <w:noWrap/>
            <w:hideMark/>
          </w:tcPr>
          <w:p w14:paraId="3D526CE3" w14:textId="65AE56ED" w:rsidR="00C82BCC" w:rsidRDefault="00331821"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797" w:type="dxa"/>
            <w:tcBorders>
              <w:top w:val="single" w:sz="4" w:space="0" w:color="auto"/>
              <w:left w:val="nil"/>
              <w:bottom w:val="single" w:sz="4" w:space="0" w:color="auto"/>
              <w:right w:val="single" w:sz="4" w:space="0" w:color="auto"/>
            </w:tcBorders>
            <w:noWrap/>
            <w:hideMark/>
          </w:tcPr>
          <w:p w14:paraId="1E2807F3"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603" w:type="dxa"/>
            <w:tcBorders>
              <w:top w:val="single" w:sz="4" w:space="0" w:color="auto"/>
              <w:left w:val="single" w:sz="4" w:space="0" w:color="auto"/>
              <w:bottom w:val="single" w:sz="4" w:space="0" w:color="auto"/>
              <w:right w:val="nil"/>
            </w:tcBorders>
            <w:noWrap/>
            <w:hideMark/>
          </w:tcPr>
          <w:p w14:paraId="00C5B3B2"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Lsd</w:t>
            </w:r>
          </w:p>
        </w:tc>
        <w:tc>
          <w:tcPr>
            <w:tcW w:w="1200" w:type="dxa"/>
            <w:tcBorders>
              <w:top w:val="single" w:sz="4" w:space="0" w:color="auto"/>
              <w:left w:val="nil"/>
              <w:bottom w:val="single" w:sz="4" w:space="0" w:color="auto"/>
              <w:right w:val="single" w:sz="4" w:space="0" w:color="auto"/>
            </w:tcBorders>
            <w:noWrap/>
            <w:hideMark/>
          </w:tcPr>
          <w:p w14:paraId="3B8B72E7"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0,05</w:t>
            </w:r>
          </w:p>
        </w:tc>
      </w:tr>
      <w:tr w:rsidR="00C82BCC" w14:paraId="00070AF1" w14:textId="77777777" w:rsidTr="0074674B">
        <w:trPr>
          <w:trHeight w:val="235"/>
          <w:jc w:val="center"/>
        </w:trPr>
        <w:tc>
          <w:tcPr>
            <w:tcW w:w="1327" w:type="dxa"/>
            <w:tcBorders>
              <w:top w:val="nil"/>
              <w:left w:val="single" w:sz="4" w:space="0" w:color="auto"/>
              <w:bottom w:val="single" w:sz="4" w:space="0" w:color="auto"/>
              <w:right w:val="single" w:sz="4" w:space="0" w:color="auto"/>
            </w:tcBorders>
            <w:noWrap/>
            <w:hideMark/>
          </w:tcPr>
          <w:p w14:paraId="4A791870"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Bolívar</w:t>
            </w:r>
          </w:p>
        </w:tc>
        <w:tc>
          <w:tcPr>
            <w:tcW w:w="1200" w:type="dxa"/>
            <w:tcBorders>
              <w:top w:val="nil"/>
              <w:left w:val="nil"/>
              <w:bottom w:val="single" w:sz="4" w:space="0" w:color="auto"/>
              <w:right w:val="single" w:sz="4" w:space="0" w:color="auto"/>
            </w:tcBorders>
            <w:noWrap/>
            <w:hideMark/>
          </w:tcPr>
          <w:p w14:paraId="22AB5B6E"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97,21</w:t>
            </w:r>
          </w:p>
        </w:tc>
        <w:tc>
          <w:tcPr>
            <w:tcW w:w="1200" w:type="dxa"/>
            <w:tcBorders>
              <w:top w:val="nil"/>
              <w:left w:val="nil"/>
              <w:bottom w:val="single" w:sz="4" w:space="0" w:color="auto"/>
              <w:right w:val="single" w:sz="4" w:space="0" w:color="auto"/>
            </w:tcBorders>
            <w:noWrap/>
            <w:hideMark/>
          </w:tcPr>
          <w:p w14:paraId="22DF3D2A"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90</w:t>
            </w:r>
          </w:p>
        </w:tc>
        <w:tc>
          <w:tcPr>
            <w:tcW w:w="1797" w:type="dxa"/>
            <w:tcBorders>
              <w:top w:val="nil"/>
              <w:left w:val="nil"/>
              <w:bottom w:val="single" w:sz="4" w:space="0" w:color="auto"/>
              <w:right w:val="single" w:sz="4" w:space="0" w:color="auto"/>
            </w:tcBorders>
            <w:noWrap/>
            <w:hideMark/>
          </w:tcPr>
          <w:p w14:paraId="693A428E"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4,96</w:t>
            </w:r>
          </w:p>
        </w:tc>
        <w:tc>
          <w:tcPr>
            <w:tcW w:w="603" w:type="dxa"/>
            <w:tcBorders>
              <w:top w:val="single" w:sz="4" w:space="0" w:color="auto"/>
              <w:left w:val="nil"/>
              <w:bottom w:val="single" w:sz="4" w:space="0" w:color="auto"/>
              <w:right w:val="single" w:sz="4" w:space="0" w:color="auto"/>
            </w:tcBorders>
            <w:noWrap/>
            <w:hideMark/>
          </w:tcPr>
          <w:p w14:paraId="7B183AA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1200" w:type="dxa"/>
            <w:tcBorders>
              <w:top w:val="single" w:sz="4" w:space="0" w:color="auto"/>
              <w:left w:val="nil"/>
              <w:bottom w:val="single" w:sz="4" w:space="0" w:color="auto"/>
              <w:right w:val="single" w:sz="4" w:space="0" w:color="auto"/>
            </w:tcBorders>
            <w:noWrap/>
            <w:hideMark/>
          </w:tcPr>
          <w:p w14:paraId="6B8FA057"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0323ED41" w14:textId="77777777" w:rsidTr="0074674B">
        <w:trPr>
          <w:trHeight w:val="300"/>
          <w:jc w:val="center"/>
        </w:trPr>
        <w:tc>
          <w:tcPr>
            <w:tcW w:w="1327" w:type="dxa"/>
            <w:tcBorders>
              <w:top w:val="nil"/>
              <w:left w:val="single" w:sz="4" w:space="0" w:color="auto"/>
              <w:bottom w:val="single" w:sz="4" w:space="0" w:color="auto"/>
              <w:right w:val="single" w:sz="4" w:space="0" w:color="auto"/>
            </w:tcBorders>
            <w:noWrap/>
            <w:hideMark/>
          </w:tcPr>
          <w:p w14:paraId="293B713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Chimborazo</w:t>
            </w:r>
          </w:p>
        </w:tc>
        <w:tc>
          <w:tcPr>
            <w:tcW w:w="1200" w:type="dxa"/>
            <w:tcBorders>
              <w:top w:val="nil"/>
              <w:left w:val="nil"/>
              <w:bottom w:val="single" w:sz="4" w:space="0" w:color="auto"/>
              <w:right w:val="single" w:sz="4" w:space="0" w:color="auto"/>
            </w:tcBorders>
            <w:noWrap/>
            <w:hideMark/>
          </w:tcPr>
          <w:p w14:paraId="6873A851"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106,12</w:t>
            </w:r>
          </w:p>
        </w:tc>
        <w:tc>
          <w:tcPr>
            <w:tcW w:w="1200" w:type="dxa"/>
            <w:tcBorders>
              <w:top w:val="nil"/>
              <w:left w:val="nil"/>
              <w:bottom w:val="single" w:sz="4" w:space="0" w:color="auto"/>
              <w:right w:val="single" w:sz="4" w:space="0" w:color="auto"/>
            </w:tcBorders>
            <w:noWrap/>
            <w:hideMark/>
          </w:tcPr>
          <w:p w14:paraId="380D28A2"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82</w:t>
            </w:r>
          </w:p>
        </w:tc>
        <w:tc>
          <w:tcPr>
            <w:tcW w:w="1797" w:type="dxa"/>
            <w:tcBorders>
              <w:top w:val="nil"/>
              <w:left w:val="nil"/>
              <w:bottom w:val="single" w:sz="4" w:space="0" w:color="auto"/>
              <w:right w:val="single" w:sz="4" w:space="0" w:color="auto"/>
            </w:tcBorders>
            <w:noWrap/>
            <w:hideMark/>
          </w:tcPr>
          <w:p w14:paraId="6BDC965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4,53</w:t>
            </w:r>
          </w:p>
        </w:tc>
        <w:tc>
          <w:tcPr>
            <w:tcW w:w="603" w:type="dxa"/>
            <w:tcBorders>
              <w:top w:val="nil"/>
              <w:left w:val="nil"/>
              <w:bottom w:val="single" w:sz="4" w:space="0" w:color="auto"/>
              <w:right w:val="single" w:sz="4" w:space="0" w:color="auto"/>
            </w:tcBorders>
            <w:noWrap/>
            <w:hideMark/>
          </w:tcPr>
          <w:p w14:paraId="08801FA9"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1200" w:type="dxa"/>
            <w:tcBorders>
              <w:top w:val="nil"/>
              <w:left w:val="nil"/>
              <w:bottom w:val="single" w:sz="4" w:space="0" w:color="auto"/>
              <w:right w:val="single" w:sz="4" w:space="0" w:color="auto"/>
            </w:tcBorders>
            <w:noWrap/>
            <w:hideMark/>
          </w:tcPr>
          <w:p w14:paraId="364B55B6"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457D3BD3" w14:textId="77777777" w:rsidTr="0074674B">
        <w:trPr>
          <w:trHeight w:val="300"/>
          <w:jc w:val="center"/>
        </w:trPr>
        <w:tc>
          <w:tcPr>
            <w:tcW w:w="1327" w:type="dxa"/>
            <w:tcBorders>
              <w:top w:val="nil"/>
              <w:left w:val="single" w:sz="4" w:space="0" w:color="auto"/>
              <w:bottom w:val="single" w:sz="4" w:space="0" w:color="auto"/>
              <w:right w:val="single" w:sz="4" w:space="0" w:color="auto"/>
            </w:tcBorders>
            <w:noWrap/>
            <w:hideMark/>
          </w:tcPr>
          <w:p w14:paraId="14518AB1"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Imbabura</w:t>
            </w:r>
          </w:p>
        </w:tc>
        <w:tc>
          <w:tcPr>
            <w:tcW w:w="1200" w:type="dxa"/>
            <w:tcBorders>
              <w:top w:val="nil"/>
              <w:left w:val="nil"/>
              <w:bottom w:val="single" w:sz="4" w:space="0" w:color="auto"/>
              <w:right w:val="single" w:sz="4" w:space="0" w:color="auto"/>
            </w:tcBorders>
            <w:noWrap/>
            <w:hideMark/>
          </w:tcPr>
          <w:p w14:paraId="174264FF"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161,64</w:t>
            </w:r>
          </w:p>
        </w:tc>
        <w:tc>
          <w:tcPr>
            <w:tcW w:w="1200" w:type="dxa"/>
            <w:tcBorders>
              <w:top w:val="nil"/>
              <w:left w:val="nil"/>
              <w:bottom w:val="single" w:sz="4" w:space="0" w:color="auto"/>
              <w:right w:val="single" w:sz="4" w:space="0" w:color="auto"/>
            </w:tcBorders>
            <w:noWrap/>
            <w:hideMark/>
          </w:tcPr>
          <w:p w14:paraId="69295A0F"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69</w:t>
            </w:r>
          </w:p>
        </w:tc>
        <w:tc>
          <w:tcPr>
            <w:tcW w:w="1797" w:type="dxa"/>
            <w:tcBorders>
              <w:top w:val="nil"/>
              <w:left w:val="nil"/>
              <w:bottom w:val="single" w:sz="4" w:space="0" w:color="auto"/>
              <w:right w:val="single" w:sz="4" w:space="0" w:color="auto"/>
            </w:tcBorders>
            <w:noWrap/>
            <w:hideMark/>
          </w:tcPr>
          <w:p w14:paraId="7270DFF7"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4,77</w:t>
            </w:r>
          </w:p>
        </w:tc>
        <w:tc>
          <w:tcPr>
            <w:tcW w:w="603" w:type="dxa"/>
            <w:tcBorders>
              <w:top w:val="nil"/>
              <w:left w:val="nil"/>
              <w:bottom w:val="single" w:sz="4" w:space="0" w:color="auto"/>
              <w:right w:val="single" w:sz="4" w:space="0" w:color="auto"/>
            </w:tcBorders>
            <w:noWrap/>
            <w:hideMark/>
          </w:tcPr>
          <w:p w14:paraId="6F4D03DC"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1200" w:type="dxa"/>
            <w:tcBorders>
              <w:top w:val="nil"/>
              <w:left w:val="nil"/>
              <w:bottom w:val="single" w:sz="4" w:space="0" w:color="auto"/>
              <w:right w:val="single" w:sz="4" w:space="0" w:color="auto"/>
            </w:tcBorders>
            <w:noWrap/>
            <w:hideMark/>
          </w:tcPr>
          <w:p w14:paraId="7899F5F2"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B</w:t>
            </w:r>
          </w:p>
        </w:tc>
      </w:tr>
    </w:tbl>
    <w:p w14:paraId="09BCC7D3" w14:textId="58D1DB1C" w:rsidR="00253EF4" w:rsidRPr="00253EF4" w:rsidRDefault="00253EF4" w:rsidP="0074674B">
      <w:pPr>
        <w:pStyle w:val="Descripcin"/>
        <w:keepNext/>
        <w:spacing w:before="360"/>
        <w:rPr>
          <w:rFonts w:cs="Times New Roman"/>
          <w:i w:val="0"/>
          <w:iCs w:val="0"/>
          <w:color w:val="auto"/>
          <w:sz w:val="24"/>
          <w:szCs w:val="24"/>
          <w:lang w:eastAsia="en-US"/>
        </w:rPr>
      </w:pPr>
      <w:bookmarkStart w:id="2017" w:name="_Toc79314143"/>
      <w:r w:rsidRPr="00253EF4">
        <w:rPr>
          <w:rFonts w:cs="Times New Roman"/>
          <w:b/>
          <w:i w:val="0"/>
          <w:iCs w:val="0"/>
          <w:color w:val="auto"/>
          <w:sz w:val="24"/>
          <w:szCs w:val="24"/>
          <w:lang w:eastAsia="en-US"/>
        </w:rPr>
        <w:t xml:space="preserve">Cuadro </w:t>
      </w:r>
      <w:r w:rsidRPr="00253EF4">
        <w:rPr>
          <w:rFonts w:cs="Times New Roman"/>
          <w:b/>
          <w:i w:val="0"/>
          <w:iCs w:val="0"/>
          <w:color w:val="auto"/>
          <w:sz w:val="24"/>
          <w:szCs w:val="24"/>
          <w:lang w:eastAsia="en-US"/>
        </w:rPr>
        <w:fldChar w:fldCharType="begin"/>
      </w:r>
      <w:r w:rsidRPr="00253EF4">
        <w:rPr>
          <w:rFonts w:cs="Times New Roman"/>
          <w:b/>
          <w:i w:val="0"/>
          <w:iCs w:val="0"/>
          <w:color w:val="auto"/>
          <w:sz w:val="24"/>
          <w:szCs w:val="24"/>
          <w:lang w:eastAsia="en-US"/>
        </w:rPr>
        <w:instrText xml:space="preserve"> SEQ Cuadro \* ARABIC </w:instrText>
      </w:r>
      <w:r w:rsidRPr="00253EF4">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151</w:t>
      </w:r>
      <w:r w:rsidRPr="00253EF4">
        <w:rPr>
          <w:rFonts w:cs="Times New Roman"/>
          <w:b/>
          <w:i w:val="0"/>
          <w:iCs w:val="0"/>
          <w:color w:val="auto"/>
          <w:sz w:val="24"/>
          <w:szCs w:val="24"/>
          <w:lang w:eastAsia="en-US"/>
        </w:rPr>
        <w:fldChar w:fldCharType="end"/>
      </w:r>
      <w:r w:rsidRPr="00253EF4">
        <w:rPr>
          <w:rFonts w:cs="Times New Roman"/>
          <w:b/>
          <w:i w:val="0"/>
          <w:iCs w:val="0"/>
          <w:color w:val="auto"/>
          <w:sz w:val="24"/>
          <w:szCs w:val="24"/>
          <w:lang w:eastAsia="en-US"/>
        </w:rPr>
        <w:t xml:space="preserve">.  </w:t>
      </w:r>
      <w:r w:rsidRPr="00253EF4">
        <w:rPr>
          <w:rFonts w:cs="Times New Roman"/>
          <w:i w:val="0"/>
          <w:iCs w:val="0"/>
          <w:color w:val="auto"/>
          <w:sz w:val="24"/>
          <w:szCs w:val="24"/>
          <w:lang w:eastAsia="en-US"/>
        </w:rPr>
        <w:t>Absorción total de nitrógeno de plantas de maíz suave para varias dosis de nitrógeno evaluadas en las provincias de Bolívar, Chimborazo, Imbabura 2006-2015.</w:t>
      </w:r>
      <w:bookmarkEnd w:id="2017"/>
    </w:p>
    <w:tbl>
      <w:tblPr>
        <w:tblW w:w="5000" w:type="pct"/>
        <w:jc w:val="center"/>
        <w:tblCellMar>
          <w:left w:w="70" w:type="dxa"/>
          <w:right w:w="70" w:type="dxa"/>
        </w:tblCellMar>
        <w:tblLook w:val="04A0" w:firstRow="1" w:lastRow="0" w:firstColumn="1" w:lastColumn="0" w:noHBand="0" w:noVBand="1"/>
      </w:tblPr>
      <w:tblGrid>
        <w:gridCol w:w="2028"/>
        <w:gridCol w:w="887"/>
        <w:gridCol w:w="765"/>
        <w:gridCol w:w="2491"/>
        <w:gridCol w:w="527"/>
        <w:gridCol w:w="1229"/>
      </w:tblGrid>
      <w:tr w:rsidR="00C82BCC" w14:paraId="61DBEBF2" w14:textId="77777777" w:rsidTr="00253EF4">
        <w:trPr>
          <w:trHeight w:val="300"/>
          <w:jc w:val="center"/>
        </w:trPr>
        <w:tc>
          <w:tcPr>
            <w:tcW w:w="1280" w:type="pct"/>
            <w:tcBorders>
              <w:top w:val="single" w:sz="4" w:space="0" w:color="auto"/>
              <w:left w:val="single" w:sz="4" w:space="0" w:color="auto"/>
              <w:bottom w:val="single" w:sz="4" w:space="0" w:color="auto"/>
              <w:right w:val="single" w:sz="4" w:space="0" w:color="auto"/>
            </w:tcBorders>
            <w:noWrap/>
            <w:vAlign w:val="bottom"/>
            <w:hideMark/>
          </w:tcPr>
          <w:p w14:paraId="1B203C88"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59" w:type="pct"/>
            <w:tcBorders>
              <w:top w:val="single" w:sz="4" w:space="0" w:color="auto"/>
              <w:left w:val="nil"/>
              <w:bottom w:val="single" w:sz="4" w:space="0" w:color="auto"/>
              <w:right w:val="single" w:sz="4" w:space="0" w:color="auto"/>
            </w:tcBorders>
            <w:noWrap/>
            <w:vAlign w:val="bottom"/>
            <w:hideMark/>
          </w:tcPr>
          <w:p w14:paraId="3EBEF856"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483" w:type="pct"/>
            <w:tcBorders>
              <w:top w:val="single" w:sz="4" w:space="0" w:color="auto"/>
              <w:left w:val="nil"/>
              <w:bottom w:val="single" w:sz="4" w:space="0" w:color="auto"/>
              <w:right w:val="single" w:sz="4" w:space="0" w:color="auto"/>
            </w:tcBorders>
            <w:noWrap/>
            <w:vAlign w:val="bottom"/>
            <w:hideMark/>
          </w:tcPr>
          <w:p w14:paraId="3F49C74B"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571" w:type="pct"/>
            <w:tcBorders>
              <w:top w:val="single" w:sz="4" w:space="0" w:color="auto"/>
              <w:left w:val="nil"/>
              <w:bottom w:val="single" w:sz="4" w:space="0" w:color="auto"/>
              <w:right w:val="single" w:sz="4" w:space="0" w:color="auto"/>
            </w:tcBorders>
            <w:noWrap/>
            <w:vAlign w:val="bottom"/>
            <w:hideMark/>
          </w:tcPr>
          <w:p w14:paraId="0C6F701A"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32" w:type="pct"/>
            <w:tcBorders>
              <w:top w:val="single" w:sz="4" w:space="0" w:color="auto"/>
              <w:left w:val="single" w:sz="4" w:space="0" w:color="auto"/>
              <w:bottom w:val="single" w:sz="4" w:space="0" w:color="auto"/>
              <w:right w:val="nil"/>
            </w:tcBorders>
            <w:noWrap/>
            <w:vAlign w:val="bottom"/>
            <w:hideMark/>
          </w:tcPr>
          <w:p w14:paraId="2A2C3F7B" w14:textId="77777777" w:rsidR="00C82BCC" w:rsidRDefault="00C82BCC" w:rsidP="0074674B">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Lsd</w:t>
            </w:r>
          </w:p>
        </w:tc>
        <w:tc>
          <w:tcPr>
            <w:tcW w:w="775" w:type="pct"/>
            <w:tcBorders>
              <w:top w:val="single" w:sz="4" w:space="0" w:color="auto"/>
              <w:left w:val="nil"/>
              <w:bottom w:val="single" w:sz="4" w:space="0" w:color="auto"/>
              <w:right w:val="single" w:sz="4" w:space="0" w:color="auto"/>
            </w:tcBorders>
            <w:noWrap/>
            <w:vAlign w:val="bottom"/>
            <w:hideMark/>
          </w:tcPr>
          <w:p w14:paraId="7E8C27B3" w14:textId="77777777" w:rsidR="00C82BCC" w:rsidRDefault="00C82BCC" w:rsidP="0074674B">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0,05</w:t>
            </w:r>
          </w:p>
        </w:tc>
      </w:tr>
      <w:tr w:rsidR="00C82BCC" w14:paraId="45142C2A"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4CF78EBC"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21</w:t>
            </w:r>
          </w:p>
        </w:tc>
        <w:tc>
          <w:tcPr>
            <w:tcW w:w="559" w:type="pct"/>
            <w:tcBorders>
              <w:top w:val="nil"/>
              <w:left w:val="nil"/>
              <w:bottom w:val="single" w:sz="4" w:space="0" w:color="auto"/>
              <w:right w:val="single" w:sz="4" w:space="0" w:color="auto"/>
            </w:tcBorders>
            <w:noWrap/>
            <w:vAlign w:val="bottom"/>
            <w:hideMark/>
          </w:tcPr>
          <w:p w14:paraId="502BAABF"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85,24</w:t>
            </w:r>
          </w:p>
        </w:tc>
        <w:tc>
          <w:tcPr>
            <w:tcW w:w="483" w:type="pct"/>
            <w:tcBorders>
              <w:top w:val="nil"/>
              <w:left w:val="nil"/>
              <w:bottom w:val="single" w:sz="4" w:space="0" w:color="auto"/>
              <w:right w:val="single" w:sz="4" w:space="0" w:color="auto"/>
            </w:tcBorders>
            <w:noWrap/>
            <w:vAlign w:val="bottom"/>
            <w:hideMark/>
          </w:tcPr>
          <w:p w14:paraId="3642432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w:t>
            </w:r>
          </w:p>
        </w:tc>
        <w:tc>
          <w:tcPr>
            <w:tcW w:w="1571" w:type="pct"/>
            <w:tcBorders>
              <w:top w:val="nil"/>
              <w:left w:val="nil"/>
              <w:bottom w:val="single" w:sz="4" w:space="0" w:color="auto"/>
              <w:right w:val="single" w:sz="4" w:space="0" w:color="auto"/>
            </w:tcBorders>
            <w:noWrap/>
            <w:vAlign w:val="bottom"/>
            <w:hideMark/>
          </w:tcPr>
          <w:p w14:paraId="2717A409"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36,39</w:t>
            </w:r>
          </w:p>
        </w:tc>
        <w:tc>
          <w:tcPr>
            <w:tcW w:w="332" w:type="pct"/>
            <w:tcBorders>
              <w:top w:val="single" w:sz="4" w:space="0" w:color="auto"/>
              <w:left w:val="nil"/>
              <w:bottom w:val="single" w:sz="4" w:space="0" w:color="auto"/>
              <w:right w:val="single" w:sz="4" w:space="0" w:color="auto"/>
            </w:tcBorders>
            <w:noWrap/>
            <w:vAlign w:val="bottom"/>
            <w:hideMark/>
          </w:tcPr>
          <w:p w14:paraId="50FCB7D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single" w:sz="4" w:space="0" w:color="auto"/>
              <w:left w:val="nil"/>
              <w:bottom w:val="single" w:sz="4" w:space="0" w:color="auto"/>
              <w:right w:val="single" w:sz="4" w:space="0" w:color="auto"/>
            </w:tcBorders>
            <w:noWrap/>
            <w:vAlign w:val="bottom"/>
            <w:hideMark/>
          </w:tcPr>
          <w:p w14:paraId="0A24E93B"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5BD13C5D"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31EF15C9"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27</w:t>
            </w:r>
          </w:p>
        </w:tc>
        <w:tc>
          <w:tcPr>
            <w:tcW w:w="559" w:type="pct"/>
            <w:tcBorders>
              <w:top w:val="nil"/>
              <w:left w:val="nil"/>
              <w:bottom w:val="single" w:sz="4" w:space="0" w:color="auto"/>
              <w:right w:val="single" w:sz="4" w:space="0" w:color="auto"/>
            </w:tcBorders>
            <w:noWrap/>
            <w:vAlign w:val="bottom"/>
            <w:hideMark/>
          </w:tcPr>
          <w:p w14:paraId="3C238148"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94,87</w:t>
            </w:r>
          </w:p>
        </w:tc>
        <w:tc>
          <w:tcPr>
            <w:tcW w:w="483" w:type="pct"/>
            <w:tcBorders>
              <w:top w:val="nil"/>
              <w:left w:val="nil"/>
              <w:bottom w:val="single" w:sz="4" w:space="0" w:color="auto"/>
              <w:right w:val="single" w:sz="4" w:space="0" w:color="auto"/>
            </w:tcBorders>
            <w:noWrap/>
            <w:vAlign w:val="bottom"/>
            <w:hideMark/>
          </w:tcPr>
          <w:p w14:paraId="3923890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w:t>
            </w:r>
          </w:p>
        </w:tc>
        <w:tc>
          <w:tcPr>
            <w:tcW w:w="1571" w:type="pct"/>
            <w:tcBorders>
              <w:top w:val="nil"/>
              <w:left w:val="nil"/>
              <w:bottom w:val="single" w:sz="4" w:space="0" w:color="auto"/>
              <w:right w:val="single" w:sz="4" w:space="0" w:color="auto"/>
            </w:tcBorders>
            <w:noWrap/>
            <w:vAlign w:val="bottom"/>
            <w:hideMark/>
          </w:tcPr>
          <w:p w14:paraId="234C1A79"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36,39</w:t>
            </w:r>
          </w:p>
        </w:tc>
        <w:tc>
          <w:tcPr>
            <w:tcW w:w="332" w:type="pct"/>
            <w:tcBorders>
              <w:top w:val="nil"/>
              <w:left w:val="nil"/>
              <w:bottom w:val="single" w:sz="4" w:space="0" w:color="auto"/>
              <w:right w:val="single" w:sz="4" w:space="0" w:color="auto"/>
            </w:tcBorders>
            <w:noWrap/>
            <w:vAlign w:val="bottom"/>
            <w:hideMark/>
          </w:tcPr>
          <w:p w14:paraId="39A05A64"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nil"/>
              <w:left w:val="nil"/>
              <w:bottom w:val="single" w:sz="4" w:space="0" w:color="auto"/>
              <w:right w:val="single" w:sz="4" w:space="0" w:color="auto"/>
            </w:tcBorders>
            <w:noWrap/>
            <w:vAlign w:val="bottom"/>
            <w:hideMark/>
          </w:tcPr>
          <w:p w14:paraId="57B87E47"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48093227"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05059C12"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0</w:t>
            </w:r>
          </w:p>
        </w:tc>
        <w:tc>
          <w:tcPr>
            <w:tcW w:w="559" w:type="pct"/>
            <w:tcBorders>
              <w:top w:val="nil"/>
              <w:left w:val="nil"/>
              <w:bottom w:val="single" w:sz="4" w:space="0" w:color="auto"/>
              <w:right w:val="single" w:sz="4" w:space="0" w:color="auto"/>
            </w:tcBorders>
            <w:noWrap/>
            <w:vAlign w:val="bottom"/>
            <w:hideMark/>
          </w:tcPr>
          <w:p w14:paraId="434121AD"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100,67</w:t>
            </w:r>
          </w:p>
        </w:tc>
        <w:tc>
          <w:tcPr>
            <w:tcW w:w="483" w:type="pct"/>
            <w:tcBorders>
              <w:top w:val="nil"/>
              <w:left w:val="nil"/>
              <w:bottom w:val="single" w:sz="4" w:space="0" w:color="auto"/>
              <w:right w:val="single" w:sz="4" w:space="0" w:color="auto"/>
            </w:tcBorders>
            <w:noWrap/>
            <w:vAlign w:val="bottom"/>
            <w:hideMark/>
          </w:tcPr>
          <w:p w14:paraId="34B5BA19"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74</w:t>
            </w:r>
          </w:p>
        </w:tc>
        <w:tc>
          <w:tcPr>
            <w:tcW w:w="1571" w:type="pct"/>
            <w:tcBorders>
              <w:top w:val="nil"/>
              <w:left w:val="nil"/>
              <w:bottom w:val="single" w:sz="4" w:space="0" w:color="auto"/>
              <w:right w:val="single" w:sz="4" w:space="0" w:color="auto"/>
            </w:tcBorders>
            <w:noWrap/>
            <w:vAlign w:val="bottom"/>
            <w:hideMark/>
          </w:tcPr>
          <w:p w14:paraId="3AB1192A"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4,58</w:t>
            </w:r>
          </w:p>
        </w:tc>
        <w:tc>
          <w:tcPr>
            <w:tcW w:w="332" w:type="pct"/>
            <w:tcBorders>
              <w:top w:val="nil"/>
              <w:left w:val="nil"/>
              <w:bottom w:val="single" w:sz="4" w:space="0" w:color="auto"/>
              <w:right w:val="single" w:sz="4" w:space="0" w:color="auto"/>
            </w:tcBorders>
            <w:noWrap/>
            <w:vAlign w:val="bottom"/>
            <w:hideMark/>
          </w:tcPr>
          <w:p w14:paraId="371F300F"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nil"/>
              <w:left w:val="nil"/>
              <w:bottom w:val="single" w:sz="4" w:space="0" w:color="auto"/>
              <w:right w:val="single" w:sz="4" w:space="0" w:color="auto"/>
            </w:tcBorders>
            <w:noWrap/>
            <w:vAlign w:val="bottom"/>
            <w:hideMark/>
          </w:tcPr>
          <w:p w14:paraId="42837415"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00A2832F"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23D5EAE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50</w:t>
            </w:r>
          </w:p>
        </w:tc>
        <w:tc>
          <w:tcPr>
            <w:tcW w:w="559" w:type="pct"/>
            <w:tcBorders>
              <w:top w:val="nil"/>
              <w:left w:val="nil"/>
              <w:bottom w:val="single" w:sz="4" w:space="0" w:color="auto"/>
              <w:right w:val="single" w:sz="4" w:space="0" w:color="auto"/>
            </w:tcBorders>
            <w:noWrap/>
            <w:vAlign w:val="bottom"/>
            <w:hideMark/>
          </w:tcPr>
          <w:p w14:paraId="60A210A9"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112,44</w:t>
            </w:r>
          </w:p>
        </w:tc>
        <w:tc>
          <w:tcPr>
            <w:tcW w:w="483" w:type="pct"/>
            <w:tcBorders>
              <w:top w:val="nil"/>
              <w:left w:val="nil"/>
              <w:bottom w:val="single" w:sz="4" w:space="0" w:color="auto"/>
              <w:right w:val="single" w:sz="4" w:space="0" w:color="auto"/>
            </w:tcBorders>
            <w:noWrap/>
            <w:vAlign w:val="bottom"/>
            <w:hideMark/>
          </w:tcPr>
          <w:p w14:paraId="446614B0"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11</w:t>
            </w:r>
          </w:p>
        </w:tc>
        <w:tc>
          <w:tcPr>
            <w:tcW w:w="1571" w:type="pct"/>
            <w:tcBorders>
              <w:top w:val="nil"/>
              <w:left w:val="nil"/>
              <w:bottom w:val="single" w:sz="4" w:space="0" w:color="auto"/>
              <w:right w:val="single" w:sz="4" w:space="0" w:color="auto"/>
            </w:tcBorders>
            <w:noWrap/>
            <w:vAlign w:val="bottom"/>
            <w:hideMark/>
          </w:tcPr>
          <w:p w14:paraId="1B346FFE"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12,51</w:t>
            </w:r>
          </w:p>
        </w:tc>
        <w:tc>
          <w:tcPr>
            <w:tcW w:w="332" w:type="pct"/>
            <w:tcBorders>
              <w:top w:val="nil"/>
              <w:left w:val="nil"/>
              <w:bottom w:val="single" w:sz="4" w:space="0" w:color="auto"/>
              <w:right w:val="single" w:sz="4" w:space="0" w:color="auto"/>
            </w:tcBorders>
            <w:noWrap/>
            <w:vAlign w:val="bottom"/>
            <w:hideMark/>
          </w:tcPr>
          <w:p w14:paraId="45B924C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nil"/>
              <w:left w:val="nil"/>
              <w:bottom w:val="single" w:sz="4" w:space="0" w:color="auto"/>
              <w:right w:val="single" w:sz="4" w:space="0" w:color="auto"/>
            </w:tcBorders>
            <w:noWrap/>
            <w:vAlign w:val="bottom"/>
            <w:hideMark/>
          </w:tcPr>
          <w:p w14:paraId="6AC41D3C"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741D3015"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758F4344"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140</w:t>
            </w:r>
          </w:p>
        </w:tc>
        <w:tc>
          <w:tcPr>
            <w:tcW w:w="559" w:type="pct"/>
            <w:tcBorders>
              <w:top w:val="nil"/>
              <w:left w:val="nil"/>
              <w:bottom w:val="single" w:sz="4" w:space="0" w:color="auto"/>
              <w:right w:val="single" w:sz="4" w:space="0" w:color="auto"/>
            </w:tcBorders>
            <w:noWrap/>
            <w:vAlign w:val="bottom"/>
            <w:hideMark/>
          </w:tcPr>
          <w:p w14:paraId="14147374"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121,29</w:t>
            </w:r>
          </w:p>
        </w:tc>
        <w:tc>
          <w:tcPr>
            <w:tcW w:w="483" w:type="pct"/>
            <w:tcBorders>
              <w:top w:val="nil"/>
              <w:left w:val="nil"/>
              <w:bottom w:val="single" w:sz="4" w:space="0" w:color="auto"/>
              <w:right w:val="single" w:sz="4" w:space="0" w:color="auto"/>
            </w:tcBorders>
            <w:noWrap/>
            <w:vAlign w:val="bottom"/>
            <w:hideMark/>
          </w:tcPr>
          <w:p w14:paraId="6F9DEFCC"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35</w:t>
            </w:r>
          </w:p>
        </w:tc>
        <w:tc>
          <w:tcPr>
            <w:tcW w:w="1571" w:type="pct"/>
            <w:tcBorders>
              <w:top w:val="nil"/>
              <w:left w:val="nil"/>
              <w:bottom w:val="single" w:sz="4" w:space="0" w:color="auto"/>
              <w:right w:val="single" w:sz="4" w:space="0" w:color="auto"/>
            </w:tcBorders>
            <w:noWrap/>
            <w:vAlign w:val="bottom"/>
            <w:hideMark/>
          </w:tcPr>
          <w:p w14:paraId="190549F7"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6,63</w:t>
            </w:r>
          </w:p>
        </w:tc>
        <w:tc>
          <w:tcPr>
            <w:tcW w:w="332" w:type="pct"/>
            <w:tcBorders>
              <w:top w:val="nil"/>
              <w:left w:val="nil"/>
              <w:bottom w:val="single" w:sz="4" w:space="0" w:color="auto"/>
              <w:right w:val="single" w:sz="4" w:space="0" w:color="auto"/>
            </w:tcBorders>
            <w:noWrap/>
            <w:vAlign w:val="bottom"/>
            <w:hideMark/>
          </w:tcPr>
          <w:p w14:paraId="7AF34F16"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nil"/>
              <w:left w:val="nil"/>
              <w:bottom w:val="single" w:sz="4" w:space="0" w:color="auto"/>
              <w:right w:val="single" w:sz="4" w:space="0" w:color="auto"/>
            </w:tcBorders>
            <w:noWrap/>
            <w:vAlign w:val="bottom"/>
            <w:hideMark/>
          </w:tcPr>
          <w:p w14:paraId="632DEE55"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0F38C3E9"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1ECA837A"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100</w:t>
            </w:r>
          </w:p>
        </w:tc>
        <w:tc>
          <w:tcPr>
            <w:tcW w:w="559" w:type="pct"/>
            <w:tcBorders>
              <w:top w:val="nil"/>
              <w:left w:val="nil"/>
              <w:bottom w:val="single" w:sz="4" w:space="0" w:color="auto"/>
              <w:right w:val="single" w:sz="4" w:space="0" w:color="auto"/>
            </w:tcBorders>
            <w:noWrap/>
            <w:vAlign w:val="bottom"/>
            <w:hideMark/>
          </w:tcPr>
          <w:p w14:paraId="5A229DE2"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127,23</w:t>
            </w:r>
          </w:p>
        </w:tc>
        <w:tc>
          <w:tcPr>
            <w:tcW w:w="483" w:type="pct"/>
            <w:tcBorders>
              <w:top w:val="nil"/>
              <w:left w:val="nil"/>
              <w:bottom w:val="single" w:sz="4" w:space="0" w:color="auto"/>
              <w:right w:val="single" w:sz="4" w:space="0" w:color="auto"/>
            </w:tcBorders>
            <w:noWrap/>
            <w:vAlign w:val="bottom"/>
            <w:hideMark/>
          </w:tcPr>
          <w:p w14:paraId="7D0FDAA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32</w:t>
            </w:r>
          </w:p>
        </w:tc>
        <w:tc>
          <w:tcPr>
            <w:tcW w:w="1571" w:type="pct"/>
            <w:tcBorders>
              <w:top w:val="nil"/>
              <w:left w:val="nil"/>
              <w:bottom w:val="single" w:sz="4" w:space="0" w:color="auto"/>
              <w:right w:val="single" w:sz="4" w:space="0" w:color="auto"/>
            </w:tcBorders>
            <w:noWrap/>
            <w:vAlign w:val="bottom"/>
            <w:hideMark/>
          </w:tcPr>
          <w:p w14:paraId="6443A2DD"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6,86</w:t>
            </w:r>
          </w:p>
        </w:tc>
        <w:tc>
          <w:tcPr>
            <w:tcW w:w="332" w:type="pct"/>
            <w:tcBorders>
              <w:top w:val="nil"/>
              <w:left w:val="nil"/>
              <w:bottom w:val="single" w:sz="4" w:space="0" w:color="auto"/>
              <w:right w:val="single" w:sz="4" w:space="0" w:color="auto"/>
            </w:tcBorders>
            <w:noWrap/>
            <w:vAlign w:val="bottom"/>
            <w:hideMark/>
          </w:tcPr>
          <w:p w14:paraId="11CBD7AC"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nil"/>
              <w:left w:val="nil"/>
              <w:bottom w:val="single" w:sz="4" w:space="0" w:color="auto"/>
              <w:right w:val="single" w:sz="4" w:space="0" w:color="auto"/>
            </w:tcBorders>
            <w:noWrap/>
            <w:vAlign w:val="bottom"/>
            <w:hideMark/>
          </w:tcPr>
          <w:p w14:paraId="541D9DBA"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0050097C"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0FC0853C"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200</w:t>
            </w:r>
          </w:p>
        </w:tc>
        <w:tc>
          <w:tcPr>
            <w:tcW w:w="559" w:type="pct"/>
            <w:tcBorders>
              <w:top w:val="nil"/>
              <w:left w:val="nil"/>
              <w:bottom w:val="single" w:sz="4" w:space="0" w:color="auto"/>
              <w:right w:val="single" w:sz="4" w:space="0" w:color="auto"/>
            </w:tcBorders>
            <w:noWrap/>
            <w:vAlign w:val="bottom"/>
            <w:hideMark/>
          </w:tcPr>
          <w:p w14:paraId="67C3FC20"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130,53</w:t>
            </w:r>
          </w:p>
        </w:tc>
        <w:tc>
          <w:tcPr>
            <w:tcW w:w="483" w:type="pct"/>
            <w:tcBorders>
              <w:top w:val="nil"/>
              <w:left w:val="nil"/>
              <w:bottom w:val="single" w:sz="4" w:space="0" w:color="auto"/>
              <w:right w:val="single" w:sz="4" w:space="0" w:color="auto"/>
            </w:tcBorders>
            <w:noWrap/>
            <w:vAlign w:val="bottom"/>
            <w:hideMark/>
          </w:tcPr>
          <w:p w14:paraId="64AC53B4"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w:t>
            </w:r>
          </w:p>
        </w:tc>
        <w:tc>
          <w:tcPr>
            <w:tcW w:w="1571" w:type="pct"/>
            <w:tcBorders>
              <w:top w:val="nil"/>
              <w:left w:val="nil"/>
              <w:bottom w:val="single" w:sz="4" w:space="0" w:color="auto"/>
              <w:right w:val="single" w:sz="4" w:space="0" w:color="auto"/>
            </w:tcBorders>
            <w:noWrap/>
            <w:vAlign w:val="bottom"/>
            <w:hideMark/>
          </w:tcPr>
          <w:p w14:paraId="421418CD"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18,65</w:t>
            </w:r>
          </w:p>
        </w:tc>
        <w:tc>
          <w:tcPr>
            <w:tcW w:w="332" w:type="pct"/>
            <w:tcBorders>
              <w:top w:val="nil"/>
              <w:left w:val="nil"/>
              <w:bottom w:val="single" w:sz="4" w:space="0" w:color="auto"/>
              <w:right w:val="single" w:sz="4" w:space="0" w:color="auto"/>
            </w:tcBorders>
            <w:noWrap/>
            <w:vAlign w:val="bottom"/>
            <w:hideMark/>
          </w:tcPr>
          <w:p w14:paraId="18084658"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nil"/>
              <w:left w:val="nil"/>
              <w:bottom w:val="single" w:sz="4" w:space="0" w:color="auto"/>
              <w:right w:val="single" w:sz="4" w:space="0" w:color="auto"/>
            </w:tcBorders>
            <w:noWrap/>
            <w:vAlign w:val="bottom"/>
            <w:hideMark/>
          </w:tcPr>
          <w:p w14:paraId="107F5798"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7F052D98"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1988946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150</w:t>
            </w:r>
          </w:p>
        </w:tc>
        <w:tc>
          <w:tcPr>
            <w:tcW w:w="559" w:type="pct"/>
            <w:tcBorders>
              <w:top w:val="nil"/>
              <w:left w:val="nil"/>
              <w:bottom w:val="single" w:sz="4" w:space="0" w:color="auto"/>
              <w:right w:val="single" w:sz="4" w:space="0" w:color="auto"/>
            </w:tcBorders>
            <w:noWrap/>
            <w:vAlign w:val="bottom"/>
            <w:hideMark/>
          </w:tcPr>
          <w:p w14:paraId="27B2937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146,41</w:t>
            </w:r>
          </w:p>
        </w:tc>
        <w:tc>
          <w:tcPr>
            <w:tcW w:w="483" w:type="pct"/>
            <w:tcBorders>
              <w:top w:val="nil"/>
              <w:left w:val="nil"/>
              <w:bottom w:val="single" w:sz="4" w:space="0" w:color="auto"/>
              <w:right w:val="single" w:sz="4" w:space="0" w:color="auto"/>
            </w:tcBorders>
            <w:noWrap/>
            <w:vAlign w:val="bottom"/>
            <w:hideMark/>
          </w:tcPr>
          <w:p w14:paraId="08CFB566"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w:t>
            </w:r>
          </w:p>
        </w:tc>
        <w:tc>
          <w:tcPr>
            <w:tcW w:w="1571" w:type="pct"/>
            <w:tcBorders>
              <w:top w:val="nil"/>
              <w:left w:val="nil"/>
              <w:bottom w:val="single" w:sz="4" w:space="0" w:color="auto"/>
              <w:right w:val="single" w:sz="4" w:space="0" w:color="auto"/>
            </w:tcBorders>
            <w:noWrap/>
            <w:vAlign w:val="bottom"/>
            <w:hideMark/>
          </w:tcPr>
          <w:p w14:paraId="236EB118"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18,38</w:t>
            </w:r>
          </w:p>
        </w:tc>
        <w:tc>
          <w:tcPr>
            <w:tcW w:w="332" w:type="pct"/>
            <w:tcBorders>
              <w:top w:val="nil"/>
              <w:left w:val="nil"/>
              <w:bottom w:val="single" w:sz="4" w:space="0" w:color="auto"/>
              <w:right w:val="single" w:sz="4" w:space="0" w:color="auto"/>
            </w:tcBorders>
            <w:noWrap/>
            <w:vAlign w:val="bottom"/>
            <w:hideMark/>
          </w:tcPr>
          <w:p w14:paraId="688CB18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nil"/>
              <w:left w:val="nil"/>
              <w:bottom w:val="single" w:sz="4" w:space="0" w:color="auto"/>
              <w:right w:val="single" w:sz="4" w:space="0" w:color="auto"/>
            </w:tcBorders>
            <w:noWrap/>
            <w:vAlign w:val="bottom"/>
            <w:hideMark/>
          </w:tcPr>
          <w:p w14:paraId="78841ACD"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192312FC" w14:textId="77777777" w:rsidTr="00253EF4">
        <w:trPr>
          <w:trHeight w:val="300"/>
          <w:jc w:val="center"/>
        </w:trPr>
        <w:tc>
          <w:tcPr>
            <w:tcW w:w="1280" w:type="pct"/>
            <w:tcBorders>
              <w:top w:val="nil"/>
              <w:left w:val="single" w:sz="4" w:space="0" w:color="auto"/>
              <w:bottom w:val="single" w:sz="4" w:space="0" w:color="auto"/>
              <w:right w:val="single" w:sz="4" w:space="0" w:color="auto"/>
            </w:tcBorders>
            <w:noWrap/>
            <w:vAlign w:val="bottom"/>
            <w:hideMark/>
          </w:tcPr>
          <w:p w14:paraId="04B31BA1"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120</w:t>
            </w:r>
          </w:p>
        </w:tc>
        <w:tc>
          <w:tcPr>
            <w:tcW w:w="559" w:type="pct"/>
            <w:tcBorders>
              <w:top w:val="nil"/>
              <w:left w:val="nil"/>
              <w:bottom w:val="single" w:sz="4" w:space="0" w:color="auto"/>
              <w:right w:val="single" w:sz="4" w:space="0" w:color="auto"/>
            </w:tcBorders>
            <w:noWrap/>
            <w:vAlign w:val="bottom"/>
            <w:hideMark/>
          </w:tcPr>
          <w:p w14:paraId="6637A942"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156,67</w:t>
            </w:r>
          </w:p>
        </w:tc>
        <w:tc>
          <w:tcPr>
            <w:tcW w:w="483" w:type="pct"/>
            <w:tcBorders>
              <w:top w:val="nil"/>
              <w:left w:val="nil"/>
              <w:bottom w:val="single" w:sz="4" w:space="0" w:color="auto"/>
              <w:right w:val="single" w:sz="4" w:space="0" w:color="auto"/>
            </w:tcBorders>
            <w:noWrap/>
            <w:vAlign w:val="bottom"/>
            <w:hideMark/>
          </w:tcPr>
          <w:p w14:paraId="0065248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78</w:t>
            </w:r>
          </w:p>
        </w:tc>
        <w:tc>
          <w:tcPr>
            <w:tcW w:w="1571" w:type="pct"/>
            <w:tcBorders>
              <w:top w:val="nil"/>
              <w:left w:val="nil"/>
              <w:bottom w:val="single" w:sz="4" w:space="0" w:color="auto"/>
              <w:right w:val="single" w:sz="4" w:space="0" w:color="auto"/>
            </w:tcBorders>
            <w:noWrap/>
            <w:vAlign w:val="bottom"/>
            <w:hideMark/>
          </w:tcPr>
          <w:p w14:paraId="43379AA0"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4,77</w:t>
            </w:r>
          </w:p>
        </w:tc>
        <w:tc>
          <w:tcPr>
            <w:tcW w:w="332" w:type="pct"/>
            <w:tcBorders>
              <w:top w:val="nil"/>
              <w:left w:val="nil"/>
              <w:bottom w:val="single" w:sz="4" w:space="0" w:color="auto"/>
              <w:right w:val="single" w:sz="4" w:space="0" w:color="auto"/>
            </w:tcBorders>
            <w:noWrap/>
            <w:vAlign w:val="bottom"/>
            <w:hideMark/>
          </w:tcPr>
          <w:p w14:paraId="4733B37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775" w:type="pct"/>
            <w:tcBorders>
              <w:top w:val="nil"/>
              <w:left w:val="nil"/>
              <w:bottom w:val="single" w:sz="4" w:space="0" w:color="auto"/>
              <w:right w:val="single" w:sz="4" w:space="0" w:color="auto"/>
            </w:tcBorders>
            <w:noWrap/>
            <w:vAlign w:val="bottom"/>
            <w:hideMark/>
          </w:tcPr>
          <w:p w14:paraId="257874BC" w14:textId="77777777" w:rsidR="00C82BCC" w:rsidRPr="0074674B" w:rsidRDefault="00C82BCC" w:rsidP="0074674B">
            <w:pPr>
              <w:pStyle w:val="Sinespaciado"/>
              <w:jc w:val="center"/>
              <w:rPr>
                <w:rFonts w:ascii="Times New Roman" w:hAnsi="Times New Roman" w:cs="Times New Roman"/>
                <w:sz w:val="24"/>
                <w:szCs w:val="24"/>
                <w:lang w:eastAsia="es-EC"/>
              </w:rPr>
            </w:pPr>
          </w:p>
        </w:tc>
      </w:tr>
    </w:tbl>
    <w:p w14:paraId="63BF6CE8" w14:textId="77777777" w:rsidR="00C82BCC" w:rsidRDefault="00C82BCC" w:rsidP="00253EF4">
      <w:pPr>
        <w:autoSpaceDE w:val="0"/>
        <w:autoSpaceDN w:val="0"/>
        <w:adjustRightInd w:val="0"/>
        <w:spacing w:after="360" w:line="360" w:lineRule="auto"/>
        <w:rPr>
          <w:rFonts w:cs="Times New Roman"/>
          <w:szCs w:val="24"/>
        </w:rPr>
      </w:pPr>
      <w:r>
        <w:rPr>
          <w:rFonts w:cs="Times New Roman"/>
          <w:szCs w:val="24"/>
        </w:rPr>
        <w:t>Medias con una letra común no son significativamente diferentes (p &gt; 0,05)</w:t>
      </w:r>
    </w:p>
    <w:p w14:paraId="0D90C461" w14:textId="77777777" w:rsidR="00F619ED" w:rsidRDefault="00F619ED" w:rsidP="00F619ED">
      <w:pPr>
        <w:rPr>
          <w:rStyle w:val="Ttulo1Car"/>
        </w:rPr>
      </w:pPr>
      <w:bookmarkStart w:id="2018" w:name="_Toc72704699"/>
      <w:bookmarkStart w:id="2019" w:name="_Toc72706406"/>
      <w:bookmarkStart w:id="2020" w:name="_Toc72741356"/>
      <w:bookmarkStart w:id="2021" w:name="_Toc72742154"/>
      <w:bookmarkStart w:id="2022" w:name="_Toc72881305"/>
      <w:bookmarkStart w:id="2023" w:name="_Toc72882758"/>
      <w:bookmarkStart w:id="2024" w:name="_Toc75606544"/>
      <w:bookmarkStart w:id="2025" w:name="_Toc75612869"/>
      <w:bookmarkStart w:id="2026" w:name="_Toc75680025"/>
      <w:bookmarkStart w:id="2027" w:name="_Toc75702633"/>
      <w:bookmarkStart w:id="2028" w:name="_Toc79313246"/>
    </w:p>
    <w:p w14:paraId="42614D81" w14:textId="77777777" w:rsidR="00F619ED" w:rsidRDefault="00F619ED" w:rsidP="00F619ED">
      <w:pPr>
        <w:rPr>
          <w:rStyle w:val="Ttulo1Car"/>
        </w:rPr>
      </w:pPr>
    </w:p>
    <w:p w14:paraId="45DC5D4B" w14:textId="2280C0C0" w:rsidR="00C82BCC" w:rsidRDefault="003E244D" w:rsidP="00F619ED">
      <w:pPr>
        <w:rPr>
          <w:szCs w:val="24"/>
        </w:rPr>
      </w:pPr>
      <w:bookmarkStart w:id="2029" w:name="_Toc80008463"/>
      <w:bookmarkStart w:id="2030" w:name="_Toc80312356"/>
      <w:r w:rsidRPr="0074674B">
        <w:rPr>
          <w:rStyle w:val="Ttulo1Car"/>
        </w:rPr>
        <w:lastRenderedPageBreak/>
        <w:t>Cuadro</w:t>
      </w:r>
      <w:r w:rsidR="00C82BCC" w:rsidRPr="0074674B">
        <w:rPr>
          <w:rStyle w:val="Ttulo1Car"/>
        </w:rPr>
        <w:t xml:space="preserve"> </w:t>
      </w:r>
      <w:r w:rsidR="0039325D" w:rsidRPr="0074674B">
        <w:rPr>
          <w:rStyle w:val="Ttulo1Car"/>
        </w:rPr>
        <w:t>151</w:t>
      </w:r>
      <w:r w:rsidR="00C82BCC" w:rsidRPr="0074674B">
        <w:rPr>
          <w:rStyle w:val="Ttulo1Car"/>
        </w:rPr>
        <w:t>.</w:t>
      </w:r>
      <w:r w:rsidR="00C82BCC" w:rsidRPr="00B24798">
        <w:rPr>
          <w:rStyle w:val="Ttulo1Car"/>
        </w:rPr>
        <w:t xml:space="preserve"> </w:t>
      </w:r>
      <w:r w:rsidR="00C82BCC" w:rsidRPr="00F619ED">
        <w:rPr>
          <w:rStyle w:val="Ttulo1Car"/>
          <w:b w:val="0"/>
          <w:bCs w:val="0"/>
        </w:rPr>
        <w:t>Absorción total de nitrógeno de plantas de maíz suave para varias dosis de f</w:t>
      </w:r>
      <w:r w:rsidR="006E0BEC">
        <w:rPr>
          <w:rStyle w:val="Ttulo1Car"/>
          <w:b w:val="0"/>
          <w:bCs w:val="0"/>
        </w:rPr>
        <w:t>ó</w:t>
      </w:r>
      <w:r w:rsidR="00C82BCC" w:rsidRPr="00F619ED">
        <w:rPr>
          <w:rStyle w:val="Ttulo1Car"/>
          <w:b w:val="0"/>
          <w:bCs w:val="0"/>
        </w:rPr>
        <w:t>sforo evaluadas en las provincias de Bolívar, Chimborazo, Imbabura 2006-2015</w:t>
      </w:r>
      <w:bookmarkEnd w:id="2029"/>
      <w:bookmarkEnd w:id="2030"/>
      <w:r w:rsidR="00C82BCC" w:rsidRPr="00F619ED">
        <w:rPr>
          <w:b/>
          <w:bCs/>
          <w:szCs w:val="24"/>
        </w:rPr>
        <w:t>.</w:t>
      </w:r>
      <w:bookmarkEnd w:id="2018"/>
      <w:bookmarkEnd w:id="2019"/>
      <w:bookmarkEnd w:id="2020"/>
      <w:bookmarkEnd w:id="2021"/>
      <w:bookmarkEnd w:id="2022"/>
      <w:bookmarkEnd w:id="2023"/>
      <w:bookmarkEnd w:id="2024"/>
      <w:bookmarkEnd w:id="2025"/>
      <w:bookmarkEnd w:id="2026"/>
      <w:bookmarkEnd w:id="2027"/>
      <w:bookmarkEnd w:id="2028"/>
    </w:p>
    <w:tbl>
      <w:tblPr>
        <w:tblW w:w="7229" w:type="dxa"/>
        <w:jc w:val="center"/>
        <w:tblCellMar>
          <w:left w:w="70" w:type="dxa"/>
          <w:right w:w="70" w:type="dxa"/>
        </w:tblCellMar>
        <w:tblLook w:val="04A0" w:firstRow="1" w:lastRow="0" w:firstColumn="1" w:lastColumn="0" w:noHBand="0" w:noVBand="1"/>
      </w:tblPr>
      <w:tblGrid>
        <w:gridCol w:w="2090"/>
        <w:gridCol w:w="887"/>
        <w:gridCol w:w="709"/>
        <w:gridCol w:w="2126"/>
        <w:gridCol w:w="1417"/>
      </w:tblGrid>
      <w:tr w:rsidR="00C82BCC" w14:paraId="696FD7EB" w14:textId="77777777" w:rsidTr="0074674B">
        <w:trPr>
          <w:trHeight w:val="300"/>
          <w:jc w:val="center"/>
        </w:trPr>
        <w:tc>
          <w:tcPr>
            <w:tcW w:w="2090" w:type="dxa"/>
            <w:tcBorders>
              <w:top w:val="single" w:sz="4" w:space="0" w:color="auto"/>
              <w:left w:val="single" w:sz="4" w:space="0" w:color="auto"/>
              <w:bottom w:val="single" w:sz="4" w:space="0" w:color="auto"/>
              <w:right w:val="single" w:sz="4" w:space="0" w:color="auto"/>
            </w:tcBorders>
            <w:noWrap/>
            <w:vAlign w:val="bottom"/>
            <w:hideMark/>
          </w:tcPr>
          <w:p w14:paraId="31F3EC60"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75BFE874"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09" w:type="dxa"/>
            <w:tcBorders>
              <w:top w:val="single" w:sz="4" w:space="0" w:color="auto"/>
              <w:left w:val="nil"/>
              <w:bottom w:val="single" w:sz="4" w:space="0" w:color="auto"/>
              <w:right w:val="single" w:sz="4" w:space="0" w:color="auto"/>
            </w:tcBorders>
            <w:noWrap/>
            <w:vAlign w:val="bottom"/>
            <w:hideMark/>
          </w:tcPr>
          <w:p w14:paraId="5E459237"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2126" w:type="dxa"/>
            <w:tcBorders>
              <w:top w:val="single" w:sz="4" w:space="0" w:color="auto"/>
              <w:left w:val="nil"/>
              <w:bottom w:val="single" w:sz="4" w:space="0" w:color="auto"/>
              <w:right w:val="single" w:sz="4" w:space="0" w:color="auto"/>
            </w:tcBorders>
            <w:noWrap/>
            <w:vAlign w:val="bottom"/>
            <w:hideMark/>
          </w:tcPr>
          <w:p w14:paraId="2E072D5C"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417" w:type="dxa"/>
            <w:tcBorders>
              <w:top w:val="single" w:sz="4" w:space="0" w:color="auto"/>
              <w:left w:val="nil"/>
              <w:bottom w:val="single" w:sz="4" w:space="0" w:color="auto"/>
              <w:right w:val="single" w:sz="4" w:space="0" w:color="auto"/>
            </w:tcBorders>
            <w:noWrap/>
            <w:vAlign w:val="bottom"/>
            <w:hideMark/>
          </w:tcPr>
          <w:p w14:paraId="6463F30B"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Lsd 0,05</w:t>
            </w:r>
          </w:p>
        </w:tc>
      </w:tr>
      <w:tr w:rsidR="00C82BCC" w14:paraId="7B6572CA" w14:textId="77777777" w:rsidTr="0074674B">
        <w:trPr>
          <w:trHeight w:val="300"/>
          <w:jc w:val="center"/>
        </w:trPr>
        <w:tc>
          <w:tcPr>
            <w:tcW w:w="2090" w:type="dxa"/>
            <w:tcBorders>
              <w:top w:val="nil"/>
              <w:left w:val="single" w:sz="4" w:space="0" w:color="auto"/>
              <w:bottom w:val="single" w:sz="4" w:space="0" w:color="auto"/>
              <w:right w:val="single" w:sz="4" w:space="0" w:color="auto"/>
            </w:tcBorders>
            <w:noWrap/>
            <w:vAlign w:val="bottom"/>
            <w:hideMark/>
          </w:tcPr>
          <w:p w14:paraId="02BB33EF"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87" w:type="dxa"/>
            <w:tcBorders>
              <w:top w:val="nil"/>
              <w:left w:val="nil"/>
              <w:bottom w:val="single" w:sz="4" w:space="0" w:color="auto"/>
              <w:right w:val="single" w:sz="4" w:space="0" w:color="auto"/>
            </w:tcBorders>
            <w:noWrap/>
            <w:vAlign w:val="bottom"/>
            <w:hideMark/>
          </w:tcPr>
          <w:p w14:paraId="62C3F7F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85,24</w:t>
            </w:r>
          </w:p>
        </w:tc>
        <w:tc>
          <w:tcPr>
            <w:tcW w:w="709" w:type="dxa"/>
            <w:tcBorders>
              <w:top w:val="nil"/>
              <w:left w:val="nil"/>
              <w:bottom w:val="single" w:sz="4" w:space="0" w:color="auto"/>
              <w:right w:val="single" w:sz="4" w:space="0" w:color="auto"/>
            </w:tcBorders>
            <w:noWrap/>
            <w:vAlign w:val="bottom"/>
            <w:hideMark/>
          </w:tcPr>
          <w:p w14:paraId="130CBC04"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2126" w:type="dxa"/>
            <w:tcBorders>
              <w:top w:val="nil"/>
              <w:left w:val="nil"/>
              <w:bottom w:val="single" w:sz="4" w:space="0" w:color="auto"/>
              <w:right w:val="single" w:sz="4" w:space="0" w:color="auto"/>
            </w:tcBorders>
            <w:noWrap/>
            <w:vAlign w:val="bottom"/>
            <w:hideMark/>
          </w:tcPr>
          <w:p w14:paraId="6A95A48A"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36,39</w:t>
            </w:r>
          </w:p>
        </w:tc>
        <w:tc>
          <w:tcPr>
            <w:tcW w:w="1417" w:type="dxa"/>
            <w:tcBorders>
              <w:top w:val="nil"/>
              <w:left w:val="nil"/>
              <w:bottom w:val="single" w:sz="4" w:space="0" w:color="auto"/>
              <w:right w:val="single" w:sz="4" w:space="0" w:color="auto"/>
            </w:tcBorders>
            <w:noWrap/>
            <w:vAlign w:val="bottom"/>
            <w:hideMark/>
          </w:tcPr>
          <w:p w14:paraId="09D6401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76130C56" w14:textId="77777777" w:rsidTr="0074674B">
        <w:trPr>
          <w:trHeight w:val="300"/>
          <w:jc w:val="center"/>
        </w:trPr>
        <w:tc>
          <w:tcPr>
            <w:tcW w:w="2090" w:type="dxa"/>
            <w:tcBorders>
              <w:top w:val="nil"/>
              <w:left w:val="single" w:sz="4" w:space="0" w:color="auto"/>
              <w:bottom w:val="single" w:sz="4" w:space="0" w:color="auto"/>
              <w:right w:val="single" w:sz="4" w:space="0" w:color="auto"/>
            </w:tcBorders>
            <w:noWrap/>
            <w:vAlign w:val="bottom"/>
            <w:hideMark/>
          </w:tcPr>
          <w:p w14:paraId="7DF1B7AD"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3D205146"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85,97</w:t>
            </w:r>
          </w:p>
        </w:tc>
        <w:tc>
          <w:tcPr>
            <w:tcW w:w="709" w:type="dxa"/>
            <w:tcBorders>
              <w:top w:val="nil"/>
              <w:left w:val="nil"/>
              <w:bottom w:val="single" w:sz="4" w:space="0" w:color="auto"/>
              <w:right w:val="single" w:sz="4" w:space="0" w:color="auto"/>
            </w:tcBorders>
            <w:noWrap/>
            <w:vAlign w:val="bottom"/>
            <w:hideMark/>
          </w:tcPr>
          <w:p w14:paraId="1BDAB3C9"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2126" w:type="dxa"/>
            <w:tcBorders>
              <w:top w:val="nil"/>
              <w:left w:val="nil"/>
              <w:bottom w:val="single" w:sz="4" w:space="0" w:color="auto"/>
              <w:right w:val="single" w:sz="4" w:space="0" w:color="auto"/>
            </w:tcBorders>
            <w:noWrap/>
            <w:vAlign w:val="bottom"/>
            <w:hideMark/>
          </w:tcPr>
          <w:p w14:paraId="302FF931"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8,17</w:t>
            </w:r>
          </w:p>
        </w:tc>
        <w:tc>
          <w:tcPr>
            <w:tcW w:w="1417" w:type="dxa"/>
            <w:tcBorders>
              <w:top w:val="nil"/>
              <w:left w:val="nil"/>
              <w:bottom w:val="single" w:sz="4" w:space="0" w:color="auto"/>
              <w:right w:val="single" w:sz="4" w:space="0" w:color="auto"/>
            </w:tcBorders>
            <w:noWrap/>
            <w:vAlign w:val="bottom"/>
            <w:hideMark/>
          </w:tcPr>
          <w:p w14:paraId="3B77981B"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655FB971" w14:textId="77777777" w:rsidTr="0074674B">
        <w:trPr>
          <w:trHeight w:val="300"/>
          <w:jc w:val="center"/>
        </w:trPr>
        <w:tc>
          <w:tcPr>
            <w:tcW w:w="2090" w:type="dxa"/>
            <w:tcBorders>
              <w:top w:val="nil"/>
              <w:left w:val="single" w:sz="4" w:space="0" w:color="auto"/>
              <w:bottom w:val="single" w:sz="4" w:space="0" w:color="auto"/>
              <w:right w:val="single" w:sz="4" w:space="0" w:color="auto"/>
            </w:tcBorders>
            <w:noWrap/>
            <w:vAlign w:val="bottom"/>
            <w:hideMark/>
          </w:tcPr>
          <w:p w14:paraId="53CD38DA"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w:t>
            </w:r>
          </w:p>
        </w:tc>
        <w:tc>
          <w:tcPr>
            <w:tcW w:w="887" w:type="dxa"/>
            <w:tcBorders>
              <w:top w:val="nil"/>
              <w:left w:val="nil"/>
              <w:bottom w:val="single" w:sz="4" w:space="0" w:color="auto"/>
              <w:right w:val="single" w:sz="4" w:space="0" w:color="auto"/>
            </w:tcBorders>
            <w:noWrap/>
            <w:vAlign w:val="bottom"/>
            <w:hideMark/>
          </w:tcPr>
          <w:p w14:paraId="030AD58C"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108,65</w:t>
            </w:r>
          </w:p>
        </w:tc>
        <w:tc>
          <w:tcPr>
            <w:tcW w:w="709" w:type="dxa"/>
            <w:tcBorders>
              <w:top w:val="nil"/>
              <w:left w:val="nil"/>
              <w:bottom w:val="single" w:sz="4" w:space="0" w:color="auto"/>
              <w:right w:val="single" w:sz="4" w:space="0" w:color="auto"/>
            </w:tcBorders>
            <w:noWrap/>
            <w:vAlign w:val="bottom"/>
            <w:hideMark/>
          </w:tcPr>
          <w:p w14:paraId="51AF00E0"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w:t>
            </w:r>
          </w:p>
        </w:tc>
        <w:tc>
          <w:tcPr>
            <w:tcW w:w="2126" w:type="dxa"/>
            <w:tcBorders>
              <w:top w:val="nil"/>
              <w:left w:val="nil"/>
              <w:bottom w:val="single" w:sz="4" w:space="0" w:color="auto"/>
              <w:right w:val="single" w:sz="4" w:space="0" w:color="auto"/>
            </w:tcBorders>
            <w:noWrap/>
            <w:vAlign w:val="bottom"/>
            <w:hideMark/>
          </w:tcPr>
          <w:p w14:paraId="41C160E0"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7,18</w:t>
            </w:r>
          </w:p>
        </w:tc>
        <w:tc>
          <w:tcPr>
            <w:tcW w:w="1417" w:type="dxa"/>
            <w:tcBorders>
              <w:top w:val="nil"/>
              <w:left w:val="nil"/>
              <w:bottom w:val="single" w:sz="4" w:space="0" w:color="auto"/>
              <w:right w:val="single" w:sz="4" w:space="0" w:color="auto"/>
            </w:tcBorders>
            <w:noWrap/>
            <w:vAlign w:val="bottom"/>
            <w:hideMark/>
          </w:tcPr>
          <w:p w14:paraId="32AE5781"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4BFD194E" w14:textId="77777777" w:rsidTr="0074674B">
        <w:trPr>
          <w:trHeight w:val="300"/>
          <w:jc w:val="center"/>
        </w:trPr>
        <w:tc>
          <w:tcPr>
            <w:tcW w:w="2090" w:type="dxa"/>
            <w:tcBorders>
              <w:top w:val="nil"/>
              <w:left w:val="single" w:sz="4" w:space="0" w:color="auto"/>
              <w:bottom w:val="single" w:sz="4" w:space="0" w:color="auto"/>
              <w:right w:val="single" w:sz="4" w:space="0" w:color="auto"/>
            </w:tcBorders>
            <w:noWrap/>
            <w:vAlign w:val="bottom"/>
            <w:hideMark/>
          </w:tcPr>
          <w:p w14:paraId="245A0C21"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2D900CEE"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129,71</w:t>
            </w:r>
          </w:p>
        </w:tc>
        <w:tc>
          <w:tcPr>
            <w:tcW w:w="709" w:type="dxa"/>
            <w:tcBorders>
              <w:top w:val="nil"/>
              <w:left w:val="nil"/>
              <w:bottom w:val="single" w:sz="4" w:space="0" w:color="auto"/>
              <w:right w:val="single" w:sz="4" w:space="0" w:color="auto"/>
            </w:tcBorders>
            <w:noWrap/>
            <w:vAlign w:val="bottom"/>
            <w:hideMark/>
          </w:tcPr>
          <w:p w14:paraId="0A4CD01E"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w:t>
            </w:r>
          </w:p>
        </w:tc>
        <w:tc>
          <w:tcPr>
            <w:tcW w:w="2126" w:type="dxa"/>
            <w:tcBorders>
              <w:top w:val="nil"/>
              <w:left w:val="nil"/>
              <w:bottom w:val="single" w:sz="4" w:space="0" w:color="auto"/>
              <w:right w:val="single" w:sz="4" w:space="0" w:color="auto"/>
            </w:tcBorders>
            <w:noWrap/>
            <w:vAlign w:val="bottom"/>
            <w:hideMark/>
          </w:tcPr>
          <w:p w14:paraId="3FD8D794"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4,73</w:t>
            </w:r>
          </w:p>
        </w:tc>
        <w:tc>
          <w:tcPr>
            <w:tcW w:w="1417" w:type="dxa"/>
            <w:tcBorders>
              <w:top w:val="nil"/>
              <w:left w:val="nil"/>
              <w:bottom w:val="single" w:sz="4" w:space="0" w:color="auto"/>
              <w:right w:val="single" w:sz="4" w:space="0" w:color="auto"/>
            </w:tcBorders>
            <w:noWrap/>
            <w:vAlign w:val="bottom"/>
            <w:hideMark/>
          </w:tcPr>
          <w:p w14:paraId="7CD329F2"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1B700B96" w14:textId="77777777" w:rsidTr="0074674B">
        <w:trPr>
          <w:trHeight w:val="300"/>
          <w:jc w:val="center"/>
        </w:trPr>
        <w:tc>
          <w:tcPr>
            <w:tcW w:w="2090" w:type="dxa"/>
            <w:tcBorders>
              <w:top w:val="nil"/>
              <w:left w:val="single" w:sz="4" w:space="0" w:color="auto"/>
              <w:bottom w:val="single" w:sz="4" w:space="0" w:color="auto"/>
              <w:right w:val="single" w:sz="4" w:space="0" w:color="auto"/>
            </w:tcBorders>
            <w:noWrap/>
            <w:vAlign w:val="bottom"/>
            <w:hideMark/>
          </w:tcPr>
          <w:p w14:paraId="47C0B0DC"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464DB480"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134,38</w:t>
            </w:r>
          </w:p>
        </w:tc>
        <w:tc>
          <w:tcPr>
            <w:tcW w:w="709" w:type="dxa"/>
            <w:tcBorders>
              <w:top w:val="nil"/>
              <w:left w:val="nil"/>
              <w:bottom w:val="single" w:sz="4" w:space="0" w:color="auto"/>
              <w:right w:val="single" w:sz="4" w:space="0" w:color="auto"/>
            </w:tcBorders>
            <w:noWrap/>
            <w:vAlign w:val="bottom"/>
            <w:hideMark/>
          </w:tcPr>
          <w:p w14:paraId="2E125E6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w:t>
            </w:r>
          </w:p>
        </w:tc>
        <w:tc>
          <w:tcPr>
            <w:tcW w:w="2126" w:type="dxa"/>
            <w:tcBorders>
              <w:top w:val="nil"/>
              <w:left w:val="nil"/>
              <w:bottom w:val="single" w:sz="4" w:space="0" w:color="auto"/>
              <w:right w:val="single" w:sz="4" w:space="0" w:color="auto"/>
            </w:tcBorders>
            <w:noWrap/>
            <w:vAlign w:val="bottom"/>
            <w:hideMark/>
          </w:tcPr>
          <w:p w14:paraId="11BC6F56"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4,85</w:t>
            </w:r>
          </w:p>
        </w:tc>
        <w:tc>
          <w:tcPr>
            <w:tcW w:w="1417" w:type="dxa"/>
            <w:tcBorders>
              <w:top w:val="nil"/>
              <w:left w:val="nil"/>
              <w:bottom w:val="single" w:sz="4" w:space="0" w:color="auto"/>
              <w:right w:val="single" w:sz="4" w:space="0" w:color="auto"/>
            </w:tcBorders>
            <w:noWrap/>
            <w:vAlign w:val="bottom"/>
            <w:hideMark/>
          </w:tcPr>
          <w:p w14:paraId="0507E886"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57BB52BB" w14:textId="77777777" w:rsidTr="0074674B">
        <w:trPr>
          <w:trHeight w:val="300"/>
          <w:jc w:val="center"/>
        </w:trPr>
        <w:tc>
          <w:tcPr>
            <w:tcW w:w="2090" w:type="dxa"/>
            <w:tcBorders>
              <w:top w:val="nil"/>
              <w:left w:val="single" w:sz="4" w:space="0" w:color="auto"/>
              <w:bottom w:val="single" w:sz="4" w:space="0" w:color="auto"/>
              <w:right w:val="single" w:sz="4" w:space="0" w:color="auto"/>
            </w:tcBorders>
            <w:noWrap/>
            <w:vAlign w:val="bottom"/>
            <w:hideMark/>
          </w:tcPr>
          <w:p w14:paraId="34794818"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2BCF88F4"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135,66</w:t>
            </w:r>
          </w:p>
        </w:tc>
        <w:tc>
          <w:tcPr>
            <w:tcW w:w="709" w:type="dxa"/>
            <w:tcBorders>
              <w:top w:val="nil"/>
              <w:left w:val="nil"/>
              <w:bottom w:val="single" w:sz="4" w:space="0" w:color="auto"/>
              <w:right w:val="single" w:sz="4" w:space="0" w:color="auto"/>
            </w:tcBorders>
            <w:noWrap/>
            <w:vAlign w:val="bottom"/>
            <w:hideMark/>
          </w:tcPr>
          <w:p w14:paraId="53C5B003"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2126" w:type="dxa"/>
            <w:tcBorders>
              <w:top w:val="nil"/>
              <w:left w:val="nil"/>
              <w:bottom w:val="single" w:sz="4" w:space="0" w:color="auto"/>
              <w:right w:val="single" w:sz="4" w:space="0" w:color="auto"/>
            </w:tcBorders>
            <w:noWrap/>
            <w:vAlign w:val="bottom"/>
            <w:hideMark/>
          </w:tcPr>
          <w:p w14:paraId="61FE45D8"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9,36</w:t>
            </w:r>
          </w:p>
        </w:tc>
        <w:tc>
          <w:tcPr>
            <w:tcW w:w="1417" w:type="dxa"/>
            <w:tcBorders>
              <w:top w:val="nil"/>
              <w:left w:val="nil"/>
              <w:bottom w:val="single" w:sz="4" w:space="0" w:color="auto"/>
              <w:right w:val="single" w:sz="4" w:space="0" w:color="auto"/>
            </w:tcBorders>
            <w:noWrap/>
            <w:vAlign w:val="bottom"/>
            <w:hideMark/>
          </w:tcPr>
          <w:p w14:paraId="72CA58BD"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6644B80B" w14:textId="77777777" w:rsidTr="0074674B">
        <w:trPr>
          <w:trHeight w:val="300"/>
          <w:jc w:val="center"/>
        </w:trPr>
        <w:tc>
          <w:tcPr>
            <w:tcW w:w="2090" w:type="dxa"/>
            <w:tcBorders>
              <w:top w:val="nil"/>
              <w:left w:val="single" w:sz="4" w:space="0" w:color="auto"/>
              <w:bottom w:val="single" w:sz="4" w:space="0" w:color="auto"/>
              <w:right w:val="single" w:sz="4" w:space="0" w:color="auto"/>
            </w:tcBorders>
            <w:noWrap/>
            <w:vAlign w:val="bottom"/>
            <w:hideMark/>
          </w:tcPr>
          <w:p w14:paraId="4861A461"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64EBEBE9"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154,29</w:t>
            </w:r>
          </w:p>
        </w:tc>
        <w:tc>
          <w:tcPr>
            <w:tcW w:w="709" w:type="dxa"/>
            <w:tcBorders>
              <w:top w:val="nil"/>
              <w:left w:val="nil"/>
              <w:bottom w:val="single" w:sz="4" w:space="0" w:color="auto"/>
              <w:right w:val="single" w:sz="4" w:space="0" w:color="auto"/>
            </w:tcBorders>
            <w:noWrap/>
            <w:vAlign w:val="bottom"/>
            <w:hideMark/>
          </w:tcPr>
          <w:p w14:paraId="49C63F35"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2126" w:type="dxa"/>
            <w:tcBorders>
              <w:top w:val="nil"/>
              <w:left w:val="nil"/>
              <w:bottom w:val="single" w:sz="4" w:space="0" w:color="auto"/>
              <w:right w:val="single" w:sz="4" w:space="0" w:color="auto"/>
            </w:tcBorders>
            <w:noWrap/>
            <w:vAlign w:val="bottom"/>
            <w:hideMark/>
          </w:tcPr>
          <w:p w14:paraId="5573ADDE"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16,72</w:t>
            </w:r>
          </w:p>
        </w:tc>
        <w:tc>
          <w:tcPr>
            <w:tcW w:w="1417" w:type="dxa"/>
            <w:tcBorders>
              <w:top w:val="nil"/>
              <w:left w:val="nil"/>
              <w:bottom w:val="single" w:sz="4" w:space="0" w:color="auto"/>
              <w:right w:val="single" w:sz="4" w:space="0" w:color="auto"/>
            </w:tcBorders>
            <w:noWrap/>
            <w:vAlign w:val="bottom"/>
            <w:hideMark/>
          </w:tcPr>
          <w:p w14:paraId="51E200C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r w:rsidR="00C82BCC" w14:paraId="6BF0DBA0" w14:textId="77777777" w:rsidTr="0074674B">
        <w:trPr>
          <w:trHeight w:val="300"/>
          <w:jc w:val="center"/>
        </w:trPr>
        <w:tc>
          <w:tcPr>
            <w:tcW w:w="2090" w:type="dxa"/>
            <w:tcBorders>
              <w:top w:val="nil"/>
              <w:left w:val="single" w:sz="4" w:space="0" w:color="auto"/>
              <w:bottom w:val="single" w:sz="4" w:space="0" w:color="auto"/>
              <w:right w:val="single" w:sz="4" w:space="0" w:color="auto"/>
            </w:tcBorders>
            <w:noWrap/>
            <w:vAlign w:val="bottom"/>
            <w:hideMark/>
          </w:tcPr>
          <w:p w14:paraId="75557175"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887" w:type="dxa"/>
            <w:tcBorders>
              <w:top w:val="nil"/>
              <w:left w:val="nil"/>
              <w:bottom w:val="single" w:sz="4" w:space="0" w:color="auto"/>
              <w:right w:val="single" w:sz="4" w:space="0" w:color="auto"/>
            </w:tcBorders>
            <w:noWrap/>
            <w:vAlign w:val="bottom"/>
            <w:hideMark/>
          </w:tcPr>
          <w:p w14:paraId="69EE922F"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164,51</w:t>
            </w:r>
          </w:p>
        </w:tc>
        <w:tc>
          <w:tcPr>
            <w:tcW w:w="709" w:type="dxa"/>
            <w:tcBorders>
              <w:top w:val="nil"/>
              <w:left w:val="nil"/>
              <w:bottom w:val="single" w:sz="4" w:space="0" w:color="auto"/>
              <w:right w:val="single" w:sz="4" w:space="0" w:color="auto"/>
            </w:tcBorders>
            <w:noWrap/>
            <w:vAlign w:val="bottom"/>
            <w:hideMark/>
          </w:tcPr>
          <w:p w14:paraId="006AF882"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2126" w:type="dxa"/>
            <w:tcBorders>
              <w:top w:val="nil"/>
              <w:left w:val="nil"/>
              <w:bottom w:val="single" w:sz="4" w:space="0" w:color="auto"/>
              <w:right w:val="single" w:sz="4" w:space="0" w:color="auto"/>
            </w:tcBorders>
            <w:noWrap/>
            <w:vAlign w:val="bottom"/>
            <w:hideMark/>
          </w:tcPr>
          <w:p w14:paraId="22CC4821"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36,39</w:t>
            </w:r>
          </w:p>
        </w:tc>
        <w:tc>
          <w:tcPr>
            <w:tcW w:w="1417" w:type="dxa"/>
            <w:tcBorders>
              <w:top w:val="nil"/>
              <w:left w:val="nil"/>
              <w:bottom w:val="single" w:sz="4" w:space="0" w:color="auto"/>
              <w:right w:val="single" w:sz="4" w:space="0" w:color="auto"/>
            </w:tcBorders>
            <w:noWrap/>
            <w:vAlign w:val="bottom"/>
            <w:hideMark/>
          </w:tcPr>
          <w:p w14:paraId="11F7D69C"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r>
    </w:tbl>
    <w:p w14:paraId="12266D1F" w14:textId="44306532" w:rsidR="00C82BCC" w:rsidRDefault="0074674B" w:rsidP="00C82BCC">
      <w:pPr>
        <w:autoSpaceDE w:val="0"/>
        <w:autoSpaceDN w:val="0"/>
        <w:adjustRightInd w:val="0"/>
        <w:spacing w:after="0" w:line="360" w:lineRule="auto"/>
        <w:rPr>
          <w:rFonts w:cs="Times New Roman"/>
          <w:szCs w:val="24"/>
        </w:rPr>
      </w:pPr>
      <w:r>
        <w:rPr>
          <w:rFonts w:cs="Times New Roman"/>
          <w:szCs w:val="24"/>
        </w:rPr>
        <w:t xml:space="preserve">      </w:t>
      </w:r>
      <w:r w:rsidR="00C82BCC">
        <w:rPr>
          <w:rFonts w:cs="Times New Roman"/>
          <w:szCs w:val="24"/>
        </w:rPr>
        <w:t>Medias con una letra común no son significativamente diferentes (p &gt; 0,05)</w:t>
      </w:r>
    </w:p>
    <w:p w14:paraId="4ABBA0AD" w14:textId="075B6FBC" w:rsidR="00253EF4" w:rsidRPr="00253EF4" w:rsidRDefault="00253EF4" w:rsidP="0074674B">
      <w:pPr>
        <w:pStyle w:val="Descripcin"/>
        <w:keepNext/>
        <w:spacing w:before="360"/>
        <w:rPr>
          <w:rFonts w:cs="Times New Roman"/>
          <w:i w:val="0"/>
          <w:iCs w:val="0"/>
          <w:color w:val="auto"/>
          <w:sz w:val="24"/>
          <w:szCs w:val="24"/>
          <w:lang w:eastAsia="en-US"/>
        </w:rPr>
      </w:pPr>
      <w:bookmarkStart w:id="2031" w:name="_Toc79314144"/>
      <w:r w:rsidRPr="00253EF4">
        <w:rPr>
          <w:rFonts w:cs="Times New Roman"/>
          <w:b/>
          <w:i w:val="0"/>
          <w:iCs w:val="0"/>
          <w:color w:val="auto"/>
          <w:sz w:val="24"/>
          <w:szCs w:val="24"/>
          <w:lang w:eastAsia="en-US"/>
        </w:rPr>
        <w:t xml:space="preserve">Cuadro </w:t>
      </w:r>
      <w:r w:rsidRPr="00253EF4">
        <w:rPr>
          <w:rFonts w:cs="Times New Roman"/>
          <w:b/>
          <w:i w:val="0"/>
          <w:iCs w:val="0"/>
          <w:color w:val="auto"/>
          <w:sz w:val="24"/>
          <w:szCs w:val="24"/>
          <w:lang w:eastAsia="en-US"/>
        </w:rPr>
        <w:fldChar w:fldCharType="begin"/>
      </w:r>
      <w:r w:rsidRPr="00253EF4">
        <w:rPr>
          <w:rFonts w:cs="Times New Roman"/>
          <w:b/>
          <w:i w:val="0"/>
          <w:iCs w:val="0"/>
          <w:color w:val="auto"/>
          <w:sz w:val="24"/>
          <w:szCs w:val="24"/>
          <w:lang w:eastAsia="en-US"/>
        </w:rPr>
        <w:instrText xml:space="preserve"> SEQ Cuadro \* ARABIC </w:instrText>
      </w:r>
      <w:r w:rsidRPr="00253EF4">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152</w:t>
      </w:r>
      <w:r w:rsidRPr="00253EF4">
        <w:rPr>
          <w:rFonts w:cs="Times New Roman"/>
          <w:b/>
          <w:i w:val="0"/>
          <w:iCs w:val="0"/>
          <w:color w:val="auto"/>
          <w:sz w:val="24"/>
          <w:szCs w:val="24"/>
          <w:lang w:eastAsia="en-US"/>
        </w:rPr>
        <w:fldChar w:fldCharType="end"/>
      </w:r>
      <w:r w:rsidRPr="00253EF4">
        <w:rPr>
          <w:rFonts w:cs="Times New Roman"/>
          <w:b/>
          <w:i w:val="0"/>
          <w:iCs w:val="0"/>
          <w:color w:val="auto"/>
          <w:sz w:val="24"/>
          <w:szCs w:val="24"/>
          <w:lang w:eastAsia="en-US"/>
        </w:rPr>
        <w:t xml:space="preserve">. </w:t>
      </w:r>
      <w:r w:rsidRPr="00253EF4">
        <w:rPr>
          <w:rFonts w:cs="Times New Roman"/>
          <w:i w:val="0"/>
          <w:iCs w:val="0"/>
          <w:color w:val="auto"/>
          <w:sz w:val="24"/>
          <w:szCs w:val="24"/>
          <w:lang w:eastAsia="en-US"/>
        </w:rPr>
        <w:t>Absorción total de nitrógeno de plantas de maíz suave para varias dosis de potasio evaluadas en las provincias de Bolívar, Chimborazo, Imbabura 2006-2015.</w:t>
      </w:r>
      <w:bookmarkEnd w:id="2031"/>
    </w:p>
    <w:tbl>
      <w:tblPr>
        <w:tblW w:w="6941" w:type="dxa"/>
        <w:jc w:val="center"/>
        <w:tblCellMar>
          <w:left w:w="70" w:type="dxa"/>
          <w:right w:w="70" w:type="dxa"/>
        </w:tblCellMar>
        <w:tblLook w:val="04A0" w:firstRow="1" w:lastRow="0" w:firstColumn="1" w:lastColumn="0" w:noHBand="0" w:noVBand="1"/>
      </w:tblPr>
      <w:tblGrid>
        <w:gridCol w:w="2227"/>
        <w:gridCol w:w="887"/>
        <w:gridCol w:w="709"/>
        <w:gridCol w:w="1701"/>
        <w:gridCol w:w="1417"/>
      </w:tblGrid>
      <w:tr w:rsidR="00C82BCC" w14:paraId="5F1E6612" w14:textId="77777777" w:rsidTr="0074674B">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749AF7CC"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782134BB"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09" w:type="dxa"/>
            <w:tcBorders>
              <w:top w:val="single" w:sz="4" w:space="0" w:color="auto"/>
              <w:left w:val="nil"/>
              <w:bottom w:val="single" w:sz="4" w:space="0" w:color="auto"/>
              <w:right w:val="single" w:sz="4" w:space="0" w:color="auto"/>
            </w:tcBorders>
            <w:noWrap/>
            <w:vAlign w:val="bottom"/>
            <w:hideMark/>
          </w:tcPr>
          <w:p w14:paraId="2CF0F23B"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701" w:type="dxa"/>
            <w:tcBorders>
              <w:top w:val="single" w:sz="4" w:space="0" w:color="auto"/>
              <w:left w:val="nil"/>
              <w:bottom w:val="single" w:sz="4" w:space="0" w:color="auto"/>
              <w:right w:val="single" w:sz="4" w:space="0" w:color="auto"/>
            </w:tcBorders>
            <w:noWrap/>
            <w:vAlign w:val="bottom"/>
            <w:hideMark/>
          </w:tcPr>
          <w:p w14:paraId="3289847F"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417" w:type="dxa"/>
            <w:tcBorders>
              <w:top w:val="single" w:sz="4" w:space="0" w:color="auto"/>
              <w:left w:val="nil"/>
              <w:bottom w:val="single" w:sz="4" w:space="0" w:color="auto"/>
              <w:right w:val="single" w:sz="4" w:space="0" w:color="auto"/>
            </w:tcBorders>
            <w:noWrap/>
            <w:vAlign w:val="bottom"/>
            <w:hideMark/>
          </w:tcPr>
          <w:p w14:paraId="60ACC56A"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Lsd 0,05</w:t>
            </w:r>
          </w:p>
        </w:tc>
      </w:tr>
      <w:tr w:rsidR="00C82BCC" w14:paraId="352A6CB1" w14:textId="77777777" w:rsidTr="0074674B">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C3EB654"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887" w:type="dxa"/>
            <w:tcBorders>
              <w:top w:val="nil"/>
              <w:left w:val="nil"/>
              <w:bottom w:val="single" w:sz="4" w:space="0" w:color="auto"/>
              <w:right w:val="single" w:sz="4" w:space="0" w:color="auto"/>
            </w:tcBorders>
            <w:noWrap/>
            <w:vAlign w:val="bottom"/>
            <w:hideMark/>
          </w:tcPr>
          <w:p w14:paraId="7CE57CAB"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85,24</w:t>
            </w:r>
          </w:p>
        </w:tc>
        <w:tc>
          <w:tcPr>
            <w:tcW w:w="709" w:type="dxa"/>
            <w:tcBorders>
              <w:top w:val="nil"/>
              <w:left w:val="nil"/>
              <w:bottom w:val="single" w:sz="4" w:space="0" w:color="auto"/>
              <w:right w:val="single" w:sz="4" w:space="0" w:color="auto"/>
            </w:tcBorders>
            <w:noWrap/>
            <w:vAlign w:val="bottom"/>
            <w:hideMark/>
          </w:tcPr>
          <w:p w14:paraId="0AECA941"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01" w:type="dxa"/>
            <w:tcBorders>
              <w:top w:val="nil"/>
              <w:left w:val="nil"/>
              <w:bottom w:val="single" w:sz="4" w:space="0" w:color="auto"/>
              <w:right w:val="single" w:sz="4" w:space="0" w:color="auto"/>
            </w:tcBorders>
            <w:noWrap/>
            <w:vAlign w:val="bottom"/>
            <w:hideMark/>
          </w:tcPr>
          <w:p w14:paraId="3425E34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36,39</w:t>
            </w:r>
          </w:p>
        </w:tc>
        <w:tc>
          <w:tcPr>
            <w:tcW w:w="1417" w:type="dxa"/>
            <w:tcBorders>
              <w:top w:val="nil"/>
              <w:left w:val="nil"/>
              <w:bottom w:val="single" w:sz="4" w:space="0" w:color="auto"/>
              <w:right w:val="single" w:sz="4" w:space="0" w:color="auto"/>
            </w:tcBorders>
            <w:noWrap/>
            <w:vAlign w:val="bottom"/>
            <w:hideMark/>
          </w:tcPr>
          <w:p w14:paraId="2C8CEB44"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A</w:t>
            </w:r>
          </w:p>
        </w:tc>
      </w:tr>
      <w:tr w:rsidR="00C82BCC" w14:paraId="79E3A116" w14:textId="77777777" w:rsidTr="0074674B">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379885BD"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714F696A"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91,93</w:t>
            </w:r>
          </w:p>
        </w:tc>
        <w:tc>
          <w:tcPr>
            <w:tcW w:w="709" w:type="dxa"/>
            <w:tcBorders>
              <w:top w:val="nil"/>
              <w:left w:val="nil"/>
              <w:bottom w:val="single" w:sz="4" w:space="0" w:color="auto"/>
              <w:right w:val="single" w:sz="4" w:space="0" w:color="auto"/>
            </w:tcBorders>
            <w:noWrap/>
            <w:vAlign w:val="bottom"/>
            <w:hideMark/>
          </w:tcPr>
          <w:p w14:paraId="0E8C0BD6"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w:t>
            </w:r>
          </w:p>
        </w:tc>
        <w:tc>
          <w:tcPr>
            <w:tcW w:w="1701" w:type="dxa"/>
            <w:tcBorders>
              <w:top w:val="nil"/>
              <w:left w:val="nil"/>
              <w:bottom w:val="single" w:sz="4" w:space="0" w:color="auto"/>
              <w:right w:val="single" w:sz="4" w:space="0" w:color="auto"/>
            </w:tcBorders>
            <w:noWrap/>
            <w:vAlign w:val="bottom"/>
            <w:hideMark/>
          </w:tcPr>
          <w:p w14:paraId="2DAEBBD4"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9,24</w:t>
            </w:r>
          </w:p>
        </w:tc>
        <w:tc>
          <w:tcPr>
            <w:tcW w:w="1417" w:type="dxa"/>
            <w:tcBorders>
              <w:top w:val="nil"/>
              <w:left w:val="nil"/>
              <w:bottom w:val="single" w:sz="4" w:space="0" w:color="auto"/>
              <w:right w:val="single" w:sz="4" w:space="0" w:color="auto"/>
            </w:tcBorders>
            <w:noWrap/>
            <w:vAlign w:val="bottom"/>
            <w:hideMark/>
          </w:tcPr>
          <w:p w14:paraId="23687881"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A</w:t>
            </w:r>
          </w:p>
        </w:tc>
      </w:tr>
      <w:tr w:rsidR="00C82BCC" w14:paraId="7556E249" w14:textId="77777777" w:rsidTr="0074674B">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CA7B9FC"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3996CF1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92,18</w:t>
            </w:r>
          </w:p>
        </w:tc>
        <w:tc>
          <w:tcPr>
            <w:tcW w:w="709" w:type="dxa"/>
            <w:tcBorders>
              <w:top w:val="nil"/>
              <w:left w:val="nil"/>
              <w:bottom w:val="single" w:sz="4" w:space="0" w:color="auto"/>
              <w:right w:val="single" w:sz="4" w:space="0" w:color="auto"/>
            </w:tcBorders>
            <w:noWrap/>
            <w:vAlign w:val="bottom"/>
            <w:hideMark/>
          </w:tcPr>
          <w:p w14:paraId="69937753"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701" w:type="dxa"/>
            <w:tcBorders>
              <w:top w:val="nil"/>
              <w:left w:val="nil"/>
              <w:bottom w:val="single" w:sz="4" w:space="0" w:color="auto"/>
              <w:right w:val="single" w:sz="4" w:space="0" w:color="auto"/>
            </w:tcBorders>
            <w:noWrap/>
            <w:vAlign w:val="bottom"/>
            <w:hideMark/>
          </w:tcPr>
          <w:p w14:paraId="5955A06A"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14,86</w:t>
            </w:r>
          </w:p>
        </w:tc>
        <w:tc>
          <w:tcPr>
            <w:tcW w:w="1417" w:type="dxa"/>
            <w:tcBorders>
              <w:top w:val="nil"/>
              <w:left w:val="nil"/>
              <w:bottom w:val="single" w:sz="4" w:space="0" w:color="auto"/>
              <w:right w:val="single" w:sz="4" w:space="0" w:color="auto"/>
            </w:tcBorders>
            <w:noWrap/>
            <w:vAlign w:val="bottom"/>
            <w:hideMark/>
          </w:tcPr>
          <w:p w14:paraId="44F7E69D"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A</w:t>
            </w:r>
          </w:p>
        </w:tc>
      </w:tr>
      <w:tr w:rsidR="00C82BCC" w14:paraId="2569F0E9" w14:textId="77777777" w:rsidTr="0074674B">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133EEC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605BFD44"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104,27</w:t>
            </w:r>
          </w:p>
        </w:tc>
        <w:tc>
          <w:tcPr>
            <w:tcW w:w="709" w:type="dxa"/>
            <w:tcBorders>
              <w:top w:val="nil"/>
              <w:left w:val="nil"/>
              <w:bottom w:val="single" w:sz="4" w:space="0" w:color="auto"/>
              <w:right w:val="single" w:sz="4" w:space="0" w:color="auto"/>
            </w:tcBorders>
            <w:noWrap/>
            <w:vAlign w:val="bottom"/>
            <w:hideMark/>
          </w:tcPr>
          <w:p w14:paraId="441003A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01" w:type="dxa"/>
            <w:tcBorders>
              <w:top w:val="nil"/>
              <w:left w:val="nil"/>
              <w:bottom w:val="single" w:sz="4" w:space="0" w:color="auto"/>
              <w:right w:val="single" w:sz="4" w:space="0" w:color="auto"/>
            </w:tcBorders>
            <w:noWrap/>
            <w:vAlign w:val="bottom"/>
            <w:hideMark/>
          </w:tcPr>
          <w:p w14:paraId="3568F15D"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36,39</w:t>
            </w:r>
          </w:p>
        </w:tc>
        <w:tc>
          <w:tcPr>
            <w:tcW w:w="1417" w:type="dxa"/>
            <w:tcBorders>
              <w:top w:val="nil"/>
              <w:left w:val="nil"/>
              <w:bottom w:val="single" w:sz="4" w:space="0" w:color="auto"/>
              <w:right w:val="single" w:sz="4" w:space="0" w:color="auto"/>
            </w:tcBorders>
            <w:noWrap/>
            <w:vAlign w:val="bottom"/>
            <w:hideMark/>
          </w:tcPr>
          <w:p w14:paraId="16005282"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A</w:t>
            </w:r>
          </w:p>
        </w:tc>
      </w:tr>
      <w:tr w:rsidR="00C82BCC" w14:paraId="15A0D20A" w14:textId="77777777" w:rsidTr="0074674B">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6C4BF083"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3856B193"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113,03</w:t>
            </w:r>
          </w:p>
        </w:tc>
        <w:tc>
          <w:tcPr>
            <w:tcW w:w="709" w:type="dxa"/>
            <w:tcBorders>
              <w:top w:val="nil"/>
              <w:left w:val="nil"/>
              <w:bottom w:val="single" w:sz="4" w:space="0" w:color="auto"/>
              <w:right w:val="single" w:sz="4" w:space="0" w:color="auto"/>
            </w:tcBorders>
            <w:noWrap/>
            <w:vAlign w:val="bottom"/>
            <w:hideMark/>
          </w:tcPr>
          <w:p w14:paraId="70E7221A"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701" w:type="dxa"/>
            <w:tcBorders>
              <w:top w:val="nil"/>
              <w:left w:val="nil"/>
              <w:bottom w:val="single" w:sz="4" w:space="0" w:color="auto"/>
              <w:right w:val="single" w:sz="4" w:space="0" w:color="auto"/>
            </w:tcBorders>
            <w:noWrap/>
            <w:vAlign w:val="bottom"/>
            <w:hideMark/>
          </w:tcPr>
          <w:p w14:paraId="6E142725"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10,57</w:t>
            </w:r>
          </w:p>
        </w:tc>
        <w:tc>
          <w:tcPr>
            <w:tcW w:w="1417" w:type="dxa"/>
            <w:tcBorders>
              <w:top w:val="nil"/>
              <w:left w:val="nil"/>
              <w:bottom w:val="single" w:sz="4" w:space="0" w:color="auto"/>
              <w:right w:val="single" w:sz="4" w:space="0" w:color="auto"/>
            </w:tcBorders>
            <w:noWrap/>
            <w:vAlign w:val="bottom"/>
            <w:hideMark/>
          </w:tcPr>
          <w:p w14:paraId="162E9F45"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A</w:t>
            </w:r>
          </w:p>
        </w:tc>
      </w:tr>
      <w:tr w:rsidR="00C82BCC" w14:paraId="559C1416" w14:textId="77777777" w:rsidTr="0074674B">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55A69768"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730B5F73"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127,07</w:t>
            </w:r>
          </w:p>
        </w:tc>
        <w:tc>
          <w:tcPr>
            <w:tcW w:w="709" w:type="dxa"/>
            <w:tcBorders>
              <w:top w:val="nil"/>
              <w:left w:val="nil"/>
              <w:bottom w:val="single" w:sz="4" w:space="0" w:color="auto"/>
              <w:right w:val="single" w:sz="4" w:space="0" w:color="auto"/>
            </w:tcBorders>
            <w:noWrap/>
            <w:vAlign w:val="bottom"/>
            <w:hideMark/>
          </w:tcPr>
          <w:p w14:paraId="1659A37C"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701" w:type="dxa"/>
            <w:tcBorders>
              <w:top w:val="nil"/>
              <w:left w:val="nil"/>
              <w:bottom w:val="single" w:sz="4" w:space="0" w:color="auto"/>
              <w:right w:val="single" w:sz="4" w:space="0" w:color="auto"/>
            </w:tcBorders>
            <w:noWrap/>
            <w:vAlign w:val="bottom"/>
            <w:hideMark/>
          </w:tcPr>
          <w:p w14:paraId="07E18452"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5,02</w:t>
            </w:r>
          </w:p>
        </w:tc>
        <w:tc>
          <w:tcPr>
            <w:tcW w:w="1417" w:type="dxa"/>
            <w:tcBorders>
              <w:top w:val="nil"/>
              <w:left w:val="nil"/>
              <w:bottom w:val="single" w:sz="4" w:space="0" w:color="auto"/>
              <w:right w:val="single" w:sz="4" w:space="0" w:color="auto"/>
            </w:tcBorders>
            <w:noWrap/>
            <w:vAlign w:val="bottom"/>
            <w:hideMark/>
          </w:tcPr>
          <w:p w14:paraId="719E0112"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A</w:t>
            </w:r>
          </w:p>
        </w:tc>
      </w:tr>
      <w:tr w:rsidR="00C82BCC" w14:paraId="15B07D7C" w14:textId="77777777" w:rsidTr="0074674B">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5FBB7645"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35B50C95"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147,36</w:t>
            </w:r>
          </w:p>
        </w:tc>
        <w:tc>
          <w:tcPr>
            <w:tcW w:w="709" w:type="dxa"/>
            <w:tcBorders>
              <w:top w:val="nil"/>
              <w:left w:val="nil"/>
              <w:bottom w:val="single" w:sz="4" w:space="0" w:color="auto"/>
              <w:right w:val="single" w:sz="4" w:space="0" w:color="auto"/>
            </w:tcBorders>
            <w:noWrap/>
            <w:vAlign w:val="bottom"/>
            <w:hideMark/>
          </w:tcPr>
          <w:p w14:paraId="7DB08FF5"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w:t>
            </w:r>
          </w:p>
        </w:tc>
        <w:tc>
          <w:tcPr>
            <w:tcW w:w="1701" w:type="dxa"/>
            <w:tcBorders>
              <w:top w:val="nil"/>
              <w:left w:val="nil"/>
              <w:bottom w:val="single" w:sz="4" w:space="0" w:color="auto"/>
              <w:right w:val="single" w:sz="4" w:space="0" w:color="auto"/>
            </w:tcBorders>
            <w:noWrap/>
            <w:vAlign w:val="bottom"/>
            <w:hideMark/>
          </w:tcPr>
          <w:p w14:paraId="798FB66B"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5,93</w:t>
            </w:r>
          </w:p>
        </w:tc>
        <w:tc>
          <w:tcPr>
            <w:tcW w:w="1417" w:type="dxa"/>
            <w:tcBorders>
              <w:top w:val="nil"/>
              <w:left w:val="nil"/>
              <w:bottom w:val="single" w:sz="4" w:space="0" w:color="auto"/>
              <w:right w:val="single" w:sz="4" w:space="0" w:color="auto"/>
            </w:tcBorders>
            <w:noWrap/>
            <w:vAlign w:val="bottom"/>
            <w:hideMark/>
          </w:tcPr>
          <w:p w14:paraId="19561000"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A</w:t>
            </w:r>
          </w:p>
        </w:tc>
      </w:tr>
      <w:tr w:rsidR="00C82BCC" w14:paraId="44C8F2CE" w14:textId="77777777" w:rsidTr="0074674B">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ECABB5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3281C269"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148,17</w:t>
            </w:r>
          </w:p>
        </w:tc>
        <w:tc>
          <w:tcPr>
            <w:tcW w:w="709" w:type="dxa"/>
            <w:tcBorders>
              <w:top w:val="nil"/>
              <w:left w:val="nil"/>
              <w:bottom w:val="single" w:sz="4" w:space="0" w:color="auto"/>
              <w:right w:val="single" w:sz="4" w:space="0" w:color="auto"/>
            </w:tcBorders>
            <w:noWrap/>
            <w:vAlign w:val="bottom"/>
            <w:hideMark/>
          </w:tcPr>
          <w:p w14:paraId="370C0CC3"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w:t>
            </w:r>
          </w:p>
        </w:tc>
        <w:tc>
          <w:tcPr>
            <w:tcW w:w="1701" w:type="dxa"/>
            <w:tcBorders>
              <w:top w:val="nil"/>
              <w:left w:val="nil"/>
              <w:bottom w:val="single" w:sz="4" w:space="0" w:color="auto"/>
              <w:right w:val="single" w:sz="4" w:space="0" w:color="auto"/>
            </w:tcBorders>
            <w:noWrap/>
            <w:vAlign w:val="bottom"/>
            <w:hideMark/>
          </w:tcPr>
          <w:p w14:paraId="64526DC7"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w:t>
            </w:r>
          </w:p>
        </w:tc>
        <w:tc>
          <w:tcPr>
            <w:tcW w:w="1417" w:type="dxa"/>
            <w:tcBorders>
              <w:top w:val="nil"/>
              <w:left w:val="nil"/>
              <w:bottom w:val="single" w:sz="4" w:space="0" w:color="auto"/>
              <w:right w:val="single" w:sz="4" w:space="0" w:color="auto"/>
            </w:tcBorders>
            <w:noWrap/>
            <w:vAlign w:val="bottom"/>
            <w:hideMark/>
          </w:tcPr>
          <w:p w14:paraId="494A5C6F" w14:textId="77777777" w:rsidR="00C82BCC" w:rsidRDefault="00C82BCC" w:rsidP="0074674B">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A</w:t>
            </w:r>
          </w:p>
        </w:tc>
      </w:tr>
    </w:tbl>
    <w:p w14:paraId="6C179290" w14:textId="335B462A" w:rsidR="00C82BCC" w:rsidRDefault="0074674B" w:rsidP="00253EF4">
      <w:pPr>
        <w:autoSpaceDE w:val="0"/>
        <w:autoSpaceDN w:val="0"/>
        <w:adjustRightInd w:val="0"/>
        <w:spacing w:after="360" w:line="360" w:lineRule="auto"/>
        <w:rPr>
          <w:rFonts w:cs="Times New Roman"/>
          <w:szCs w:val="24"/>
        </w:rPr>
      </w:pPr>
      <w:r>
        <w:rPr>
          <w:rFonts w:cs="Times New Roman"/>
          <w:szCs w:val="24"/>
        </w:rPr>
        <w:t xml:space="preserve">        </w:t>
      </w:r>
      <w:r w:rsidR="00C82BCC">
        <w:rPr>
          <w:rFonts w:cs="Times New Roman"/>
          <w:szCs w:val="24"/>
        </w:rPr>
        <w:t>Medias con una letra común no son significativamente diferentes (p &gt; 0,05)</w:t>
      </w:r>
    </w:p>
    <w:p w14:paraId="745FABE6" w14:textId="3E67371D" w:rsidR="00253EF4" w:rsidRPr="00253EF4" w:rsidRDefault="00253EF4" w:rsidP="0074674B">
      <w:pPr>
        <w:pStyle w:val="Descripcin"/>
        <w:keepNext/>
        <w:spacing w:before="360"/>
        <w:rPr>
          <w:rFonts w:cs="Times New Roman"/>
          <w:i w:val="0"/>
          <w:iCs w:val="0"/>
          <w:color w:val="auto"/>
          <w:sz w:val="24"/>
          <w:szCs w:val="24"/>
          <w:lang w:eastAsia="en-US"/>
        </w:rPr>
      </w:pPr>
      <w:bookmarkStart w:id="2032" w:name="_Toc79314145"/>
      <w:r w:rsidRPr="00253EF4">
        <w:rPr>
          <w:rFonts w:cs="Times New Roman"/>
          <w:b/>
          <w:i w:val="0"/>
          <w:iCs w:val="0"/>
          <w:color w:val="auto"/>
          <w:sz w:val="24"/>
          <w:szCs w:val="24"/>
          <w:lang w:eastAsia="en-US"/>
        </w:rPr>
        <w:t xml:space="preserve">Cuadro </w:t>
      </w:r>
      <w:r w:rsidRPr="00253EF4">
        <w:rPr>
          <w:rFonts w:cs="Times New Roman"/>
          <w:b/>
          <w:i w:val="0"/>
          <w:iCs w:val="0"/>
          <w:color w:val="auto"/>
          <w:sz w:val="24"/>
          <w:szCs w:val="24"/>
          <w:lang w:eastAsia="en-US"/>
        </w:rPr>
        <w:fldChar w:fldCharType="begin"/>
      </w:r>
      <w:r w:rsidRPr="00253EF4">
        <w:rPr>
          <w:rFonts w:cs="Times New Roman"/>
          <w:b/>
          <w:i w:val="0"/>
          <w:iCs w:val="0"/>
          <w:color w:val="auto"/>
          <w:sz w:val="24"/>
          <w:szCs w:val="24"/>
          <w:lang w:eastAsia="en-US"/>
        </w:rPr>
        <w:instrText xml:space="preserve"> SEQ Cuadro \* ARABIC </w:instrText>
      </w:r>
      <w:r w:rsidRPr="00253EF4">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153</w:t>
      </w:r>
      <w:r w:rsidRPr="00253EF4">
        <w:rPr>
          <w:rFonts w:cs="Times New Roman"/>
          <w:b/>
          <w:i w:val="0"/>
          <w:iCs w:val="0"/>
          <w:color w:val="auto"/>
          <w:sz w:val="24"/>
          <w:szCs w:val="24"/>
          <w:lang w:eastAsia="en-US"/>
        </w:rPr>
        <w:fldChar w:fldCharType="end"/>
      </w:r>
      <w:r w:rsidRPr="00253EF4">
        <w:rPr>
          <w:rFonts w:cs="Times New Roman"/>
          <w:b/>
          <w:i w:val="0"/>
          <w:iCs w:val="0"/>
          <w:color w:val="auto"/>
          <w:sz w:val="24"/>
          <w:szCs w:val="24"/>
          <w:lang w:eastAsia="en-US"/>
        </w:rPr>
        <w:t>.</w:t>
      </w:r>
      <w:r w:rsidRPr="00253EF4">
        <w:rPr>
          <w:rFonts w:cs="Times New Roman"/>
          <w:i w:val="0"/>
          <w:iCs w:val="0"/>
          <w:color w:val="auto"/>
          <w:sz w:val="24"/>
          <w:szCs w:val="24"/>
          <w:lang w:eastAsia="en-US"/>
        </w:rPr>
        <w:t xml:space="preserve"> Absorción total de nitrógeno de plantas de maíz suave para varias dosis de azufre evaluadas en las provincias de Bolívar, Chimborazo, Imbabura 2006-2015.</w:t>
      </w:r>
      <w:bookmarkEnd w:id="2032"/>
    </w:p>
    <w:tbl>
      <w:tblPr>
        <w:tblW w:w="5000" w:type="pct"/>
        <w:tblCellMar>
          <w:left w:w="70" w:type="dxa"/>
          <w:right w:w="70" w:type="dxa"/>
        </w:tblCellMar>
        <w:tblLook w:val="04A0" w:firstRow="1" w:lastRow="0" w:firstColumn="1" w:lastColumn="0" w:noHBand="0" w:noVBand="1"/>
      </w:tblPr>
      <w:tblGrid>
        <w:gridCol w:w="1843"/>
        <w:gridCol w:w="887"/>
        <w:gridCol w:w="488"/>
        <w:gridCol w:w="2074"/>
        <w:gridCol w:w="314"/>
        <w:gridCol w:w="642"/>
        <w:gridCol w:w="907"/>
        <w:gridCol w:w="772"/>
      </w:tblGrid>
      <w:tr w:rsidR="0074674B" w14:paraId="01471A5E" w14:textId="77777777" w:rsidTr="0074674B">
        <w:trPr>
          <w:trHeight w:val="300"/>
        </w:trPr>
        <w:tc>
          <w:tcPr>
            <w:tcW w:w="1162" w:type="pct"/>
            <w:tcBorders>
              <w:top w:val="single" w:sz="4" w:space="0" w:color="auto"/>
              <w:left w:val="single" w:sz="4" w:space="0" w:color="auto"/>
              <w:bottom w:val="single" w:sz="4" w:space="0" w:color="auto"/>
              <w:right w:val="single" w:sz="4" w:space="0" w:color="auto"/>
            </w:tcBorders>
            <w:noWrap/>
            <w:vAlign w:val="bottom"/>
            <w:hideMark/>
          </w:tcPr>
          <w:p w14:paraId="4A6D114A" w14:textId="77777777" w:rsidR="0074674B" w:rsidRDefault="0074674B"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59" w:type="pct"/>
            <w:tcBorders>
              <w:top w:val="single" w:sz="4" w:space="0" w:color="auto"/>
              <w:left w:val="nil"/>
              <w:bottom w:val="single" w:sz="4" w:space="0" w:color="auto"/>
              <w:right w:val="single" w:sz="4" w:space="0" w:color="auto"/>
            </w:tcBorders>
            <w:noWrap/>
            <w:vAlign w:val="bottom"/>
            <w:hideMark/>
          </w:tcPr>
          <w:p w14:paraId="553D1541" w14:textId="77777777" w:rsidR="0074674B" w:rsidRDefault="0074674B"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308" w:type="pct"/>
            <w:tcBorders>
              <w:top w:val="single" w:sz="4" w:space="0" w:color="auto"/>
              <w:left w:val="nil"/>
              <w:bottom w:val="single" w:sz="4" w:space="0" w:color="auto"/>
              <w:right w:val="single" w:sz="4" w:space="0" w:color="auto"/>
            </w:tcBorders>
            <w:noWrap/>
            <w:vAlign w:val="bottom"/>
            <w:hideMark/>
          </w:tcPr>
          <w:p w14:paraId="2365427F" w14:textId="77777777" w:rsidR="0074674B" w:rsidRDefault="0074674B"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308" w:type="pct"/>
            <w:tcBorders>
              <w:top w:val="single" w:sz="4" w:space="0" w:color="auto"/>
              <w:left w:val="nil"/>
              <w:bottom w:val="single" w:sz="4" w:space="0" w:color="auto"/>
              <w:right w:val="single" w:sz="4" w:space="0" w:color="auto"/>
            </w:tcBorders>
            <w:noWrap/>
            <w:vAlign w:val="bottom"/>
            <w:hideMark/>
          </w:tcPr>
          <w:p w14:paraId="7EB4BA7B" w14:textId="77777777" w:rsidR="0074674B" w:rsidRDefault="0074674B"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662" w:type="pct"/>
            <w:gridSpan w:val="4"/>
            <w:tcBorders>
              <w:top w:val="single" w:sz="4" w:space="0" w:color="auto"/>
              <w:left w:val="single" w:sz="4" w:space="0" w:color="auto"/>
              <w:bottom w:val="single" w:sz="4" w:space="0" w:color="auto"/>
              <w:right w:val="single" w:sz="4" w:space="0" w:color="auto"/>
            </w:tcBorders>
            <w:noWrap/>
            <w:vAlign w:val="bottom"/>
            <w:hideMark/>
          </w:tcPr>
          <w:p w14:paraId="1E2EB79F" w14:textId="43C0CDCB" w:rsidR="0074674B" w:rsidRDefault="0074674B"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Lsd 0,05</w:t>
            </w:r>
          </w:p>
        </w:tc>
      </w:tr>
      <w:tr w:rsidR="00C82BCC" w14:paraId="15B2EBCD" w14:textId="77777777" w:rsidTr="0074674B">
        <w:trPr>
          <w:trHeight w:val="300"/>
        </w:trPr>
        <w:tc>
          <w:tcPr>
            <w:tcW w:w="1162" w:type="pct"/>
            <w:tcBorders>
              <w:top w:val="nil"/>
              <w:left w:val="single" w:sz="4" w:space="0" w:color="auto"/>
              <w:bottom w:val="single" w:sz="4" w:space="0" w:color="auto"/>
              <w:right w:val="single" w:sz="4" w:space="0" w:color="auto"/>
            </w:tcBorders>
            <w:noWrap/>
            <w:vAlign w:val="bottom"/>
            <w:hideMark/>
          </w:tcPr>
          <w:p w14:paraId="1FCB4631"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16</w:t>
            </w:r>
          </w:p>
        </w:tc>
        <w:tc>
          <w:tcPr>
            <w:tcW w:w="559" w:type="pct"/>
            <w:tcBorders>
              <w:top w:val="nil"/>
              <w:left w:val="nil"/>
              <w:bottom w:val="single" w:sz="4" w:space="0" w:color="auto"/>
              <w:right w:val="single" w:sz="4" w:space="0" w:color="auto"/>
            </w:tcBorders>
            <w:noWrap/>
            <w:vAlign w:val="bottom"/>
            <w:hideMark/>
          </w:tcPr>
          <w:p w14:paraId="54508890"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64,32</w:t>
            </w:r>
          </w:p>
        </w:tc>
        <w:tc>
          <w:tcPr>
            <w:tcW w:w="308" w:type="pct"/>
            <w:tcBorders>
              <w:top w:val="nil"/>
              <w:left w:val="nil"/>
              <w:bottom w:val="single" w:sz="4" w:space="0" w:color="auto"/>
              <w:right w:val="single" w:sz="4" w:space="0" w:color="auto"/>
            </w:tcBorders>
            <w:noWrap/>
            <w:vAlign w:val="bottom"/>
            <w:hideMark/>
          </w:tcPr>
          <w:p w14:paraId="3093DB96"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w:t>
            </w:r>
          </w:p>
        </w:tc>
        <w:tc>
          <w:tcPr>
            <w:tcW w:w="1308" w:type="pct"/>
            <w:tcBorders>
              <w:top w:val="nil"/>
              <w:left w:val="nil"/>
              <w:bottom w:val="single" w:sz="4" w:space="0" w:color="auto"/>
              <w:right w:val="single" w:sz="4" w:space="0" w:color="auto"/>
            </w:tcBorders>
            <w:noWrap/>
            <w:vAlign w:val="bottom"/>
            <w:hideMark/>
          </w:tcPr>
          <w:p w14:paraId="335BCE6D"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16,28</w:t>
            </w:r>
          </w:p>
        </w:tc>
        <w:tc>
          <w:tcPr>
            <w:tcW w:w="198" w:type="pct"/>
            <w:tcBorders>
              <w:top w:val="single" w:sz="4" w:space="0" w:color="auto"/>
              <w:left w:val="nil"/>
              <w:bottom w:val="single" w:sz="4" w:space="0" w:color="auto"/>
              <w:right w:val="single" w:sz="4" w:space="0" w:color="auto"/>
            </w:tcBorders>
            <w:noWrap/>
            <w:vAlign w:val="bottom"/>
            <w:hideMark/>
          </w:tcPr>
          <w:p w14:paraId="640B09A1"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405" w:type="pct"/>
            <w:tcBorders>
              <w:top w:val="single" w:sz="4" w:space="0" w:color="auto"/>
              <w:left w:val="nil"/>
              <w:bottom w:val="single" w:sz="4" w:space="0" w:color="auto"/>
              <w:right w:val="single" w:sz="4" w:space="0" w:color="auto"/>
            </w:tcBorders>
            <w:noWrap/>
            <w:vAlign w:val="bottom"/>
            <w:hideMark/>
          </w:tcPr>
          <w:p w14:paraId="167D641F" w14:textId="610486FC" w:rsidR="00C82BCC" w:rsidRPr="0074674B" w:rsidRDefault="00C82BCC" w:rsidP="0074674B">
            <w:pPr>
              <w:pStyle w:val="Sinespaciado"/>
              <w:jc w:val="center"/>
              <w:rPr>
                <w:rFonts w:ascii="Times New Roman" w:hAnsi="Times New Roman" w:cs="Times New Roman"/>
                <w:sz w:val="24"/>
                <w:szCs w:val="24"/>
                <w:lang w:eastAsia="es-EC"/>
              </w:rPr>
            </w:pPr>
          </w:p>
        </w:tc>
        <w:tc>
          <w:tcPr>
            <w:tcW w:w="572" w:type="pct"/>
            <w:tcBorders>
              <w:top w:val="single" w:sz="4" w:space="0" w:color="auto"/>
              <w:left w:val="nil"/>
              <w:bottom w:val="single" w:sz="4" w:space="0" w:color="auto"/>
              <w:right w:val="single" w:sz="4" w:space="0" w:color="auto"/>
            </w:tcBorders>
            <w:noWrap/>
            <w:vAlign w:val="bottom"/>
            <w:hideMark/>
          </w:tcPr>
          <w:p w14:paraId="6376ABB0"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487" w:type="pct"/>
            <w:tcBorders>
              <w:top w:val="single" w:sz="4" w:space="0" w:color="auto"/>
              <w:left w:val="nil"/>
              <w:bottom w:val="single" w:sz="4" w:space="0" w:color="auto"/>
              <w:right w:val="single" w:sz="4" w:space="0" w:color="auto"/>
            </w:tcBorders>
            <w:noWrap/>
            <w:vAlign w:val="bottom"/>
            <w:hideMark/>
          </w:tcPr>
          <w:p w14:paraId="5AA56224"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1F8CAFA2" w14:textId="77777777" w:rsidTr="0074674B">
        <w:trPr>
          <w:trHeight w:val="300"/>
        </w:trPr>
        <w:tc>
          <w:tcPr>
            <w:tcW w:w="1162" w:type="pct"/>
            <w:tcBorders>
              <w:top w:val="nil"/>
              <w:left w:val="single" w:sz="4" w:space="0" w:color="auto"/>
              <w:bottom w:val="single" w:sz="4" w:space="0" w:color="auto"/>
              <w:right w:val="single" w:sz="4" w:space="0" w:color="auto"/>
            </w:tcBorders>
            <w:noWrap/>
            <w:vAlign w:val="bottom"/>
            <w:hideMark/>
          </w:tcPr>
          <w:p w14:paraId="0C0CE07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40</w:t>
            </w:r>
          </w:p>
        </w:tc>
        <w:tc>
          <w:tcPr>
            <w:tcW w:w="559" w:type="pct"/>
            <w:tcBorders>
              <w:top w:val="nil"/>
              <w:left w:val="nil"/>
              <w:bottom w:val="single" w:sz="4" w:space="0" w:color="auto"/>
              <w:right w:val="single" w:sz="4" w:space="0" w:color="auto"/>
            </w:tcBorders>
            <w:noWrap/>
            <w:vAlign w:val="bottom"/>
            <w:hideMark/>
          </w:tcPr>
          <w:p w14:paraId="650B98D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101,32</w:t>
            </w:r>
          </w:p>
        </w:tc>
        <w:tc>
          <w:tcPr>
            <w:tcW w:w="308" w:type="pct"/>
            <w:tcBorders>
              <w:top w:val="nil"/>
              <w:left w:val="nil"/>
              <w:bottom w:val="single" w:sz="4" w:space="0" w:color="auto"/>
              <w:right w:val="single" w:sz="4" w:space="0" w:color="auto"/>
            </w:tcBorders>
            <w:noWrap/>
            <w:vAlign w:val="bottom"/>
            <w:hideMark/>
          </w:tcPr>
          <w:p w14:paraId="08F3034A"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42</w:t>
            </w:r>
          </w:p>
        </w:tc>
        <w:tc>
          <w:tcPr>
            <w:tcW w:w="1308" w:type="pct"/>
            <w:tcBorders>
              <w:top w:val="nil"/>
              <w:left w:val="nil"/>
              <w:bottom w:val="single" w:sz="4" w:space="0" w:color="auto"/>
              <w:right w:val="single" w:sz="4" w:space="0" w:color="auto"/>
            </w:tcBorders>
            <w:noWrap/>
            <w:vAlign w:val="bottom"/>
            <w:hideMark/>
          </w:tcPr>
          <w:p w14:paraId="6DD1F48A"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6,01</w:t>
            </w:r>
          </w:p>
        </w:tc>
        <w:tc>
          <w:tcPr>
            <w:tcW w:w="198" w:type="pct"/>
            <w:tcBorders>
              <w:top w:val="nil"/>
              <w:left w:val="nil"/>
              <w:bottom w:val="single" w:sz="4" w:space="0" w:color="auto"/>
              <w:right w:val="single" w:sz="4" w:space="0" w:color="auto"/>
            </w:tcBorders>
            <w:noWrap/>
            <w:vAlign w:val="bottom"/>
            <w:hideMark/>
          </w:tcPr>
          <w:p w14:paraId="2A9F36FD"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405" w:type="pct"/>
            <w:tcBorders>
              <w:top w:val="nil"/>
              <w:left w:val="nil"/>
              <w:bottom w:val="single" w:sz="4" w:space="0" w:color="auto"/>
              <w:right w:val="single" w:sz="4" w:space="0" w:color="auto"/>
            </w:tcBorders>
            <w:noWrap/>
            <w:vAlign w:val="bottom"/>
            <w:hideMark/>
          </w:tcPr>
          <w:p w14:paraId="390D4E4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B</w:t>
            </w:r>
          </w:p>
        </w:tc>
        <w:tc>
          <w:tcPr>
            <w:tcW w:w="572" w:type="pct"/>
            <w:tcBorders>
              <w:top w:val="nil"/>
              <w:left w:val="nil"/>
              <w:bottom w:val="single" w:sz="4" w:space="0" w:color="auto"/>
              <w:right w:val="single" w:sz="4" w:space="0" w:color="auto"/>
            </w:tcBorders>
            <w:noWrap/>
            <w:vAlign w:val="bottom"/>
            <w:hideMark/>
          </w:tcPr>
          <w:p w14:paraId="4E80760C"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487" w:type="pct"/>
            <w:tcBorders>
              <w:top w:val="nil"/>
              <w:left w:val="nil"/>
              <w:bottom w:val="single" w:sz="4" w:space="0" w:color="auto"/>
              <w:right w:val="single" w:sz="4" w:space="0" w:color="auto"/>
            </w:tcBorders>
            <w:noWrap/>
            <w:vAlign w:val="bottom"/>
            <w:hideMark/>
          </w:tcPr>
          <w:p w14:paraId="313D810D"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6E5FD2F4" w14:textId="77777777" w:rsidTr="0074674B">
        <w:trPr>
          <w:trHeight w:val="300"/>
        </w:trPr>
        <w:tc>
          <w:tcPr>
            <w:tcW w:w="1162" w:type="pct"/>
            <w:tcBorders>
              <w:top w:val="nil"/>
              <w:left w:val="single" w:sz="4" w:space="0" w:color="auto"/>
              <w:bottom w:val="single" w:sz="4" w:space="0" w:color="auto"/>
              <w:right w:val="single" w:sz="4" w:space="0" w:color="auto"/>
            </w:tcBorders>
            <w:noWrap/>
            <w:vAlign w:val="bottom"/>
            <w:hideMark/>
          </w:tcPr>
          <w:p w14:paraId="733AA082"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20</w:t>
            </w:r>
          </w:p>
        </w:tc>
        <w:tc>
          <w:tcPr>
            <w:tcW w:w="559" w:type="pct"/>
            <w:tcBorders>
              <w:top w:val="nil"/>
              <w:left w:val="nil"/>
              <w:bottom w:val="single" w:sz="4" w:space="0" w:color="auto"/>
              <w:right w:val="single" w:sz="4" w:space="0" w:color="auto"/>
            </w:tcBorders>
            <w:noWrap/>
            <w:vAlign w:val="bottom"/>
            <w:hideMark/>
          </w:tcPr>
          <w:p w14:paraId="2B2C801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120,58</w:t>
            </w:r>
          </w:p>
        </w:tc>
        <w:tc>
          <w:tcPr>
            <w:tcW w:w="308" w:type="pct"/>
            <w:tcBorders>
              <w:top w:val="nil"/>
              <w:left w:val="nil"/>
              <w:bottom w:val="single" w:sz="4" w:space="0" w:color="auto"/>
              <w:right w:val="single" w:sz="4" w:space="0" w:color="auto"/>
            </w:tcBorders>
            <w:noWrap/>
            <w:vAlign w:val="bottom"/>
            <w:hideMark/>
          </w:tcPr>
          <w:p w14:paraId="653A6BFC"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76</w:t>
            </w:r>
          </w:p>
        </w:tc>
        <w:tc>
          <w:tcPr>
            <w:tcW w:w="1308" w:type="pct"/>
            <w:tcBorders>
              <w:top w:val="nil"/>
              <w:left w:val="nil"/>
              <w:bottom w:val="single" w:sz="4" w:space="0" w:color="auto"/>
              <w:right w:val="single" w:sz="4" w:space="0" w:color="auto"/>
            </w:tcBorders>
            <w:noWrap/>
            <w:vAlign w:val="bottom"/>
            <w:hideMark/>
          </w:tcPr>
          <w:p w14:paraId="0D4D91E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5,84</w:t>
            </w:r>
          </w:p>
        </w:tc>
        <w:tc>
          <w:tcPr>
            <w:tcW w:w="198" w:type="pct"/>
            <w:tcBorders>
              <w:top w:val="nil"/>
              <w:left w:val="nil"/>
              <w:bottom w:val="single" w:sz="4" w:space="0" w:color="auto"/>
              <w:right w:val="single" w:sz="4" w:space="0" w:color="auto"/>
            </w:tcBorders>
            <w:noWrap/>
            <w:vAlign w:val="bottom"/>
            <w:hideMark/>
          </w:tcPr>
          <w:p w14:paraId="73E2AE84"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405" w:type="pct"/>
            <w:tcBorders>
              <w:top w:val="nil"/>
              <w:left w:val="nil"/>
              <w:bottom w:val="single" w:sz="4" w:space="0" w:color="auto"/>
              <w:right w:val="single" w:sz="4" w:space="0" w:color="auto"/>
            </w:tcBorders>
            <w:noWrap/>
            <w:vAlign w:val="bottom"/>
            <w:hideMark/>
          </w:tcPr>
          <w:p w14:paraId="5A4E0439"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572" w:type="pct"/>
            <w:tcBorders>
              <w:top w:val="nil"/>
              <w:left w:val="nil"/>
              <w:bottom w:val="single" w:sz="4" w:space="0" w:color="auto"/>
              <w:right w:val="single" w:sz="4" w:space="0" w:color="auto"/>
            </w:tcBorders>
            <w:noWrap/>
            <w:vAlign w:val="bottom"/>
            <w:hideMark/>
          </w:tcPr>
          <w:p w14:paraId="7E04EBB9"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C</w:t>
            </w:r>
          </w:p>
        </w:tc>
        <w:tc>
          <w:tcPr>
            <w:tcW w:w="487" w:type="pct"/>
            <w:tcBorders>
              <w:top w:val="nil"/>
              <w:left w:val="nil"/>
              <w:bottom w:val="single" w:sz="4" w:space="0" w:color="auto"/>
              <w:right w:val="single" w:sz="4" w:space="0" w:color="auto"/>
            </w:tcBorders>
            <w:noWrap/>
            <w:vAlign w:val="bottom"/>
            <w:hideMark/>
          </w:tcPr>
          <w:p w14:paraId="1DD4236D"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461F81DA" w14:textId="77777777" w:rsidTr="0074674B">
        <w:trPr>
          <w:trHeight w:val="300"/>
        </w:trPr>
        <w:tc>
          <w:tcPr>
            <w:tcW w:w="1162" w:type="pct"/>
            <w:tcBorders>
              <w:top w:val="nil"/>
              <w:left w:val="single" w:sz="4" w:space="0" w:color="auto"/>
              <w:bottom w:val="single" w:sz="4" w:space="0" w:color="auto"/>
              <w:right w:val="single" w:sz="4" w:space="0" w:color="auto"/>
            </w:tcBorders>
            <w:noWrap/>
            <w:vAlign w:val="bottom"/>
            <w:hideMark/>
          </w:tcPr>
          <w:p w14:paraId="6D2CC9F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0</w:t>
            </w:r>
          </w:p>
        </w:tc>
        <w:tc>
          <w:tcPr>
            <w:tcW w:w="559" w:type="pct"/>
            <w:tcBorders>
              <w:top w:val="nil"/>
              <w:left w:val="nil"/>
              <w:bottom w:val="single" w:sz="4" w:space="0" w:color="auto"/>
              <w:right w:val="single" w:sz="4" w:space="0" w:color="auto"/>
            </w:tcBorders>
            <w:noWrap/>
            <w:vAlign w:val="bottom"/>
            <w:hideMark/>
          </w:tcPr>
          <w:p w14:paraId="6A4D9F6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126,72</w:t>
            </w:r>
          </w:p>
        </w:tc>
        <w:tc>
          <w:tcPr>
            <w:tcW w:w="308" w:type="pct"/>
            <w:tcBorders>
              <w:top w:val="nil"/>
              <w:left w:val="nil"/>
              <w:bottom w:val="single" w:sz="4" w:space="0" w:color="auto"/>
              <w:right w:val="single" w:sz="4" w:space="0" w:color="auto"/>
            </w:tcBorders>
            <w:noWrap/>
            <w:vAlign w:val="bottom"/>
            <w:hideMark/>
          </w:tcPr>
          <w:p w14:paraId="3EE886E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69</w:t>
            </w:r>
          </w:p>
        </w:tc>
        <w:tc>
          <w:tcPr>
            <w:tcW w:w="1308" w:type="pct"/>
            <w:tcBorders>
              <w:top w:val="nil"/>
              <w:left w:val="nil"/>
              <w:bottom w:val="single" w:sz="4" w:space="0" w:color="auto"/>
              <w:right w:val="single" w:sz="4" w:space="0" w:color="auto"/>
            </w:tcBorders>
            <w:noWrap/>
            <w:vAlign w:val="bottom"/>
            <w:hideMark/>
          </w:tcPr>
          <w:p w14:paraId="798B77D8"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4,95</w:t>
            </w:r>
          </w:p>
        </w:tc>
        <w:tc>
          <w:tcPr>
            <w:tcW w:w="198" w:type="pct"/>
            <w:tcBorders>
              <w:top w:val="nil"/>
              <w:left w:val="nil"/>
              <w:bottom w:val="single" w:sz="4" w:space="0" w:color="auto"/>
              <w:right w:val="single" w:sz="4" w:space="0" w:color="auto"/>
            </w:tcBorders>
            <w:noWrap/>
            <w:vAlign w:val="bottom"/>
            <w:hideMark/>
          </w:tcPr>
          <w:p w14:paraId="7681A150"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405" w:type="pct"/>
            <w:tcBorders>
              <w:top w:val="nil"/>
              <w:left w:val="nil"/>
              <w:bottom w:val="single" w:sz="4" w:space="0" w:color="auto"/>
              <w:right w:val="single" w:sz="4" w:space="0" w:color="auto"/>
            </w:tcBorders>
            <w:noWrap/>
            <w:vAlign w:val="bottom"/>
            <w:hideMark/>
          </w:tcPr>
          <w:p w14:paraId="6616600A"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572" w:type="pct"/>
            <w:tcBorders>
              <w:top w:val="nil"/>
              <w:left w:val="nil"/>
              <w:bottom w:val="single" w:sz="4" w:space="0" w:color="auto"/>
              <w:right w:val="single" w:sz="4" w:space="0" w:color="auto"/>
            </w:tcBorders>
            <w:noWrap/>
            <w:vAlign w:val="bottom"/>
            <w:hideMark/>
          </w:tcPr>
          <w:p w14:paraId="036F41B8"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C</w:t>
            </w:r>
          </w:p>
        </w:tc>
        <w:tc>
          <w:tcPr>
            <w:tcW w:w="487" w:type="pct"/>
            <w:tcBorders>
              <w:top w:val="nil"/>
              <w:left w:val="nil"/>
              <w:bottom w:val="single" w:sz="4" w:space="0" w:color="auto"/>
              <w:right w:val="single" w:sz="4" w:space="0" w:color="auto"/>
            </w:tcBorders>
            <w:noWrap/>
            <w:vAlign w:val="bottom"/>
            <w:hideMark/>
          </w:tcPr>
          <w:p w14:paraId="5E38DA67"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5F90FDBD" w14:textId="77777777" w:rsidTr="0074674B">
        <w:trPr>
          <w:trHeight w:val="300"/>
        </w:trPr>
        <w:tc>
          <w:tcPr>
            <w:tcW w:w="1162" w:type="pct"/>
            <w:tcBorders>
              <w:top w:val="nil"/>
              <w:left w:val="single" w:sz="4" w:space="0" w:color="auto"/>
              <w:bottom w:val="single" w:sz="4" w:space="0" w:color="auto"/>
              <w:right w:val="single" w:sz="4" w:space="0" w:color="auto"/>
            </w:tcBorders>
            <w:noWrap/>
            <w:vAlign w:val="bottom"/>
            <w:hideMark/>
          </w:tcPr>
          <w:p w14:paraId="41C5594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30</w:t>
            </w:r>
          </w:p>
        </w:tc>
        <w:tc>
          <w:tcPr>
            <w:tcW w:w="559" w:type="pct"/>
            <w:tcBorders>
              <w:top w:val="nil"/>
              <w:left w:val="nil"/>
              <w:bottom w:val="single" w:sz="4" w:space="0" w:color="auto"/>
              <w:right w:val="single" w:sz="4" w:space="0" w:color="auto"/>
            </w:tcBorders>
            <w:noWrap/>
            <w:vAlign w:val="bottom"/>
            <w:hideMark/>
          </w:tcPr>
          <w:p w14:paraId="4AFE7412"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159,18</w:t>
            </w:r>
          </w:p>
        </w:tc>
        <w:tc>
          <w:tcPr>
            <w:tcW w:w="308" w:type="pct"/>
            <w:tcBorders>
              <w:top w:val="nil"/>
              <w:left w:val="nil"/>
              <w:bottom w:val="single" w:sz="4" w:space="0" w:color="auto"/>
              <w:right w:val="single" w:sz="4" w:space="0" w:color="auto"/>
            </w:tcBorders>
            <w:noWrap/>
            <w:vAlign w:val="bottom"/>
            <w:hideMark/>
          </w:tcPr>
          <w:p w14:paraId="1EB7C5BC"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49</w:t>
            </w:r>
          </w:p>
        </w:tc>
        <w:tc>
          <w:tcPr>
            <w:tcW w:w="1308" w:type="pct"/>
            <w:tcBorders>
              <w:top w:val="nil"/>
              <w:left w:val="nil"/>
              <w:bottom w:val="single" w:sz="4" w:space="0" w:color="auto"/>
              <w:right w:val="single" w:sz="4" w:space="0" w:color="auto"/>
            </w:tcBorders>
            <w:noWrap/>
            <w:vAlign w:val="bottom"/>
            <w:hideMark/>
          </w:tcPr>
          <w:p w14:paraId="0B29860E"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5,87</w:t>
            </w:r>
          </w:p>
        </w:tc>
        <w:tc>
          <w:tcPr>
            <w:tcW w:w="198" w:type="pct"/>
            <w:tcBorders>
              <w:top w:val="nil"/>
              <w:left w:val="nil"/>
              <w:bottom w:val="single" w:sz="4" w:space="0" w:color="auto"/>
              <w:right w:val="single" w:sz="4" w:space="0" w:color="auto"/>
            </w:tcBorders>
            <w:noWrap/>
            <w:vAlign w:val="bottom"/>
            <w:hideMark/>
          </w:tcPr>
          <w:p w14:paraId="530888DF"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405" w:type="pct"/>
            <w:tcBorders>
              <w:top w:val="nil"/>
              <w:left w:val="nil"/>
              <w:bottom w:val="single" w:sz="4" w:space="0" w:color="auto"/>
              <w:right w:val="single" w:sz="4" w:space="0" w:color="auto"/>
            </w:tcBorders>
            <w:noWrap/>
            <w:vAlign w:val="bottom"/>
            <w:hideMark/>
          </w:tcPr>
          <w:p w14:paraId="0977BF49"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572" w:type="pct"/>
            <w:tcBorders>
              <w:top w:val="nil"/>
              <w:left w:val="nil"/>
              <w:bottom w:val="single" w:sz="4" w:space="0" w:color="auto"/>
              <w:right w:val="single" w:sz="4" w:space="0" w:color="auto"/>
            </w:tcBorders>
            <w:noWrap/>
            <w:vAlign w:val="bottom"/>
            <w:hideMark/>
          </w:tcPr>
          <w:p w14:paraId="51F2190D"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487" w:type="pct"/>
            <w:tcBorders>
              <w:top w:val="nil"/>
              <w:left w:val="nil"/>
              <w:bottom w:val="single" w:sz="4" w:space="0" w:color="auto"/>
              <w:right w:val="single" w:sz="4" w:space="0" w:color="auto"/>
            </w:tcBorders>
            <w:noWrap/>
            <w:vAlign w:val="bottom"/>
            <w:hideMark/>
          </w:tcPr>
          <w:p w14:paraId="4FB7F724"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D</w:t>
            </w:r>
          </w:p>
        </w:tc>
      </w:tr>
    </w:tbl>
    <w:p w14:paraId="58631772" w14:textId="77777777" w:rsidR="00C82BCC" w:rsidRDefault="00C82BCC" w:rsidP="00C82BC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2026AF89" w14:textId="547322C2" w:rsidR="00C82BCC" w:rsidRPr="00590F00" w:rsidRDefault="00C82BCC" w:rsidP="00253EF4"/>
    <w:p w14:paraId="05C2A80B" w14:textId="4F1E94BC" w:rsidR="00253EF4" w:rsidRPr="00253EF4" w:rsidRDefault="00253EF4" w:rsidP="0074674B">
      <w:pPr>
        <w:pStyle w:val="Descripcin"/>
        <w:keepNext/>
        <w:spacing w:before="360"/>
        <w:rPr>
          <w:rFonts w:cs="Times New Roman"/>
          <w:i w:val="0"/>
          <w:iCs w:val="0"/>
          <w:color w:val="auto"/>
          <w:sz w:val="24"/>
          <w:szCs w:val="24"/>
          <w:lang w:eastAsia="en-US"/>
        </w:rPr>
      </w:pPr>
      <w:bookmarkStart w:id="2033" w:name="_Toc79314146"/>
      <w:r w:rsidRPr="00253EF4">
        <w:rPr>
          <w:rFonts w:cs="Times New Roman"/>
          <w:b/>
          <w:i w:val="0"/>
          <w:iCs w:val="0"/>
          <w:color w:val="auto"/>
          <w:sz w:val="24"/>
          <w:szCs w:val="24"/>
          <w:lang w:eastAsia="en-US"/>
        </w:rPr>
        <w:lastRenderedPageBreak/>
        <w:t xml:space="preserve">Cuadro </w:t>
      </w:r>
      <w:r w:rsidRPr="00253EF4">
        <w:rPr>
          <w:rFonts w:cs="Times New Roman"/>
          <w:b/>
          <w:i w:val="0"/>
          <w:iCs w:val="0"/>
          <w:color w:val="auto"/>
          <w:sz w:val="24"/>
          <w:szCs w:val="24"/>
          <w:lang w:eastAsia="en-US"/>
        </w:rPr>
        <w:fldChar w:fldCharType="begin"/>
      </w:r>
      <w:r w:rsidRPr="00253EF4">
        <w:rPr>
          <w:rFonts w:cs="Times New Roman"/>
          <w:b/>
          <w:i w:val="0"/>
          <w:iCs w:val="0"/>
          <w:color w:val="auto"/>
          <w:sz w:val="24"/>
          <w:szCs w:val="24"/>
          <w:lang w:eastAsia="en-US"/>
        </w:rPr>
        <w:instrText xml:space="preserve"> SEQ Cuadro \* ARABIC </w:instrText>
      </w:r>
      <w:r w:rsidRPr="00253EF4">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154</w:t>
      </w:r>
      <w:r w:rsidRPr="00253EF4">
        <w:rPr>
          <w:rFonts w:cs="Times New Roman"/>
          <w:b/>
          <w:i w:val="0"/>
          <w:iCs w:val="0"/>
          <w:color w:val="auto"/>
          <w:sz w:val="24"/>
          <w:szCs w:val="24"/>
          <w:lang w:eastAsia="en-US"/>
        </w:rPr>
        <w:fldChar w:fldCharType="end"/>
      </w:r>
      <w:r w:rsidRPr="00253EF4">
        <w:rPr>
          <w:rFonts w:cs="Times New Roman"/>
          <w:b/>
          <w:i w:val="0"/>
          <w:iCs w:val="0"/>
          <w:color w:val="auto"/>
          <w:sz w:val="24"/>
          <w:szCs w:val="24"/>
          <w:lang w:eastAsia="en-US"/>
        </w:rPr>
        <w:t xml:space="preserve">. </w:t>
      </w:r>
      <w:r w:rsidRPr="00253EF4">
        <w:rPr>
          <w:rFonts w:cs="Times New Roman"/>
          <w:i w:val="0"/>
          <w:iCs w:val="0"/>
          <w:color w:val="auto"/>
          <w:sz w:val="24"/>
          <w:szCs w:val="24"/>
          <w:lang w:eastAsia="en-US"/>
        </w:rPr>
        <w:t>Absorción total de nitrógeno de plantas de maíz suave para varias dosis de magnesio evaluadas en las provincias de Bolívar, Chimborazo, Imbabura 2006-2015.</w:t>
      </w:r>
      <w:bookmarkEnd w:id="2033"/>
    </w:p>
    <w:tbl>
      <w:tblPr>
        <w:tblW w:w="7914" w:type="dxa"/>
        <w:jc w:val="center"/>
        <w:tblCellMar>
          <w:left w:w="70" w:type="dxa"/>
          <w:right w:w="70" w:type="dxa"/>
        </w:tblCellMar>
        <w:tblLook w:val="04A0" w:firstRow="1" w:lastRow="0" w:firstColumn="1" w:lastColumn="0" w:noHBand="0" w:noVBand="1"/>
      </w:tblPr>
      <w:tblGrid>
        <w:gridCol w:w="2227"/>
        <w:gridCol w:w="887"/>
        <w:gridCol w:w="567"/>
        <w:gridCol w:w="1833"/>
        <w:gridCol w:w="1200"/>
        <w:gridCol w:w="1200"/>
      </w:tblGrid>
      <w:tr w:rsidR="00C82BCC" w14:paraId="572E388F" w14:textId="77777777" w:rsidTr="00590F00">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0728CC73"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43381BAA"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noWrap/>
            <w:vAlign w:val="bottom"/>
            <w:hideMark/>
          </w:tcPr>
          <w:p w14:paraId="5A8A11F6"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833" w:type="dxa"/>
            <w:tcBorders>
              <w:top w:val="single" w:sz="4" w:space="0" w:color="auto"/>
              <w:left w:val="nil"/>
              <w:bottom w:val="single" w:sz="4" w:space="0" w:color="auto"/>
              <w:right w:val="single" w:sz="4" w:space="0" w:color="auto"/>
            </w:tcBorders>
            <w:noWrap/>
            <w:vAlign w:val="bottom"/>
            <w:hideMark/>
          </w:tcPr>
          <w:p w14:paraId="7DDFF5F6" w14:textId="77777777" w:rsidR="00C82BCC" w:rsidRDefault="00C82BCC" w:rsidP="0074674B">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13EBD847" w14:textId="77777777" w:rsidR="00C82BCC" w:rsidRDefault="00C82BCC" w:rsidP="0074674B">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Lsd</w:t>
            </w:r>
          </w:p>
        </w:tc>
        <w:tc>
          <w:tcPr>
            <w:tcW w:w="1200" w:type="dxa"/>
            <w:tcBorders>
              <w:top w:val="single" w:sz="4" w:space="0" w:color="auto"/>
              <w:left w:val="nil"/>
              <w:bottom w:val="single" w:sz="4" w:space="0" w:color="auto"/>
              <w:right w:val="single" w:sz="4" w:space="0" w:color="auto"/>
            </w:tcBorders>
            <w:noWrap/>
            <w:vAlign w:val="bottom"/>
            <w:hideMark/>
          </w:tcPr>
          <w:p w14:paraId="59D4E3A6" w14:textId="77777777" w:rsidR="00C82BCC" w:rsidRDefault="00C82BCC" w:rsidP="0074674B">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0,05</w:t>
            </w:r>
          </w:p>
        </w:tc>
      </w:tr>
      <w:tr w:rsidR="00C82BCC" w14:paraId="4BC0D008" w14:textId="77777777" w:rsidTr="00590F00">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33CBD50"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20</w:t>
            </w:r>
          </w:p>
        </w:tc>
        <w:tc>
          <w:tcPr>
            <w:tcW w:w="887" w:type="dxa"/>
            <w:tcBorders>
              <w:top w:val="nil"/>
              <w:left w:val="nil"/>
              <w:bottom w:val="single" w:sz="4" w:space="0" w:color="auto"/>
              <w:right w:val="single" w:sz="4" w:space="0" w:color="auto"/>
            </w:tcBorders>
            <w:noWrap/>
            <w:vAlign w:val="bottom"/>
            <w:hideMark/>
          </w:tcPr>
          <w:p w14:paraId="6C376719"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88,48</w:t>
            </w:r>
          </w:p>
        </w:tc>
        <w:tc>
          <w:tcPr>
            <w:tcW w:w="567" w:type="dxa"/>
            <w:tcBorders>
              <w:top w:val="nil"/>
              <w:left w:val="nil"/>
              <w:bottom w:val="single" w:sz="4" w:space="0" w:color="auto"/>
              <w:right w:val="single" w:sz="4" w:space="0" w:color="auto"/>
            </w:tcBorders>
            <w:noWrap/>
            <w:vAlign w:val="bottom"/>
            <w:hideMark/>
          </w:tcPr>
          <w:p w14:paraId="247B1D66"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50</w:t>
            </w:r>
          </w:p>
        </w:tc>
        <w:tc>
          <w:tcPr>
            <w:tcW w:w="1833" w:type="dxa"/>
            <w:tcBorders>
              <w:top w:val="nil"/>
              <w:left w:val="nil"/>
              <w:bottom w:val="single" w:sz="4" w:space="0" w:color="auto"/>
              <w:right w:val="single" w:sz="4" w:space="0" w:color="auto"/>
            </w:tcBorders>
            <w:noWrap/>
            <w:vAlign w:val="bottom"/>
            <w:hideMark/>
          </w:tcPr>
          <w:p w14:paraId="22239A8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5,52</w:t>
            </w:r>
          </w:p>
        </w:tc>
        <w:tc>
          <w:tcPr>
            <w:tcW w:w="1200" w:type="dxa"/>
            <w:tcBorders>
              <w:top w:val="single" w:sz="4" w:space="0" w:color="auto"/>
              <w:left w:val="nil"/>
              <w:bottom w:val="single" w:sz="4" w:space="0" w:color="auto"/>
              <w:right w:val="single" w:sz="4" w:space="0" w:color="auto"/>
            </w:tcBorders>
            <w:noWrap/>
            <w:vAlign w:val="bottom"/>
            <w:hideMark/>
          </w:tcPr>
          <w:p w14:paraId="4AEB5FDE"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1200" w:type="dxa"/>
            <w:tcBorders>
              <w:top w:val="single" w:sz="4" w:space="0" w:color="auto"/>
              <w:left w:val="nil"/>
              <w:bottom w:val="single" w:sz="4" w:space="0" w:color="auto"/>
              <w:right w:val="single" w:sz="4" w:space="0" w:color="auto"/>
            </w:tcBorders>
            <w:noWrap/>
            <w:vAlign w:val="bottom"/>
            <w:hideMark/>
          </w:tcPr>
          <w:p w14:paraId="42C99E0A"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75DE8156" w14:textId="77777777" w:rsidTr="00590F00">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3EF99A0C"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15</w:t>
            </w:r>
          </w:p>
        </w:tc>
        <w:tc>
          <w:tcPr>
            <w:tcW w:w="887" w:type="dxa"/>
            <w:tcBorders>
              <w:top w:val="nil"/>
              <w:left w:val="nil"/>
              <w:bottom w:val="single" w:sz="4" w:space="0" w:color="auto"/>
              <w:right w:val="single" w:sz="4" w:space="0" w:color="auto"/>
            </w:tcBorders>
            <w:noWrap/>
            <w:vAlign w:val="bottom"/>
            <w:hideMark/>
          </w:tcPr>
          <w:p w14:paraId="0897A1B8"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90,92</w:t>
            </w:r>
          </w:p>
        </w:tc>
        <w:tc>
          <w:tcPr>
            <w:tcW w:w="567" w:type="dxa"/>
            <w:tcBorders>
              <w:top w:val="nil"/>
              <w:left w:val="nil"/>
              <w:bottom w:val="single" w:sz="4" w:space="0" w:color="auto"/>
              <w:right w:val="single" w:sz="4" w:space="0" w:color="auto"/>
            </w:tcBorders>
            <w:noWrap/>
            <w:vAlign w:val="bottom"/>
            <w:hideMark/>
          </w:tcPr>
          <w:p w14:paraId="3C23BDC6"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w:t>
            </w:r>
          </w:p>
        </w:tc>
        <w:tc>
          <w:tcPr>
            <w:tcW w:w="1833" w:type="dxa"/>
            <w:tcBorders>
              <w:top w:val="nil"/>
              <w:left w:val="nil"/>
              <w:bottom w:val="single" w:sz="4" w:space="0" w:color="auto"/>
              <w:right w:val="single" w:sz="4" w:space="0" w:color="auto"/>
            </w:tcBorders>
            <w:noWrap/>
            <w:vAlign w:val="bottom"/>
            <w:hideMark/>
          </w:tcPr>
          <w:p w14:paraId="42343C08"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16,28</w:t>
            </w:r>
          </w:p>
        </w:tc>
        <w:tc>
          <w:tcPr>
            <w:tcW w:w="1200" w:type="dxa"/>
            <w:tcBorders>
              <w:top w:val="nil"/>
              <w:left w:val="nil"/>
              <w:bottom w:val="single" w:sz="4" w:space="0" w:color="auto"/>
              <w:right w:val="single" w:sz="4" w:space="0" w:color="auto"/>
            </w:tcBorders>
            <w:noWrap/>
            <w:vAlign w:val="bottom"/>
            <w:hideMark/>
          </w:tcPr>
          <w:p w14:paraId="68EFD658"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1200" w:type="dxa"/>
            <w:tcBorders>
              <w:top w:val="nil"/>
              <w:left w:val="nil"/>
              <w:bottom w:val="single" w:sz="4" w:space="0" w:color="auto"/>
              <w:right w:val="single" w:sz="4" w:space="0" w:color="auto"/>
            </w:tcBorders>
            <w:noWrap/>
            <w:vAlign w:val="bottom"/>
            <w:hideMark/>
          </w:tcPr>
          <w:p w14:paraId="53FEED32"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4588DA18" w14:textId="77777777" w:rsidTr="00590F00">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414A8D7"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10</w:t>
            </w:r>
          </w:p>
        </w:tc>
        <w:tc>
          <w:tcPr>
            <w:tcW w:w="887" w:type="dxa"/>
            <w:tcBorders>
              <w:top w:val="nil"/>
              <w:left w:val="nil"/>
              <w:bottom w:val="single" w:sz="4" w:space="0" w:color="auto"/>
              <w:right w:val="single" w:sz="4" w:space="0" w:color="auto"/>
            </w:tcBorders>
            <w:noWrap/>
            <w:vAlign w:val="bottom"/>
            <w:hideMark/>
          </w:tcPr>
          <w:p w14:paraId="579E2FD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100,81</w:t>
            </w:r>
          </w:p>
        </w:tc>
        <w:tc>
          <w:tcPr>
            <w:tcW w:w="567" w:type="dxa"/>
            <w:tcBorders>
              <w:top w:val="nil"/>
              <w:left w:val="nil"/>
              <w:bottom w:val="single" w:sz="4" w:space="0" w:color="auto"/>
              <w:right w:val="single" w:sz="4" w:space="0" w:color="auto"/>
            </w:tcBorders>
            <w:noWrap/>
            <w:vAlign w:val="bottom"/>
            <w:hideMark/>
          </w:tcPr>
          <w:p w14:paraId="6A9D84E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58</w:t>
            </w:r>
          </w:p>
        </w:tc>
        <w:tc>
          <w:tcPr>
            <w:tcW w:w="1833" w:type="dxa"/>
            <w:tcBorders>
              <w:top w:val="nil"/>
              <w:left w:val="nil"/>
              <w:bottom w:val="single" w:sz="4" w:space="0" w:color="auto"/>
              <w:right w:val="single" w:sz="4" w:space="0" w:color="auto"/>
            </w:tcBorders>
            <w:noWrap/>
            <w:vAlign w:val="bottom"/>
            <w:hideMark/>
          </w:tcPr>
          <w:p w14:paraId="38003DD4"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8,6</w:t>
            </w:r>
          </w:p>
        </w:tc>
        <w:tc>
          <w:tcPr>
            <w:tcW w:w="1200" w:type="dxa"/>
            <w:tcBorders>
              <w:top w:val="nil"/>
              <w:left w:val="nil"/>
              <w:bottom w:val="single" w:sz="4" w:space="0" w:color="auto"/>
              <w:right w:val="single" w:sz="4" w:space="0" w:color="auto"/>
            </w:tcBorders>
            <w:noWrap/>
            <w:vAlign w:val="bottom"/>
            <w:hideMark/>
          </w:tcPr>
          <w:p w14:paraId="7C50B26C"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A</w:t>
            </w:r>
          </w:p>
        </w:tc>
        <w:tc>
          <w:tcPr>
            <w:tcW w:w="1200" w:type="dxa"/>
            <w:tcBorders>
              <w:top w:val="nil"/>
              <w:left w:val="nil"/>
              <w:bottom w:val="single" w:sz="4" w:space="0" w:color="auto"/>
              <w:right w:val="single" w:sz="4" w:space="0" w:color="auto"/>
            </w:tcBorders>
            <w:noWrap/>
            <w:vAlign w:val="bottom"/>
            <w:hideMark/>
          </w:tcPr>
          <w:p w14:paraId="3ED9D338" w14:textId="77777777" w:rsidR="00C82BCC" w:rsidRPr="0074674B" w:rsidRDefault="00C82BCC" w:rsidP="0074674B">
            <w:pPr>
              <w:pStyle w:val="Sinespaciado"/>
              <w:jc w:val="center"/>
              <w:rPr>
                <w:rFonts w:ascii="Times New Roman" w:hAnsi="Times New Roman" w:cs="Times New Roman"/>
                <w:sz w:val="24"/>
                <w:szCs w:val="24"/>
                <w:lang w:eastAsia="es-EC"/>
              </w:rPr>
            </w:pPr>
          </w:p>
        </w:tc>
      </w:tr>
      <w:tr w:rsidR="00C82BCC" w14:paraId="065482A5" w14:textId="77777777" w:rsidTr="00590F00">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E23A0E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30</w:t>
            </w:r>
          </w:p>
        </w:tc>
        <w:tc>
          <w:tcPr>
            <w:tcW w:w="887" w:type="dxa"/>
            <w:tcBorders>
              <w:top w:val="nil"/>
              <w:left w:val="nil"/>
              <w:bottom w:val="single" w:sz="4" w:space="0" w:color="auto"/>
              <w:right w:val="single" w:sz="4" w:space="0" w:color="auto"/>
            </w:tcBorders>
            <w:noWrap/>
            <w:vAlign w:val="bottom"/>
            <w:hideMark/>
          </w:tcPr>
          <w:p w14:paraId="27DFF9F6"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145,1</w:t>
            </w:r>
          </w:p>
        </w:tc>
        <w:tc>
          <w:tcPr>
            <w:tcW w:w="567" w:type="dxa"/>
            <w:tcBorders>
              <w:top w:val="nil"/>
              <w:left w:val="nil"/>
              <w:bottom w:val="single" w:sz="4" w:space="0" w:color="auto"/>
              <w:right w:val="single" w:sz="4" w:space="0" w:color="auto"/>
            </w:tcBorders>
            <w:noWrap/>
            <w:vAlign w:val="bottom"/>
            <w:hideMark/>
          </w:tcPr>
          <w:p w14:paraId="56850F82"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5</w:t>
            </w:r>
          </w:p>
        </w:tc>
        <w:tc>
          <w:tcPr>
            <w:tcW w:w="1833" w:type="dxa"/>
            <w:tcBorders>
              <w:top w:val="nil"/>
              <w:left w:val="nil"/>
              <w:bottom w:val="single" w:sz="4" w:space="0" w:color="auto"/>
              <w:right w:val="single" w:sz="4" w:space="0" w:color="auto"/>
            </w:tcBorders>
            <w:noWrap/>
            <w:vAlign w:val="bottom"/>
            <w:hideMark/>
          </w:tcPr>
          <w:p w14:paraId="49B0D075"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16,28</w:t>
            </w:r>
          </w:p>
        </w:tc>
        <w:tc>
          <w:tcPr>
            <w:tcW w:w="1200" w:type="dxa"/>
            <w:tcBorders>
              <w:top w:val="nil"/>
              <w:left w:val="nil"/>
              <w:bottom w:val="single" w:sz="4" w:space="0" w:color="auto"/>
              <w:right w:val="single" w:sz="4" w:space="0" w:color="auto"/>
            </w:tcBorders>
            <w:noWrap/>
            <w:vAlign w:val="bottom"/>
            <w:hideMark/>
          </w:tcPr>
          <w:p w14:paraId="1F39F75E"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1200" w:type="dxa"/>
            <w:tcBorders>
              <w:top w:val="nil"/>
              <w:left w:val="nil"/>
              <w:bottom w:val="single" w:sz="4" w:space="0" w:color="auto"/>
              <w:right w:val="single" w:sz="4" w:space="0" w:color="auto"/>
            </w:tcBorders>
            <w:noWrap/>
            <w:vAlign w:val="bottom"/>
            <w:hideMark/>
          </w:tcPr>
          <w:p w14:paraId="0DD382F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B</w:t>
            </w:r>
          </w:p>
        </w:tc>
      </w:tr>
      <w:tr w:rsidR="00C82BCC" w14:paraId="08DE1C3D" w14:textId="77777777" w:rsidTr="00590F00">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324B4E7"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0</w:t>
            </w:r>
          </w:p>
        </w:tc>
        <w:tc>
          <w:tcPr>
            <w:tcW w:w="887" w:type="dxa"/>
            <w:tcBorders>
              <w:top w:val="nil"/>
              <w:left w:val="nil"/>
              <w:bottom w:val="single" w:sz="4" w:space="0" w:color="auto"/>
              <w:right w:val="single" w:sz="4" w:space="0" w:color="auto"/>
            </w:tcBorders>
            <w:noWrap/>
            <w:vAlign w:val="bottom"/>
            <w:hideMark/>
          </w:tcPr>
          <w:p w14:paraId="623CEE43"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148,39</w:t>
            </w:r>
          </w:p>
        </w:tc>
        <w:tc>
          <w:tcPr>
            <w:tcW w:w="567" w:type="dxa"/>
            <w:tcBorders>
              <w:top w:val="nil"/>
              <w:left w:val="nil"/>
              <w:bottom w:val="single" w:sz="4" w:space="0" w:color="auto"/>
              <w:right w:val="single" w:sz="4" w:space="0" w:color="auto"/>
            </w:tcBorders>
            <w:noWrap/>
            <w:vAlign w:val="bottom"/>
            <w:hideMark/>
          </w:tcPr>
          <w:p w14:paraId="568D735B"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123</w:t>
            </w:r>
          </w:p>
        </w:tc>
        <w:tc>
          <w:tcPr>
            <w:tcW w:w="1833" w:type="dxa"/>
            <w:tcBorders>
              <w:top w:val="nil"/>
              <w:left w:val="nil"/>
              <w:bottom w:val="single" w:sz="4" w:space="0" w:color="auto"/>
              <w:right w:val="single" w:sz="4" w:space="0" w:color="auto"/>
            </w:tcBorders>
            <w:noWrap/>
            <w:vAlign w:val="bottom"/>
            <w:hideMark/>
          </w:tcPr>
          <w:p w14:paraId="0B8F3CEF"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3,51</w:t>
            </w:r>
          </w:p>
        </w:tc>
        <w:tc>
          <w:tcPr>
            <w:tcW w:w="1200" w:type="dxa"/>
            <w:tcBorders>
              <w:top w:val="nil"/>
              <w:left w:val="nil"/>
              <w:bottom w:val="single" w:sz="4" w:space="0" w:color="auto"/>
              <w:right w:val="single" w:sz="4" w:space="0" w:color="auto"/>
            </w:tcBorders>
            <w:noWrap/>
            <w:vAlign w:val="bottom"/>
            <w:hideMark/>
          </w:tcPr>
          <w:p w14:paraId="11214C42" w14:textId="77777777" w:rsidR="00C82BCC" w:rsidRPr="0074674B" w:rsidRDefault="00C82BCC" w:rsidP="0074674B">
            <w:pPr>
              <w:pStyle w:val="Sinespaciado"/>
              <w:jc w:val="center"/>
              <w:rPr>
                <w:rFonts w:ascii="Times New Roman" w:hAnsi="Times New Roman" w:cs="Times New Roman"/>
                <w:sz w:val="24"/>
                <w:szCs w:val="24"/>
                <w:lang w:eastAsia="es-EC"/>
              </w:rPr>
            </w:pPr>
          </w:p>
        </w:tc>
        <w:tc>
          <w:tcPr>
            <w:tcW w:w="1200" w:type="dxa"/>
            <w:tcBorders>
              <w:top w:val="nil"/>
              <w:left w:val="nil"/>
              <w:bottom w:val="single" w:sz="4" w:space="0" w:color="auto"/>
              <w:right w:val="single" w:sz="4" w:space="0" w:color="auto"/>
            </w:tcBorders>
            <w:noWrap/>
            <w:vAlign w:val="bottom"/>
            <w:hideMark/>
          </w:tcPr>
          <w:p w14:paraId="457732A1" w14:textId="77777777" w:rsidR="00C82BCC" w:rsidRPr="0074674B" w:rsidRDefault="00C82BCC" w:rsidP="0074674B">
            <w:pPr>
              <w:pStyle w:val="Sinespaciado"/>
              <w:jc w:val="center"/>
              <w:rPr>
                <w:rFonts w:ascii="Times New Roman" w:hAnsi="Times New Roman" w:cs="Times New Roman"/>
                <w:sz w:val="24"/>
                <w:szCs w:val="24"/>
                <w:lang w:eastAsia="es-EC"/>
              </w:rPr>
            </w:pPr>
            <w:r w:rsidRPr="0074674B">
              <w:rPr>
                <w:rFonts w:ascii="Times New Roman" w:hAnsi="Times New Roman" w:cs="Times New Roman"/>
                <w:sz w:val="24"/>
                <w:szCs w:val="24"/>
                <w:lang w:eastAsia="es-EC"/>
              </w:rPr>
              <w:t>B</w:t>
            </w:r>
          </w:p>
        </w:tc>
      </w:tr>
    </w:tbl>
    <w:p w14:paraId="4BEE0A27" w14:textId="77777777" w:rsidR="00C82BCC" w:rsidRDefault="00C82BCC" w:rsidP="00C82BC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06F2E76E" w14:textId="100C9AE5" w:rsidR="00C82BCC" w:rsidRDefault="00590F00" w:rsidP="0074674B">
      <w:pPr>
        <w:pStyle w:val="Ttulo1"/>
        <w:numPr>
          <w:ilvl w:val="0"/>
          <w:numId w:val="19"/>
        </w:numPr>
        <w:spacing w:before="360" w:after="360"/>
        <w:ind w:left="714" w:hanging="357"/>
        <w:rPr>
          <w:b w:val="0"/>
          <w:bCs w:val="0"/>
        </w:rPr>
      </w:pPr>
      <w:bookmarkStart w:id="2034" w:name="_Toc72704703"/>
      <w:bookmarkStart w:id="2035" w:name="_Toc72706410"/>
      <w:bookmarkStart w:id="2036" w:name="_Toc72741360"/>
      <w:bookmarkStart w:id="2037" w:name="_Toc72742956"/>
      <w:bookmarkStart w:id="2038" w:name="_Toc72881309"/>
      <w:bookmarkStart w:id="2039" w:name="_Toc72881680"/>
      <w:bookmarkStart w:id="2040" w:name="_Toc75606548"/>
      <w:bookmarkStart w:id="2041" w:name="_Toc75612027"/>
      <w:bookmarkStart w:id="2042" w:name="_Toc75612873"/>
      <w:bookmarkStart w:id="2043" w:name="_Toc75680029"/>
      <w:bookmarkStart w:id="2044" w:name="_Toc75702637"/>
      <w:bookmarkStart w:id="2045" w:name="_Toc79313247"/>
      <w:bookmarkStart w:id="2046" w:name="_Toc80008464"/>
      <w:bookmarkStart w:id="2047" w:name="_Toc80312357"/>
      <w:r w:rsidRPr="00590F00">
        <w:rPr>
          <w:b w:val="0"/>
          <w:bCs w:val="0"/>
        </w:rPr>
        <w:t>Nitrógeno</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5865E03E" w14:textId="61CA820A" w:rsidR="00590F00" w:rsidRDefault="00425537" w:rsidP="0074674B">
      <w:pPr>
        <w:jc w:val="center"/>
        <w:rPr>
          <w:rFonts w:cs="Times New Roman"/>
          <w:szCs w:val="24"/>
        </w:rPr>
      </w:pPr>
      <w:r w:rsidRPr="00146EAD">
        <w:rPr>
          <w:noProof/>
          <w:lang w:eastAsia="es-EC"/>
        </w:rPr>
        <w:drawing>
          <wp:inline distT="0" distB="0" distL="0" distR="0" wp14:anchorId="75348BC3" wp14:editId="06A6561C">
            <wp:extent cx="4099560" cy="2072640"/>
            <wp:effectExtent l="0" t="0" r="15240" b="3810"/>
            <wp:docPr id="16" name="Gráfico 16">
              <a:extLst xmlns:a="http://schemas.openxmlformats.org/drawingml/2006/main">
                <a:ext uri="{FF2B5EF4-FFF2-40B4-BE49-F238E27FC236}">
                  <a16:creationId xmlns:a16="http://schemas.microsoft.com/office/drawing/2014/main" id="{035ED699-096E-4D57-92D5-D6973D27C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998986E" w14:textId="2203D1EE" w:rsidR="00590F00" w:rsidRPr="005106B9" w:rsidRDefault="00590F00" w:rsidP="0074674B">
      <w:pPr>
        <w:pStyle w:val="Ttulo1"/>
        <w:numPr>
          <w:ilvl w:val="0"/>
          <w:numId w:val="19"/>
        </w:numPr>
        <w:spacing w:before="360" w:after="360"/>
        <w:rPr>
          <w:b w:val="0"/>
          <w:bCs w:val="0"/>
        </w:rPr>
      </w:pPr>
      <w:bookmarkStart w:id="2048" w:name="_Toc72704704"/>
      <w:bookmarkStart w:id="2049" w:name="_Toc72706411"/>
      <w:bookmarkStart w:id="2050" w:name="_Toc72741361"/>
      <w:bookmarkStart w:id="2051" w:name="_Toc72742957"/>
      <w:bookmarkStart w:id="2052" w:name="_Toc72881310"/>
      <w:bookmarkStart w:id="2053" w:name="_Toc72881681"/>
      <w:bookmarkStart w:id="2054" w:name="_Toc75606549"/>
      <w:bookmarkStart w:id="2055" w:name="_Toc75612028"/>
      <w:bookmarkStart w:id="2056" w:name="_Toc75612874"/>
      <w:bookmarkStart w:id="2057" w:name="_Toc75680030"/>
      <w:bookmarkStart w:id="2058" w:name="_Toc75702638"/>
      <w:bookmarkStart w:id="2059" w:name="_Toc79313248"/>
      <w:bookmarkStart w:id="2060" w:name="_Toc80008465"/>
      <w:bookmarkStart w:id="2061" w:name="_Toc80312358"/>
      <w:r w:rsidRPr="005106B9">
        <w:rPr>
          <w:b w:val="0"/>
          <w:bCs w:val="0"/>
        </w:rPr>
        <w:t>F</w:t>
      </w:r>
      <w:r w:rsidR="005106B9" w:rsidRPr="005106B9">
        <w:rPr>
          <w:b w:val="0"/>
          <w:bCs w:val="0"/>
        </w:rPr>
        <w:t>ó</w:t>
      </w:r>
      <w:r w:rsidRPr="005106B9">
        <w:rPr>
          <w:b w:val="0"/>
          <w:bCs w:val="0"/>
        </w:rPr>
        <w:t>sforo</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617DF027" w14:textId="77777777" w:rsidR="003E244D" w:rsidRDefault="00C82BCC" w:rsidP="003E244D">
      <w:pPr>
        <w:autoSpaceDE w:val="0"/>
        <w:autoSpaceDN w:val="0"/>
        <w:adjustRightInd w:val="0"/>
        <w:spacing w:after="0" w:line="360" w:lineRule="auto"/>
        <w:jc w:val="center"/>
        <w:rPr>
          <w:b/>
          <w:bCs/>
        </w:rPr>
      </w:pPr>
      <w:r>
        <w:rPr>
          <w:rFonts w:cs="Times New Roman"/>
          <w:noProof/>
          <w:szCs w:val="24"/>
          <w:lang w:eastAsia="es-EC"/>
        </w:rPr>
        <w:drawing>
          <wp:inline distT="0" distB="0" distL="0" distR="0" wp14:anchorId="128578F3" wp14:editId="25189D7E">
            <wp:extent cx="3886200" cy="2286000"/>
            <wp:effectExtent l="0" t="0" r="0" b="0"/>
            <wp:docPr id="97" name="Gráfico 97">
              <a:extLst xmlns:a="http://schemas.openxmlformats.org/drawingml/2006/main">
                <a:ext uri="{FF2B5EF4-FFF2-40B4-BE49-F238E27FC236}">
                  <a16:creationId xmlns:a16="http://schemas.microsoft.com/office/drawing/2014/main" id="{CCABDEEC-B2D0-4F5E-9CF6-CAFC1A9D4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Start w:id="2062" w:name="_Toc72704705"/>
      <w:bookmarkStart w:id="2063" w:name="_Toc72706412"/>
      <w:bookmarkStart w:id="2064" w:name="_Toc72741362"/>
      <w:bookmarkStart w:id="2065" w:name="_Toc72742958"/>
    </w:p>
    <w:p w14:paraId="3A8F1559" w14:textId="19449E3E" w:rsidR="00590F00" w:rsidRPr="003E244D" w:rsidRDefault="00590F00" w:rsidP="0074674B">
      <w:pPr>
        <w:pStyle w:val="Ttulo1"/>
        <w:numPr>
          <w:ilvl w:val="0"/>
          <w:numId w:val="19"/>
        </w:numPr>
        <w:spacing w:before="360" w:after="360"/>
        <w:ind w:left="714" w:hanging="357"/>
        <w:rPr>
          <w:b w:val="0"/>
          <w:bCs w:val="0"/>
        </w:rPr>
      </w:pPr>
      <w:bookmarkStart w:id="2066" w:name="_Toc72881311"/>
      <w:bookmarkStart w:id="2067" w:name="_Toc72881682"/>
      <w:bookmarkStart w:id="2068" w:name="_Toc75606550"/>
      <w:bookmarkStart w:id="2069" w:name="_Toc75612029"/>
      <w:bookmarkStart w:id="2070" w:name="_Toc75612875"/>
      <w:bookmarkStart w:id="2071" w:name="_Toc75680031"/>
      <w:bookmarkStart w:id="2072" w:name="_Toc75702639"/>
      <w:bookmarkStart w:id="2073" w:name="_Toc79313249"/>
      <w:bookmarkStart w:id="2074" w:name="_Toc80008466"/>
      <w:bookmarkStart w:id="2075" w:name="_Toc80312359"/>
      <w:r w:rsidRPr="003E244D">
        <w:rPr>
          <w:b w:val="0"/>
          <w:bCs w:val="0"/>
        </w:rPr>
        <w:lastRenderedPageBreak/>
        <w:t>Potasio</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14:paraId="4A09AE59" w14:textId="74EC07F6" w:rsidR="00C82BCC" w:rsidRDefault="00C82BCC" w:rsidP="00C82BCC">
      <w:pPr>
        <w:autoSpaceDE w:val="0"/>
        <w:autoSpaceDN w:val="0"/>
        <w:adjustRightInd w:val="0"/>
        <w:spacing w:after="0" w:line="360" w:lineRule="auto"/>
        <w:jc w:val="center"/>
        <w:rPr>
          <w:rFonts w:cs="Times New Roman"/>
          <w:szCs w:val="24"/>
        </w:rPr>
      </w:pPr>
      <w:r>
        <w:rPr>
          <w:rFonts w:cs="Times New Roman"/>
          <w:noProof/>
          <w:szCs w:val="24"/>
          <w:lang w:eastAsia="es-EC"/>
        </w:rPr>
        <w:drawing>
          <wp:inline distT="0" distB="0" distL="0" distR="0" wp14:anchorId="257DB2C2" wp14:editId="5B9DEFB8">
            <wp:extent cx="4130040" cy="1981200"/>
            <wp:effectExtent l="0" t="0" r="3810" b="0"/>
            <wp:docPr id="98" name="Gráfico 98">
              <a:extLst xmlns:a="http://schemas.openxmlformats.org/drawingml/2006/main">
                <a:ext uri="{FF2B5EF4-FFF2-40B4-BE49-F238E27FC236}">
                  <a16:creationId xmlns:a16="http://schemas.microsoft.com/office/drawing/2014/main" id="{93B19D49-C905-4847-891A-0DD9527CE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8BE8F7B" w14:textId="2EF9E44A" w:rsidR="00590F00" w:rsidRPr="00590F00" w:rsidRDefault="00590F00" w:rsidP="0074674B">
      <w:pPr>
        <w:pStyle w:val="Ttulo1"/>
        <w:numPr>
          <w:ilvl w:val="0"/>
          <w:numId w:val="19"/>
        </w:numPr>
        <w:spacing w:before="360" w:after="360"/>
        <w:ind w:left="714" w:hanging="357"/>
        <w:rPr>
          <w:b w:val="0"/>
          <w:bCs w:val="0"/>
        </w:rPr>
      </w:pPr>
      <w:bookmarkStart w:id="2076" w:name="_Toc72704706"/>
      <w:bookmarkStart w:id="2077" w:name="_Toc72706413"/>
      <w:bookmarkStart w:id="2078" w:name="_Toc72741363"/>
      <w:bookmarkStart w:id="2079" w:name="_Toc72742959"/>
      <w:bookmarkStart w:id="2080" w:name="_Toc72881312"/>
      <w:bookmarkStart w:id="2081" w:name="_Toc72881683"/>
      <w:bookmarkStart w:id="2082" w:name="_Toc75606551"/>
      <w:bookmarkStart w:id="2083" w:name="_Toc75612030"/>
      <w:bookmarkStart w:id="2084" w:name="_Toc75612876"/>
      <w:bookmarkStart w:id="2085" w:name="_Toc75680032"/>
      <w:bookmarkStart w:id="2086" w:name="_Toc75702640"/>
      <w:bookmarkStart w:id="2087" w:name="_Toc79313250"/>
      <w:bookmarkStart w:id="2088" w:name="_Toc80008467"/>
      <w:bookmarkStart w:id="2089" w:name="_Toc80312360"/>
      <w:r>
        <w:rPr>
          <w:b w:val="0"/>
          <w:bCs w:val="0"/>
        </w:rPr>
        <w:t>Azufre</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14:paraId="707260C6" w14:textId="22F06EE6" w:rsidR="00C82BCC" w:rsidRDefault="00C82BCC" w:rsidP="00C82BCC">
      <w:pPr>
        <w:autoSpaceDE w:val="0"/>
        <w:autoSpaceDN w:val="0"/>
        <w:adjustRightInd w:val="0"/>
        <w:spacing w:after="0" w:line="360" w:lineRule="auto"/>
        <w:jc w:val="center"/>
        <w:rPr>
          <w:rFonts w:cs="Times New Roman"/>
          <w:szCs w:val="24"/>
        </w:rPr>
      </w:pPr>
      <w:r>
        <w:rPr>
          <w:rFonts w:cs="Times New Roman"/>
          <w:noProof/>
          <w:szCs w:val="24"/>
          <w:lang w:eastAsia="es-EC"/>
        </w:rPr>
        <w:drawing>
          <wp:inline distT="0" distB="0" distL="0" distR="0" wp14:anchorId="623F83F5" wp14:editId="30FF4104">
            <wp:extent cx="4069080" cy="1965960"/>
            <wp:effectExtent l="0" t="0" r="7620" b="15240"/>
            <wp:docPr id="99" name="Gráfico 99">
              <a:extLst xmlns:a="http://schemas.openxmlformats.org/drawingml/2006/main">
                <a:ext uri="{FF2B5EF4-FFF2-40B4-BE49-F238E27FC236}">
                  <a16:creationId xmlns:a16="http://schemas.microsoft.com/office/drawing/2014/main" id="{C3FA7821-B5E7-482F-90E5-B77B1D61F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F780F7" w14:textId="779CBCDD" w:rsidR="00C82BCC" w:rsidRPr="0074674B" w:rsidRDefault="00590F00" w:rsidP="0074674B">
      <w:pPr>
        <w:pStyle w:val="Ttulo1"/>
        <w:numPr>
          <w:ilvl w:val="0"/>
          <w:numId w:val="19"/>
        </w:numPr>
        <w:spacing w:before="360" w:after="360"/>
        <w:ind w:left="714" w:hanging="357"/>
        <w:rPr>
          <w:b w:val="0"/>
          <w:bCs w:val="0"/>
        </w:rPr>
      </w:pPr>
      <w:bookmarkStart w:id="2090" w:name="_Toc72704707"/>
      <w:bookmarkStart w:id="2091" w:name="_Toc72706414"/>
      <w:bookmarkStart w:id="2092" w:name="_Toc72741364"/>
      <w:bookmarkStart w:id="2093" w:name="_Toc72742960"/>
      <w:bookmarkStart w:id="2094" w:name="_Toc72881313"/>
      <w:bookmarkStart w:id="2095" w:name="_Toc72881684"/>
      <w:bookmarkStart w:id="2096" w:name="_Toc75606552"/>
      <w:bookmarkStart w:id="2097" w:name="_Toc75612031"/>
      <w:bookmarkStart w:id="2098" w:name="_Toc75612877"/>
      <w:bookmarkStart w:id="2099" w:name="_Toc75680033"/>
      <w:bookmarkStart w:id="2100" w:name="_Toc75702641"/>
      <w:bookmarkStart w:id="2101" w:name="_Toc79313251"/>
      <w:bookmarkStart w:id="2102" w:name="_Toc80008468"/>
      <w:bookmarkStart w:id="2103" w:name="_Toc80312361"/>
      <w:r>
        <w:rPr>
          <w:b w:val="0"/>
          <w:bCs w:val="0"/>
        </w:rPr>
        <w:t>Magnesio</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281B7972" w14:textId="11E34C26" w:rsidR="00C82BCC" w:rsidRDefault="00C82BCC" w:rsidP="00C82BCC">
      <w:pPr>
        <w:autoSpaceDE w:val="0"/>
        <w:autoSpaceDN w:val="0"/>
        <w:adjustRightInd w:val="0"/>
        <w:spacing w:after="0" w:line="360" w:lineRule="auto"/>
        <w:jc w:val="center"/>
        <w:rPr>
          <w:rFonts w:cs="Times New Roman"/>
          <w:szCs w:val="24"/>
        </w:rPr>
      </w:pPr>
      <w:r>
        <w:rPr>
          <w:rFonts w:cs="Times New Roman"/>
          <w:noProof/>
          <w:szCs w:val="24"/>
          <w:lang w:eastAsia="es-EC"/>
        </w:rPr>
        <w:drawing>
          <wp:inline distT="0" distB="0" distL="0" distR="0" wp14:anchorId="39B632C8" wp14:editId="76978F70">
            <wp:extent cx="4114800" cy="2164080"/>
            <wp:effectExtent l="0" t="0" r="0" b="7620"/>
            <wp:docPr id="100" name="Gráfico 100">
              <a:extLst xmlns:a="http://schemas.openxmlformats.org/drawingml/2006/main">
                <a:ext uri="{FF2B5EF4-FFF2-40B4-BE49-F238E27FC236}">
                  <a16:creationId xmlns:a16="http://schemas.microsoft.com/office/drawing/2014/main" id="{0BCBE66B-3D2B-4C03-83BD-2D76C3F95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724BB43" w14:textId="77777777" w:rsidR="0074674B" w:rsidRDefault="0074674B" w:rsidP="00C82BCC">
      <w:pPr>
        <w:spacing w:line="360" w:lineRule="auto"/>
        <w:rPr>
          <w:rFonts w:cs="Times New Roman"/>
          <w:szCs w:val="24"/>
        </w:rPr>
      </w:pPr>
    </w:p>
    <w:p w14:paraId="305114C6" w14:textId="4CC9D900" w:rsidR="00C82BCC" w:rsidRDefault="00C82BCC" w:rsidP="0074674B">
      <w:pPr>
        <w:pStyle w:val="Ttulo3"/>
        <w:spacing w:before="360" w:after="360"/>
        <w:rPr>
          <w:rFonts w:eastAsia="Times New Roman"/>
          <w:color w:val="000000"/>
          <w:lang w:eastAsia="es-EC"/>
        </w:rPr>
      </w:pPr>
      <w:bookmarkStart w:id="2104" w:name="_Toc80312362"/>
      <w:r>
        <w:lastRenderedPageBreak/>
        <w:t>A</w:t>
      </w:r>
      <w:r w:rsidR="0089298E">
        <w:t>b</w:t>
      </w:r>
      <w:r>
        <w:t>sorción de fósforo</w:t>
      </w:r>
      <w:r>
        <w:rPr>
          <w:rFonts w:eastAsia="Times New Roman"/>
          <w:color w:val="000000"/>
          <w:lang w:eastAsia="es-EC"/>
        </w:rPr>
        <w:t xml:space="preserve"> (</w:t>
      </w:r>
      <w:r>
        <w:t>Kg</w:t>
      </w:r>
      <w:r>
        <w:rPr>
          <w:rFonts w:eastAsia="Times New Roman"/>
          <w:color w:val="000000"/>
          <w:lang w:eastAsia="es-EC"/>
        </w:rPr>
        <w:t>/</w:t>
      </w:r>
      <w:r>
        <w:t>ha</w:t>
      </w:r>
      <w:r>
        <w:rPr>
          <w:vertAlign w:val="superscript"/>
        </w:rPr>
        <w:t>-1</w:t>
      </w:r>
      <w:r>
        <w:rPr>
          <w:rFonts w:eastAsia="Times New Roman"/>
          <w:color w:val="000000"/>
          <w:lang w:eastAsia="es-EC"/>
        </w:rPr>
        <w:t>)</w:t>
      </w:r>
      <w:bookmarkEnd w:id="2104"/>
    </w:p>
    <w:p w14:paraId="106CC082" w14:textId="77777777" w:rsidR="0074674B" w:rsidRDefault="00C82BCC" w:rsidP="0074674B">
      <w:pPr>
        <w:autoSpaceDE w:val="0"/>
        <w:autoSpaceDN w:val="0"/>
        <w:adjustRightInd w:val="0"/>
        <w:spacing w:after="0" w:line="360" w:lineRule="auto"/>
        <w:rPr>
          <w:rFonts w:cs="Times New Roman"/>
          <w:b/>
          <w:bCs/>
          <w:color w:val="0000FF"/>
        </w:rPr>
      </w:pPr>
      <w:r>
        <w:rPr>
          <w:rFonts w:cs="Times New Roman"/>
          <w:szCs w:val="24"/>
        </w:rPr>
        <w:t>Al utilizar el modelo estadístico para la absorción total de fósforo, se detectaron diferencias estadísticas significativas (p &lt;0,05) para las fuentes de variación de provincia, nitrógeno, fósforo, potasio, azufre y magnesio; mientras que no fueron significativos para dosis de fósforo y magnesio (</w:t>
      </w:r>
      <w:r w:rsidR="00D44F3A">
        <w:rPr>
          <w:rFonts w:cs="Times New Roman"/>
          <w:szCs w:val="24"/>
        </w:rPr>
        <w:t>Cuadro</w:t>
      </w:r>
      <w:r>
        <w:rPr>
          <w:rFonts w:cs="Times New Roman"/>
          <w:szCs w:val="24"/>
        </w:rPr>
        <w:t xml:space="preserve"> 15</w:t>
      </w:r>
      <w:r w:rsidR="0039325D">
        <w:rPr>
          <w:rFonts w:cs="Times New Roman"/>
          <w:szCs w:val="24"/>
        </w:rPr>
        <w:t>5</w:t>
      </w:r>
      <w:r>
        <w:rPr>
          <w:rFonts w:cs="Times New Roman"/>
          <w:szCs w:val="24"/>
        </w:rPr>
        <w:t xml:space="preserve">). Por lo tanto, las dosis de los fertilizantes </w:t>
      </w:r>
      <w:r w:rsidR="005E2D30">
        <w:rPr>
          <w:rFonts w:cs="Times New Roman"/>
          <w:szCs w:val="24"/>
        </w:rPr>
        <w:t xml:space="preserve">con nitrógeno, fósforo, potasio, azufre y magnesio </w:t>
      </w:r>
      <w:r>
        <w:rPr>
          <w:rFonts w:cs="Times New Roman"/>
          <w:szCs w:val="24"/>
        </w:rPr>
        <w:t>afectaron a esta variable. El promedio general de la absorción total de fósforo fue 26,38 Kg ha</w:t>
      </w:r>
      <w:r>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0,63 y un coeficiente de variación fue de 31,82 %</w:t>
      </w:r>
      <w:r>
        <w:rPr>
          <w:rFonts w:cs="Times New Roman"/>
          <w:b/>
          <w:bCs/>
          <w:color w:val="0000FF"/>
        </w:rPr>
        <w:t>.</w:t>
      </w:r>
      <w:bookmarkStart w:id="2105" w:name="_Toc79314147"/>
    </w:p>
    <w:p w14:paraId="27FC1DBB" w14:textId="1661C097" w:rsidR="00665432" w:rsidRPr="0074674B" w:rsidRDefault="00665432" w:rsidP="0074674B">
      <w:pPr>
        <w:autoSpaceDE w:val="0"/>
        <w:autoSpaceDN w:val="0"/>
        <w:adjustRightInd w:val="0"/>
        <w:spacing w:before="360" w:after="0" w:line="360" w:lineRule="auto"/>
        <w:rPr>
          <w:rFonts w:cs="Times New Roman"/>
          <w:b/>
          <w:bCs/>
          <w:color w:val="0000FF"/>
        </w:rPr>
      </w:pPr>
      <w:r w:rsidRPr="00665432">
        <w:rPr>
          <w:rFonts w:cs="Times New Roman"/>
          <w:b/>
          <w:szCs w:val="24"/>
        </w:rPr>
        <w:t xml:space="preserve">Cuadro </w:t>
      </w:r>
      <w:r w:rsidRPr="00665432">
        <w:rPr>
          <w:rFonts w:cs="Times New Roman"/>
          <w:b/>
          <w:i/>
          <w:iCs/>
          <w:szCs w:val="24"/>
        </w:rPr>
        <w:fldChar w:fldCharType="begin"/>
      </w:r>
      <w:r w:rsidRPr="00665432">
        <w:rPr>
          <w:rFonts w:cs="Times New Roman"/>
          <w:b/>
          <w:szCs w:val="24"/>
        </w:rPr>
        <w:instrText xml:space="preserve"> SEQ Cuadro \* ARABIC </w:instrText>
      </w:r>
      <w:r w:rsidRPr="00665432">
        <w:rPr>
          <w:rFonts w:cs="Times New Roman"/>
          <w:b/>
          <w:i/>
          <w:iCs/>
          <w:szCs w:val="24"/>
        </w:rPr>
        <w:fldChar w:fldCharType="separate"/>
      </w:r>
      <w:r w:rsidR="000D1F55">
        <w:rPr>
          <w:rFonts w:cs="Times New Roman"/>
          <w:b/>
          <w:noProof/>
          <w:szCs w:val="24"/>
        </w:rPr>
        <w:t>155</w:t>
      </w:r>
      <w:r w:rsidRPr="00665432">
        <w:rPr>
          <w:rFonts w:cs="Times New Roman"/>
          <w:b/>
          <w:i/>
          <w:iCs/>
          <w:szCs w:val="24"/>
        </w:rPr>
        <w:fldChar w:fldCharType="end"/>
      </w:r>
      <w:r w:rsidRPr="00665432">
        <w:rPr>
          <w:rFonts w:cs="Times New Roman"/>
          <w:szCs w:val="24"/>
        </w:rPr>
        <w:t>. Análisis de la Varianza (SC tipo I) y porcentaje de varianza para absorción de fósforo de maíz suave, evaluado en las provincias de Bolívar, Chimborazo, Imbabura (2006-2015).</w:t>
      </w:r>
      <w:bookmarkEnd w:id="2105"/>
    </w:p>
    <w:tbl>
      <w:tblPr>
        <w:tblW w:w="5000" w:type="pct"/>
        <w:tblCellMar>
          <w:left w:w="70" w:type="dxa"/>
          <w:right w:w="70" w:type="dxa"/>
        </w:tblCellMar>
        <w:tblLook w:val="04A0" w:firstRow="1" w:lastRow="0" w:firstColumn="1" w:lastColumn="0" w:noHBand="0" w:noVBand="1"/>
      </w:tblPr>
      <w:tblGrid>
        <w:gridCol w:w="1088"/>
        <w:gridCol w:w="1088"/>
        <w:gridCol w:w="1090"/>
        <w:gridCol w:w="1090"/>
        <w:gridCol w:w="1092"/>
        <w:gridCol w:w="1092"/>
        <w:gridCol w:w="1387"/>
      </w:tblGrid>
      <w:tr w:rsidR="00C82BCC" w14:paraId="38ADBDC4" w14:textId="77777777" w:rsidTr="00665432">
        <w:trPr>
          <w:trHeight w:val="300"/>
        </w:trPr>
        <w:tc>
          <w:tcPr>
            <w:tcW w:w="696" w:type="pct"/>
            <w:tcBorders>
              <w:top w:val="single" w:sz="4" w:space="0" w:color="auto"/>
              <w:left w:val="single" w:sz="4" w:space="0" w:color="auto"/>
              <w:bottom w:val="single" w:sz="4" w:space="0" w:color="auto"/>
              <w:right w:val="single" w:sz="4" w:space="0" w:color="auto"/>
            </w:tcBorders>
            <w:noWrap/>
            <w:vAlign w:val="bottom"/>
            <w:hideMark/>
          </w:tcPr>
          <w:p w14:paraId="2CA71E33"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696" w:type="pct"/>
            <w:tcBorders>
              <w:top w:val="single" w:sz="4" w:space="0" w:color="auto"/>
              <w:left w:val="nil"/>
              <w:bottom w:val="single" w:sz="4" w:space="0" w:color="auto"/>
              <w:right w:val="single" w:sz="4" w:space="0" w:color="auto"/>
            </w:tcBorders>
            <w:noWrap/>
            <w:vAlign w:val="bottom"/>
            <w:hideMark/>
          </w:tcPr>
          <w:p w14:paraId="223E686A"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697" w:type="pct"/>
            <w:tcBorders>
              <w:top w:val="single" w:sz="4" w:space="0" w:color="auto"/>
              <w:left w:val="nil"/>
              <w:bottom w:val="single" w:sz="4" w:space="0" w:color="auto"/>
              <w:right w:val="single" w:sz="4" w:space="0" w:color="auto"/>
            </w:tcBorders>
            <w:noWrap/>
            <w:vAlign w:val="bottom"/>
            <w:hideMark/>
          </w:tcPr>
          <w:p w14:paraId="4F3874D6"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gl </w:t>
            </w:r>
          </w:p>
        </w:tc>
        <w:tc>
          <w:tcPr>
            <w:tcW w:w="697" w:type="pct"/>
            <w:tcBorders>
              <w:top w:val="single" w:sz="4" w:space="0" w:color="auto"/>
              <w:left w:val="nil"/>
              <w:bottom w:val="single" w:sz="4" w:space="0" w:color="auto"/>
              <w:right w:val="single" w:sz="4" w:space="0" w:color="auto"/>
            </w:tcBorders>
            <w:noWrap/>
            <w:vAlign w:val="bottom"/>
            <w:hideMark/>
          </w:tcPr>
          <w:p w14:paraId="43E716C6"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698" w:type="pct"/>
            <w:tcBorders>
              <w:top w:val="single" w:sz="4" w:space="0" w:color="auto"/>
              <w:left w:val="nil"/>
              <w:bottom w:val="single" w:sz="4" w:space="0" w:color="auto"/>
              <w:right w:val="single" w:sz="4" w:space="0" w:color="auto"/>
            </w:tcBorders>
            <w:noWrap/>
            <w:vAlign w:val="bottom"/>
            <w:hideMark/>
          </w:tcPr>
          <w:p w14:paraId="13618C63"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698" w:type="pct"/>
            <w:tcBorders>
              <w:top w:val="single" w:sz="4" w:space="0" w:color="auto"/>
              <w:left w:val="nil"/>
              <w:bottom w:val="single" w:sz="4" w:space="0" w:color="auto"/>
              <w:right w:val="single" w:sz="4" w:space="0" w:color="auto"/>
            </w:tcBorders>
            <w:noWrap/>
            <w:vAlign w:val="bottom"/>
            <w:hideMark/>
          </w:tcPr>
          <w:p w14:paraId="20537F5E"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817" w:type="pct"/>
            <w:tcBorders>
              <w:top w:val="single" w:sz="4" w:space="0" w:color="auto"/>
              <w:left w:val="nil"/>
              <w:bottom w:val="single" w:sz="4" w:space="0" w:color="auto"/>
              <w:right w:val="single" w:sz="4" w:space="0" w:color="auto"/>
            </w:tcBorders>
            <w:noWrap/>
            <w:vAlign w:val="bottom"/>
            <w:hideMark/>
          </w:tcPr>
          <w:p w14:paraId="3E4A04FA"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0E0C77F6"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7C55E4F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96" w:type="pct"/>
            <w:tcBorders>
              <w:top w:val="nil"/>
              <w:left w:val="nil"/>
              <w:bottom w:val="single" w:sz="4" w:space="0" w:color="auto"/>
              <w:right w:val="single" w:sz="4" w:space="0" w:color="auto"/>
            </w:tcBorders>
            <w:noWrap/>
            <w:vAlign w:val="bottom"/>
            <w:hideMark/>
          </w:tcPr>
          <w:p w14:paraId="063DACA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25408,38</w:t>
            </w:r>
          </w:p>
        </w:tc>
        <w:tc>
          <w:tcPr>
            <w:tcW w:w="697" w:type="pct"/>
            <w:tcBorders>
              <w:top w:val="nil"/>
              <w:left w:val="nil"/>
              <w:bottom w:val="single" w:sz="4" w:space="0" w:color="auto"/>
              <w:right w:val="single" w:sz="4" w:space="0" w:color="auto"/>
            </w:tcBorders>
            <w:noWrap/>
            <w:vAlign w:val="bottom"/>
            <w:hideMark/>
          </w:tcPr>
          <w:p w14:paraId="0714485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697" w:type="pct"/>
            <w:tcBorders>
              <w:top w:val="nil"/>
              <w:left w:val="nil"/>
              <w:bottom w:val="single" w:sz="4" w:space="0" w:color="auto"/>
              <w:right w:val="single" w:sz="4" w:space="0" w:color="auto"/>
            </w:tcBorders>
            <w:noWrap/>
            <w:vAlign w:val="bottom"/>
            <w:hideMark/>
          </w:tcPr>
          <w:p w14:paraId="3027559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819,63</w:t>
            </w:r>
          </w:p>
        </w:tc>
        <w:tc>
          <w:tcPr>
            <w:tcW w:w="698" w:type="pct"/>
            <w:tcBorders>
              <w:top w:val="nil"/>
              <w:left w:val="nil"/>
              <w:bottom w:val="single" w:sz="4" w:space="0" w:color="auto"/>
              <w:right w:val="single" w:sz="4" w:space="0" w:color="auto"/>
            </w:tcBorders>
            <w:noWrap/>
            <w:vAlign w:val="bottom"/>
            <w:hideMark/>
          </w:tcPr>
          <w:p w14:paraId="700B7FF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11,63</w:t>
            </w:r>
          </w:p>
        </w:tc>
        <w:tc>
          <w:tcPr>
            <w:tcW w:w="698" w:type="pct"/>
            <w:tcBorders>
              <w:top w:val="nil"/>
              <w:left w:val="nil"/>
              <w:bottom w:val="single" w:sz="4" w:space="0" w:color="auto"/>
              <w:right w:val="single" w:sz="4" w:space="0" w:color="auto"/>
            </w:tcBorders>
            <w:noWrap/>
            <w:vAlign w:val="bottom"/>
            <w:hideMark/>
          </w:tcPr>
          <w:p w14:paraId="0438CEB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126028D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63,31</w:t>
            </w:r>
          </w:p>
        </w:tc>
      </w:tr>
      <w:tr w:rsidR="00C82BCC" w14:paraId="5B948096"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0F62CB6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Provincia</w:t>
            </w:r>
          </w:p>
        </w:tc>
        <w:tc>
          <w:tcPr>
            <w:tcW w:w="696" w:type="pct"/>
            <w:tcBorders>
              <w:top w:val="nil"/>
              <w:left w:val="nil"/>
              <w:bottom w:val="single" w:sz="4" w:space="0" w:color="auto"/>
              <w:right w:val="single" w:sz="4" w:space="0" w:color="auto"/>
            </w:tcBorders>
            <w:noWrap/>
            <w:vAlign w:val="bottom"/>
            <w:hideMark/>
          </w:tcPr>
          <w:p w14:paraId="5C21AFE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16090,52</w:t>
            </w:r>
          </w:p>
        </w:tc>
        <w:tc>
          <w:tcPr>
            <w:tcW w:w="697" w:type="pct"/>
            <w:tcBorders>
              <w:top w:val="nil"/>
              <w:left w:val="nil"/>
              <w:bottom w:val="single" w:sz="4" w:space="0" w:color="auto"/>
              <w:right w:val="single" w:sz="4" w:space="0" w:color="auto"/>
            </w:tcBorders>
            <w:noWrap/>
            <w:vAlign w:val="bottom"/>
            <w:hideMark/>
          </w:tcPr>
          <w:p w14:paraId="1366962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97" w:type="pct"/>
            <w:tcBorders>
              <w:top w:val="nil"/>
              <w:left w:val="nil"/>
              <w:bottom w:val="single" w:sz="4" w:space="0" w:color="auto"/>
              <w:right w:val="single" w:sz="4" w:space="0" w:color="auto"/>
            </w:tcBorders>
            <w:noWrap/>
            <w:vAlign w:val="bottom"/>
            <w:hideMark/>
          </w:tcPr>
          <w:p w14:paraId="619A159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8045,26</w:t>
            </w:r>
          </w:p>
        </w:tc>
        <w:tc>
          <w:tcPr>
            <w:tcW w:w="698" w:type="pct"/>
            <w:tcBorders>
              <w:top w:val="nil"/>
              <w:left w:val="nil"/>
              <w:bottom w:val="single" w:sz="4" w:space="0" w:color="auto"/>
              <w:right w:val="single" w:sz="4" w:space="0" w:color="auto"/>
            </w:tcBorders>
            <w:noWrap/>
            <w:vAlign w:val="bottom"/>
            <w:hideMark/>
          </w:tcPr>
          <w:p w14:paraId="6F3B95D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114,18</w:t>
            </w:r>
          </w:p>
        </w:tc>
        <w:tc>
          <w:tcPr>
            <w:tcW w:w="698" w:type="pct"/>
            <w:tcBorders>
              <w:top w:val="nil"/>
              <w:left w:val="nil"/>
              <w:bottom w:val="single" w:sz="4" w:space="0" w:color="auto"/>
              <w:right w:val="single" w:sz="4" w:space="0" w:color="auto"/>
            </w:tcBorders>
            <w:noWrap/>
            <w:vAlign w:val="bottom"/>
            <w:hideMark/>
          </w:tcPr>
          <w:p w14:paraId="5BEFBA8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16D3EF6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40,09</w:t>
            </w:r>
          </w:p>
        </w:tc>
      </w:tr>
      <w:tr w:rsidR="00C82BCC" w14:paraId="459FFCD5"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6B15D47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96" w:type="pct"/>
            <w:tcBorders>
              <w:top w:val="nil"/>
              <w:left w:val="nil"/>
              <w:bottom w:val="single" w:sz="4" w:space="0" w:color="auto"/>
              <w:right w:val="single" w:sz="4" w:space="0" w:color="auto"/>
            </w:tcBorders>
            <w:noWrap/>
            <w:vAlign w:val="bottom"/>
            <w:hideMark/>
          </w:tcPr>
          <w:p w14:paraId="3F85524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1902,9</w:t>
            </w:r>
          </w:p>
        </w:tc>
        <w:tc>
          <w:tcPr>
            <w:tcW w:w="697" w:type="pct"/>
            <w:tcBorders>
              <w:top w:val="nil"/>
              <w:left w:val="nil"/>
              <w:bottom w:val="single" w:sz="4" w:space="0" w:color="auto"/>
              <w:right w:val="single" w:sz="4" w:space="0" w:color="auto"/>
            </w:tcBorders>
            <w:noWrap/>
            <w:vAlign w:val="bottom"/>
            <w:hideMark/>
          </w:tcPr>
          <w:p w14:paraId="78B2D86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w:t>
            </w:r>
          </w:p>
        </w:tc>
        <w:tc>
          <w:tcPr>
            <w:tcW w:w="697" w:type="pct"/>
            <w:tcBorders>
              <w:top w:val="nil"/>
              <w:left w:val="nil"/>
              <w:bottom w:val="single" w:sz="4" w:space="0" w:color="auto"/>
              <w:right w:val="single" w:sz="4" w:space="0" w:color="auto"/>
            </w:tcBorders>
            <w:noWrap/>
            <w:vAlign w:val="bottom"/>
            <w:hideMark/>
          </w:tcPr>
          <w:p w14:paraId="002469A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211,43</w:t>
            </w:r>
          </w:p>
        </w:tc>
        <w:tc>
          <w:tcPr>
            <w:tcW w:w="698" w:type="pct"/>
            <w:tcBorders>
              <w:top w:val="nil"/>
              <w:left w:val="nil"/>
              <w:bottom w:val="single" w:sz="4" w:space="0" w:color="auto"/>
              <w:right w:val="single" w:sz="4" w:space="0" w:color="auto"/>
            </w:tcBorders>
            <w:noWrap/>
            <w:vAlign w:val="bottom"/>
            <w:hideMark/>
          </w:tcPr>
          <w:p w14:paraId="0FF689F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w:t>
            </w:r>
          </w:p>
        </w:tc>
        <w:tc>
          <w:tcPr>
            <w:tcW w:w="698" w:type="pct"/>
            <w:tcBorders>
              <w:top w:val="nil"/>
              <w:left w:val="nil"/>
              <w:bottom w:val="single" w:sz="4" w:space="0" w:color="auto"/>
              <w:right w:val="single" w:sz="4" w:space="0" w:color="auto"/>
            </w:tcBorders>
            <w:noWrap/>
            <w:vAlign w:val="bottom"/>
            <w:hideMark/>
          </w:tcPr>
          <w:p w14:paraId="00183942"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0,0022</w:t>
            </w:r>
          </w:p>
        </w:tc>
        <w:tc>
          <w:tcPr>
            <w:tcW w:w="817" w:type="pct"/>
            <w:tcBorders>
              <w:top w:val="nil"/>
              <w:left w:val="nil"/>
              <w:bottom w:val="single" w:sz="4" w:space="0" w:color="auto"/>
              <w:right w:val="single" w:sz="4" w:space="0" w:color="auto"/>
            </w:tcBorders>
            <w:noWrap/>
            <w:vAlign w:val="bottom"/>
            <w:hideMark/>
          </w:tcPr>
          <w:p w14:paraId="3C59370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4,74</w:t>
            </w:r>
          </w:p>
        </w:tc>
      </w:tr>
      <w:tr w:rsidR="00C82BCC" w14:paraId="7D1DD8D5"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25B35E6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96" w:type="pct"/>
            <w:tcBorders>
              <w:top w:val="nil"/>
              <w:left w:val="nil"/>
              <w:bottom w:val="single" w:sz="4" w:space="0" w:color="auto"/>
              <w:right w:val="single" w:sz="4" w:space="0" w:color="auto"/>
            </w:tcBorders>
            <w:noWrap/>
            <w:vAlign w:val="bottom"/>
            <w:hideMark/>
          </w:tcPr>
          <w:p w14:paraId="6D398C4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851,23</w:t>
            </w:r>
          </w:p>
        </w:tc>
        <w:tc>
          <w:tcPr>
            <w:tcW w:w="697" w:type="pct"/>
            <w:tcBorders>
              <w:top w:val="nil"/>
              <w:left w:val="nil"/>
              <w:bottom w:val="single" w:sz="4" w:space="0" w:color="auto"/>
              <w:right w:val="single" w:sz="4" w:space="0" w:color="auto"/>
            </w:tcBorders>
            <w:noWrap/>
            <w:vAlign w:val="bottom"/>
            <w:hideMark/>
          </w:tcPr>
          <w:p w14:paraId="53C6769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97" w:type="pct"/>
            <w:tcBorders>
              <w:top w:val="nil"/>
              <w:left w:val="nil"/>
              <w:bottom w:val="single" w:sz="4" w:space="0" w:color="auto"/>
              <w:right w:val="single" w:sz="4" w:space="0" w:color="auto"/>
            </w:tcBorders>
            <w:noWrap/>
            <w:vAlign w:val="bottom"/>
            <w:hideMark/>
          </w:tcPr>
          <w:p w14:paraId="7FC0B57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141,87</w:t>
            </w:r>
          </w:p>
        </w:tc>
        <w:tc>
          <w:tcPr>
            <w:tcW w:w="698" w:type="pct"/>
            <w:tcBorders>
              <w:top w:val="nil"/>
              <w:left w:val="nil"/>
              <w:bottom w:val="single" w:sz="4" w:space="0" w:color="auto"/>
              <w:right w:val="single" w:sz="4" w:space="0" w:color="auto"/>
            </w:tcBorders>
            <w:noWrap/>
            <w:vAlign w:val="bottom"/>
            <w:hideMark/>
          </w:tcPr>
          <w:p w14:paraId="1EFE163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2,01</w:t>
            </w:r>
          </w:p>
        </w:tc>
        <w:tc>
          <w:tcPr>
            <w:tcW w:w="698" w:type="pct"/>
            <w:tcBorders>
              <w:top w:val="nil"/>
              <w:left w:val="nil"/>
              <w:bottom w:val="single" w:sz="4" w:space="0" w:color="auto"/>
              <w:right w:val="single" w:sz="4" w:space="0" w:color="auto"/>
            </w:tcBorders>
            <w:noWrap/>
            <w:vAlign w:val="bottom"/>
            <w:hideMark/>
          </w:tcPr>
          <w:p w14:paraId="14A7AF4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0,0652</w:t>
            </w:r>
          </w:p>
        </w:tc>
        <w:tc>
          <w:tcPr>
            <w:tcW w:w="817" w:type="pct"/>
            <w:tcBorders>
              <w:top w:val="nil"/>
              <w:left w:val="nil"/>
              <w:bottom w:val="single" w:sz="4" w:space="0" w:color="auto"/>
              <w:right w:val="single" w:sz="4" w:space="0" w:color="auto"/>
            </w:tcBorders>
            <w:noWrap/>
            <w:vAlign w:val="bottom"/>
            <w:hideMark/>
          </w:tcPr>
          <w:p w14:paraId="7FFBE21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2,12</w:t>
            </w:r>
          </w:p>
        </w:tc>
      </w:tr>
      <w:tr w:rsidR="00C82BCC" w14:paraId="2AE45088"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7D14580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96" w:type="pct"/>
            <w:tcBorders>
              <w:top w:val="nil"/>
              <w:left w:val="nil"/>
              <w:bottom w:val="single" w:sz="4" w:space="0" w:color="auto"/>
              <w:right w:val="single" w:sz="4" w:space="0" w:color="auto"/>
            </w:tcBorders>
            <w:noWrap/>
            <w:vAlign w:val="bottom"/>
            <w:hideMark/>
          </w:tcPr>
          <w:p w14:paraId="108270C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2966,61</w:t>
            </w:r>
          </w:p>
        </w:tc>
        <w:tc>
          <w:tcPr>
            <w:tcW w:w="697" w:type="pct"/>
            <w:tcBorders>
              <w:top w:val="nil"/>
              <w:left w:val="nil"/>
              <w:bottom w:val="single" w:sz="4" w:space="0" w:color="auto"/>
              <w:right w:val="single" w:sz="4" w:space="0" w:color="auto"/>
            </w:tcBorders>
            <w:noWrap/>
            <w:vAlign w:val="bottom"/>
            <w:hideMark/>
          </w:tcPr>
          <w:p w14:paraId="772DEAA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97" w:type="pct"/>
            <w:tcBorders>
              <w:top w:val="nil"/>
              <w:left w:val="nil"/>
              <w:bottom w:val="single" w:sz="4" w:space="0" w:color="auto"/>
              <w:right w:val="single" w:sz="4" w:space="0" w:color="auto"/>
            </w:tcBorders>
            <w:noWrap/>
            <w:vAlign w:val="bottom"/>
            <w:hideMark/>
          </w:tcPr>
          <w:p w14:paraId="378FA00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494,44</w:t>
            </w:r>
          </w:p>
        </w:tc>
        <w:tc>
          <w:tcPr>
            <w:tcW w:w="698" w:type="pct"/>
            <w:tcBorders>
              <w:top w:val="nil"/>
              <w:left w:val="nil"/>
              <w:bottom w:val="single" w:sz="4" w:space="0" w:color="auto"/>
              <w:right w:val="single" w:sz="4" w:space="0" w:color="auto"/>
            </w:tcBorders>
            <w:noWrap/>
            <w:vAlign w:val="bottom"/>
            <w:hideMark/>
          </w:tcPr>
          <w:p w14:paraId="1BFBB99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7,02</w:t>
            </w:r>
          </w:p>
        </w:tc>
        <w:tc>
          <w:tcPr>
            <w:tcW w:w="698" w:type="pct"/>
            <w:tcBorders>
              <w:top w:val="nil"/>
              <w:left w:val="nil"/>
              <w:bottom w:val="single" w:sz="4" w:space="0" w:color="auto"/>
              <w:right w:val="single" w:sz="4" w:space="0" w:color="auto"/>
            </w:tcBorders>
            <w:noWrap/>
            <w:vAlign w:val="bottom"/>
            <w:hideMark/>
          </w:tcPr>
          <w:p w14:paraId="230C79E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30AE544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7,39</w:t>
            </w:r>
          </w:p>
        </w:tc>
      </w:tr>
      <w:tr w:rsidR="00C82BCC" w14:paraId="2E3FB46C"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13F24D5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96" w:type="pct"/>
            <w:tcBorders>
              <w:top w:val="nil"/>
              <w:left w:val="nil"/>
              <w:bottom w:val="single" w:sz="4" w:space="0" w:color="auto"/>
              <w:right w:val="single" w:sz="4" w:space="0" w:color="auto"/>
            </w:tcBorders>
            <w:noWrap/>
            <w:vAlign w:val="bottom"/>
            <w:hideMark/>
          </w:tcPr>
          <w:p w14:paraId="518DFDF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3304,83</w:t>
            </w:r>
          </w:p>
        </w:tc>
        <w:tc>
          <w:tcPr>
            <w:tcW w:w="697" w:type="pct"/>
            <w:tcBorders>
              <w:top w:val="nil"/>
              <w:left w:val="nil"/>
              <w:bottom w:val="single" w:sz="4" w:space="0" w:color="auto"/>
              <w:right w:val="single" w:sz="4" w:space="0" w:color="auto"/>
            </w:tcBorders>
            <w:noWrap/>
            <w:vAlign w:val="bottom"/>
            <w:hideMark/>
          </w:tcPr>
          <w:p w14:paraId="4F53B94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97" w:type="pct"/>
            <w:tcBorders>
              <w:top w:val="nil"/>
              <w:left w:val="nil"/>
              <w:bottom w:val="single" w:sz="4" w:space="0" w:color="auto"/>
              <w:right w:val="single" w:sz="4" w:space="0" w:color="auto"/>
            </w:tcBorders>
            <w:noWrap/>
            <w:vAlign w:val="bottom"/>
            <w:hideMark/>
          </w:tcPr>
          <w:p w14:paraId="59F7B182"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826,21</w:t>
            </w:r>
          </w:p>
        </w:tc>
        <w:tc>
          <w:tcPr>
            <w:tcW w:w="698" w:type="pct"/>
            <w:tcBorders>
              <w:top w:val="nil"/>
              <w:left w:val="nil"/>
              <w:bottom w:val="single" w:sz="4" w:space="0" w:color="auto"/>
              <w:right w:val="single" w:sz="4" w:space="0" w:color="auto"/>
            </w:tcBorders>
            <w:noWrap/>
            <w:vAlign w:val="bottom"/>
            <w:hideMark/>
          </w:tcPr>
          <w:p w14:paraId="0E61A47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11,73</w:t>
            </w:r>
          </w:p>
        </w:tc>
        <w:tc>
          <w:tcPr>
            <w:tcW w:w="698" w:type="pct"/>
            <w:tcBorders>
              <w:top w:val="nil"/>
              <w:left w:val="nil"/>
              <w:bottom w:val="single" w:sz="4" w:space="0" w:color="auto"/>
              <w:right w:val="single" w:sz="4" w:space="0" w:color="auto"/>
            </w:tcBorders>
            <w:noWrap/>
            <w:vAlign w:val="bottom"/>
            <w:hideMark/>
          </w:tcPr>
          <w:p w14:paraId="52EF33B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3D9F95B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8,23</w:t>
            </w:r>
          </w:p>
        </w:tc>
      </w:tr>
      <w:tr w:rsidR="00C82BCC" w14:paraId="4A019D09"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5CF96162" w14:textId="77777777" w:rsidR="00C82BCC" w:rsidRDefault="00C82BCC" w:rsidP="00CB6919">
            <w:pPr>
              <w:spacing w:after="0" w:line="240" w:lineRule="auto"/>
              <w:jc w:val="center"/>
              <w:rPr>
                <w:rFonts w:eastAsia="Times New Roman" w:cs="Times New Roman"/>
                <w:szCs w:val="24"/>
                <w:lang w:eastAsia="es-EC"/>
              </w:rPr>
            </w:pPr>
            <w:r>
              <w:rPr>
                <w:rFonts w:eastAsia="Times New Roman" w:cs="Times New Roman"/>
                <w:szCs w:val="24"/>
                <w:lang w:eastAsia="es-EC"/>
              </w:rPr>
              <w:t xml:space="preserve">Dosis Mg </w:t>
            </w:r>
          </w:p>
        </w:tc>
        <w:tc>
          <w:tcPr>
            <w:tcW w:w="696" w:type="pct"/>
            <w:tcBorders>
              <w:top w:val="nil"/>
              <w:left w:val="nil"/>
              <w:bottom w:val="single" w:sz="4" w:space="0" w:color="auto"/>
              <w:right w:val="single" w:sz="4" w:space="0" w:color="auto"/>
            </w:tcBorders>
            <w:noWrap/>
            <w:vAlign w:val="bottom"/>
            <w:hideMark/>
          </w:tcPr>
          <w:p w14:paraId="6619D7BF" w14:textId="77777777" w:rsidR="00C82BCC" w:rsidRDefault="00C82BCC" w:rsidP="00CB6919">
            <w:pPr>
              <w:spacing w:after="0" w:line="240" w:lineRule="auto"/>
              <w:jc w:val="center"/>
              <w:rPr>
                <w:rFonts w:eastAsia="Times New Roman" w:cs="Times New Roman"/>
                <w:szCs w:val="24"/>
                <w:lang w:eastAsia="es-EC"/>
              </w:rPr>
            </w:pPr>
            <w:r>
              <w:rPr>
                <w:rFonts w:eastAsia="Times New Roman" w:cs="Times New Roman"/>
                <w:szCs w:val="24"/>
                <w:lang w:eastAsia="es-EC"/>
              </w:rPr>
              <w:t>292,3</w:t>
            </w:r>
          </w:p>
        </w:tc>
        <w:tc>
          <w:tcPr>
            <w:tcW w:w="697" w:type="pct"/>
            <w:tcBorders>
              <w:top w:val="nil"/>
              <w:left w:val="nil"/>
              <w:bottom w:val="single" w:sz="4" w:space="0" w:color="auto"/>
              <w:right w:val="single" w:sz="4" w:space="0" w:color="auto"/>
            </w:tcBorders>
            <w:noWrap/>
            <w:vAlign w:val="bottom"/>
            <w:hideMark/>
          </w:tcPr>
          <w:p w14:paraId="0876B0DA" w14:textId="77777777" w:rsidR="00C82BCC" w:rsidRDefault="00C82BCC" w:rsidP="00CB6919">
            <w:pPr>
              <w:spacing w:after="0" w:line="240" w:lineRule="auto"/>
              <w:jc w:val="center"/>
              <w:rPr>
                <w:rFonts w:eastAsia="Times New Roman" w:cs="Times New Roman"/>
                <w:szCs w:val="24"/>
                <w:lang w:eastAsia="es-EC"/>
              </w:rPr>
            </w:pPr>
            <w:r>
              <w:rPr>
                <w:rFonts w:eastAsia="Times New Roman" w:cs="Times New Roman"/>
                <w:szCs w:val="24"/>
                <w:lang w:eastAsia="es-EC"/>
              </w:rPr>
              <w:t>4</w:t>
            </w:r>
          </w:p>
        </w:tc>
        <w:tc>
          <w:tcPr>
            <w:tcW w:w="697" w:type="pct"/>
            <w:tcBorders>
              <w:top w:val="nil"/>
              <w:left w:val="nil"/>
              <w:bottom w:val="single" w:sz="4" w:space="0" w:color="auto"/>
              <w:right w:val="single" w:sz="4" w:space="0" w:color="auto"/>
            </w:tcBorders>
            <w:noWrap/>
            <w:vAlign w:val="bottom"/>
            <w:hideMark/>
          </w:tcPr>
          <w:p w14:paraId="4C6B5557" w14:textId="77777777" w:rsidR="00C82BCC" w:rsidRDefault="00C82BCC" w:rsidP="00CB6919">
            <w:pPr>
              <w:spacing w:after="0" w:line="240" w:lineRule="auto"/>
              <w:jc w:val="center"/>
              <w:rPr>
                <w:rFonts w:eastAsia="Times New Roman" w:cs="Times New Roman"/>
                <w:szCs w:val="24"/>
                <w:lang w:eastAsia="es-EC"/>
              </w:rPr>
            </w:pPr>
            <w:r>
              <w:rPr>
                <w:rFonts w:eastAsia="Times New Roman" w:cs="Times New Roman"/>
                <w:szCs w:val="24"/>
                <w:lang w:eastAsia="es-EC"/>
              </w:rPr>
              <w:t>73,07</w:t>
            </w:r>
          </w:p>
        </w:tc>
        <w:tc>
          <w:tcPr>
            <w:tcW w:w="698" w:type="pct"/>
            <w:tcBorders>
              <w:top w:val="nil"/>
              <w:left w:val="nil"/>
              <w:bottom w:val="single" w:sz="4" w:space="0" w:color="auto"/>
              <w:right w:val="single" w:sz="4" w:space="0" w:color="auto"/>
            </w:tcBorders>
            <w:noWrap/>
            <w:vAlign w:val="bottom"/>
            <w:hideMark/>
          </w:tcPr>
          <w:p w14:paraId="4CB5C2A5" w14:textId="77777777" w:rsidR="00C82BCC" w:rsidRDefault="00C82BCC" w:rsidP="00CB6919">
            <w:pPr>
              <w:spacing w:after="0" w:line="240" w:lineRule="auto"/>
              <w:jc w:val="center"/>
              <w:rPr>
                <w:rFonts w:eastAsia="Times New Roman" w:cs="Times New Roman"/>
                <w:szCs w:val="24"/>
                <w:lang w:eastAsia="es-EC"/>
              </w:rPr>
            </w:pPr>
            <w:r>
              <w:rPr>
                <w:rFonts w:eastAsia="Times New Roman" w:cs="Times New Roman"/>
                <w:szCs w:val="24"/>
                <w:lang w:eastAsia="es-EC"/>
              </w:rPr>
              <w:t>1,04</w:t>
            </w:r>
          </w:p>
        </w:tc>
        <w:tc>
          <w:tcPr>
            <w:tcW w:w="698" w:type="pct"/>
            <w:tcBorders>
              <w:top w:val="nil"/>
              <w:left w:val="nil"/>
              <w:bottom w:val="single" w:sz="4" w:space="0" w:color="auto"/>
              <w:right w:val="single" w:sz="4" w:space="0" w:color="auto"/>
            </w:tcBorders>
            <w:noWrap/>
            <w:vAlign w:val="bottom"/>
            <w:hideMark/>
          </w:tcPr>
          <w:p w14:paraId="73F91E30" w14:textId="77777777" w:rsidR="00C82BCC" w:rsidRDefault="00C82BCC" w:rsidP="00CB6919">
            <w:pPr>
              <w:spacing w:after="0" w:line="240" w:lineRule="auto"/>
              <w:jc w:val="center"/>
              <w:rPr>
                <w:rFonts w:eastAsia="Times New Roman" w:cs="Times New Roman"/>
                <w:szCs w:val="24"/>
                <w:lang w:eastAsia="es-EC"/>
              </w:rPr>
            </w:pPr>
            <w:r>
              <w:rPr>
                <w:rFonts w:eastAsia="Times New Roman" w:cs="Times New Roman"/>
                <w:szCs w:val="24"/>
                <w:lang w:eastAsia="es-EC"/>
              </w:rPr>
              <w:t>0,389</w:t>
            </w:r>
          </w:p>
        </w:tc>
        <w:tc>
          <w:tcPr>
            <w:tcW w:w="817" w:type="pct"/>
            <w:tcBorders>
              <w:top w:val="nil"/>
              <w:left w:val="nil"/>
              <w:bottom w:val="single" w:sz="4" w:space="0" w:color="auto"/>
              <w:right w:val="single" w:sz="4" w:space="0" w:color="auto"/>
            </w:tcBorders>
            <w:noWrap/>
            <w:vAlign w:val="bottom"/>
            <w:hideMark/>
          </w:tcPr>
          <w:p w14:paraId="37080702"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0,73</w:t>
            </w:r>
          </w:p>
        </w:tc>
      </w:tr>
      <w:tr w:rsidR="00C82BCC" w14:paraId="2B2A82C0"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3AF23CC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96" w:type="pct"/>
            <w:tcBorders>
              <w:top w:val="nil"/>
              <w:left w:val="nil"/>
              <w:bottom w:val="single" w:sz="4" w:space="0" w:color="auto"/>
              <w:right w:val="single" w:sz="4" w:space="0" w:color="auto"/>
            </w:tcBorders>
            <w:noWrap/>
            <w:vAlign w:val="bottom"/>
            <w:hideMark/>
          </w:tcPr>
          <w:p w14:paraId="7A12AEA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14725,87</w:t>
            </w:r>
          </w:p>
        </w:tc>
        <w:tc>
          <w:tcPr>
            <w:tcW w:w="697" w:type="pct"/>
            <w:tcBorders>
              <w:top w:val="nil"/>
              <w:left w:val="nil"/>
              <w:bottom w:val="single" w:sz="4" w:space="0" w:color="auto"/>
              <w:right w:val="single" w:sz="4" w:space="0" w:color="auto"/>
            </w:tcBorders>
            <w:noWrap/>
            <w:vAlign w:val="bottom"/>
            <w:hideMark/>
          </w:tcPr>
          <w:p w14:paraId="39C423E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209</w:t>
            </w:r>
          </w:p>
        </w:tc>
        <w:tc>
          <w:tcPr>
            <w:tcW w:w="697" w:type="pct"/>
            <w:tcBorders>
              <w:top w:val="nil"/>
              <w:left w:val="nil"/>
              <w:bottom w:val="single" w:sz="4" w:space="0" w:color="auto"/>
              <w:right w:val="single" w:sz="4" w:space="0" w:color="auto"/>
            </w:tcBorders>
            <w:noWrap/>
            <w:vAlign w:val="bottom"/>
            <w:hideMark/>
          </w:tcPr>
          <w:p w14:paraId="34A11A1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70,46</w:t>
            </w:r>
          </w:p>
        </w:tc>
        <w:tc>
          <w:tcPr>
            <w:tcW w:w="698" w:type="pct"/>
            <w:tcBorders>
              <w:top w:val="nil"/>
              <w:left w:val="nil"/>
              <w:bottom w:val="single" w:sz="4" w:space="0" w:color="auto"/>
              <w:right w:val="single" w:sz="4" w:space="0" w:color="auto"/>
            </w:tcBorders>
            <w:noWrap/>
            <w:vAlign w:val="bottom"/>
            <w:hideMark/>
          </w:tcPr>
          <w:p w14:paraId="2373F79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32EF58D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17" w:type="pct"/>
            <w:tcBorders>
              <w:top w:val="nil"/>
              <w:left w:val="nil"/>
              <w:bottom w:val="single" w:sz="4" w:space="0" w:color="auto"/>
              <w:right w:val="single" w:sz="4" w:space="0" w:color="auto"/>
            </w:tcBorders>
            <w:noWrap/>
            <w:vAlign w:val="bottom"/>
            <w:hideMark/>
          </w:tcPr>
          <w:p w14:paraId="233108C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36,7</w:t>
            </w:r>
          </w:p>
        </w:tc>
      </w:tr>
      <w:tr w:rsidR="00C82BCC" w14:paraId="0A705CB7" w14:textId="77777777" w:rsidTr="00665432">
        <w:trPr>
          <w:trHeight w:val="300"/>
        </w:trPr>
        <w:tc>
          <w:tcPr>
            <w:tcW w:w="696" w:type="pct"/>
            <w:tcBorders>
              <w:top w:val="nil"/>
              <w:left w:val="single" w:sz="4" w:space="0" w:color="auto"/>
              <w:bottom w:val="single" w:sz="4" w:space="0" w:color="auto"/>
              <w:right w:val="single" w:sz="4" w:space="0" w:color="auto"/>
            </w:tcBorders>
            <w:noWrap/>
            <w:vAlign w:val="bottom"/>
            <w:hideMark/>
          </w:tcPr>
          <w:p w14:paraId="18E6CC0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96" w:type="pct"/>
            <w:tcBorders>
              <w:top w:val="nil"/>
              <w:left w:val="nil"/>
              <w:bottom w:val="single" w:sz="4" w:space="0" w:color="auto"/>
              <w:right w:val="single" w:sz="4" w:space="0" w:color="auto"/>
            </w:tcBorders>
            <w:noWrap/>
            <w:vAlign w:val="bottom"/>
            <w:hideMark/>
          </w:tcPr>
          <w:p w14:paraId="692DFEE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40134,25</w:t>
            </w:r>
          </w:p>
        </w:tc>
        <w:tc>
          <w:tcPr>
            <w:tcW w:w="697" w:type="pct"/>
            <w:tcBorders>
              <w:top w:val="nil"/>
              <w:left w:val="nil"/>
              <w:bottom w:val="single" w:sz="4" w:space="0" w:color="auto"/>
              <w:right w:val="single" w:sz="4" w:space="0" w:color="auto"/>
            </w:tcBorders>
            <w:noWrap/>
            <w:vAlign w:val="bottom"/>
            <w:hideMark/>
          </w:tcPr>
          <w:p w14:paraId="249A013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240</w:t>
            </w:r>
          </w:p>
        </w:tc>
        <w:tc>
          <w:tcPr>
            <w:tcW w:w="697" w:type="pct"/>
            <w:tcBorders>
              <w:top w:val="nil"/>
              <w:left w:val="nil"/>
              <w:bottom w:val="single" w:sz="4" w:space="0" w:color="auto"/>
              <w:right w:val="single" w:sz="4" w:space="0" w:color="auto"/>
            </w:tcBorders>
            <w:noWrap/>
            <w:vAlign w:val="bottom"/>
            <w:hideMark/>
          </w:tcPr>
          <w:p w14:paraId="432DBED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4CFF6E3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8" w:type="pct"/>
            <w:tcBorders>
              <w:top w:val="nil"/>
              <w:left w:val="nil"/>
              <w:bottom w:val="single" w:sz="4" w:space="0" w:color="auto"/>
              <w:right w:val="single" w:sz="4" w:space="0" w:color="auto"/>
            </w:tcBorders>
            <w:noWrap/>
            <w:vAlign w:val="bottom"/>
            <w:hideMark/>
          </w:tcPr>
          <w:p w14:paraId="7E32FBB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17" w:type="pct"/>
            <w:tcBorders>
              <w:top w:val="nil"/>
              <w:left w:val="nil"/>
              <w:bottom w:val="single" w:sz="4" w:space="0" w:color="auto"/>
              <w:right w:val="single" w:sz="4" w:space="0" w:color="auto"/>
            </w:tcBorders>
            <w:noWrap/>
            <w:vAlign w:val="bottom"/>
            <w:hideMark/>
          </w:tcPr>
          <w:p w14:paraId="04F01C0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375DA95C" w14:textId="2071D4BB" w:rsidR="00C82BCC" w:rsidRDefault="00C82BCC" w:rsidP="00CB6919">
      <w:pPr>
        <w:autoSpaceDE w:val="0"/>
        <w:autoSpaceDN w:val="0"/>
        <w:adjustRightInd w:val="0"/>
        <w:spacing w:before="360" w:after="360" w:line="360" w:lineRule="auto"/>
        <w:rPr>
          <w:rFonts w:cs="Times New Roman"/>
          <w:bCs/>
          <w:szCs w:val="24"/>
        </w:rPr>
      </w:pPr>
      <w:r>
        <w:rPr>
          <w:rFonts w:cs="Times New Roman"/>
          <w:bCs/>
          <w:szCs w:val="24"/>
        </w:rPr>
        <w:t xml:space="preserve">El modelo estadístico establecido explica el 63,31 % de la variación observada en los datos; siendo el fósforo 2,12 % y el nitrógeno el nutriente con más importancia que explica el 4,74 % de la variación observada. Un 36,7% de la variación se les atribuyó a efectos aleatorios que el modelo no pudo explicar (error). La provincia el   potasio, azufre, explicaron el 40,09 %, 7,39 %, 8,23 % de la </w:t>
      </w:r>
      <w:r>
        <w:rPr>
          <w:rFonts w:cs="Times New Roman"/>
          <w:szCs w:val="24"/>
        </w:rPr>
        <w:t xml:space="preserve">absorción total de fósforo </w:t>
      </w:r>
      <w:r>
        <w:rPr>
          <w:rFonts w:cs="Times New Roman"/>
          <w:bCs/>
          <w:szCs w:val="24"/>
        </w:rPr>
        <w:t>respectivamente. El resto de nutrientes explicaron menos del 5% de la absorción total</w:t>
      </w:r>
      <w:r>
        <w:rPr>
          <w:rFonts w:cs="Times New Roman"/>
          <w:szCs w:val="24"/>
        </w:rPr>
        <w:t xml:space="preserve"> de nitrógeno.</w:t>
      </w:r>
      <w:r>
        <w:rPr>
          <w:rFonts w:cs="Times New Roman"/>
          <w:bCs/>
          <w:szCs w:val="24"/>
        </w:rPr>
        <w:t xml:space="preserve"> (</w:t>
      </w:r>
      <w:r w:rsidR="00D44F3A">
        <w:rPr>
          <w:rFonts w:cs="Times New Roman"/>
          <w:bCs/>
          <w:szCs w:val="24"/>
        </w:rPr>
        <w:t>Cuadro</w:t>
      </w:r>
      <w:r>
        <w:rPr>
          <w:rFonts w:cs="Times New Roman"/>
          <w:bCs/>
          <w:szCs w:val="24"/>
        </w:rPr>
        <w:t xml:space="preserve"> 15</w:t>
      </w:r>
      <w:r w:rsidR="0039325D">
        <w:rPr>
          <w:rFonts w:cs="Times New Roman"/>
          <w:bCs/>
          <w:szCs w:val="24"/>
        </w:rPr>
        <w:t>6</w:t>
      </w:r>
      <w:r>
        <w:rPr>
          <w:rFonts w:cs="Times New Roman"/>
          <w:bCs/>
          <w:szCs w:val="24"/>
        </w:rPr>
        <w:t xml:space="preserve">).  </w:t>
      </w:r>
    </w:p>
    <w:p w14:paraId="3BFBB1B1" w14:textId="7DF1F304" w:rsidR="00CB6919" w:rsidRDefault="00C82BCC" w:rsidP="00CB6919">
      <w:pPr>
        <w:autoSpaceDE w:val="0"/>
        <w:autoSpaceDN w:val="0"/>
        <w:adjustRightInd w:val="0"/>
        <w:spacing w:after="0" w:line="360" w:lineRule="auto"/>
        <w:rPr>
          <w:rFonts w:cs="Times New Roman"/>
          <w:bCs/>
          <w:szCs w:val="24"/>
        </w:rPr>
      </w:pPr>
      <w:r>
        <w:rPr>
          <w:rFonts w:cs="Times New Roman"/>
          <w:bCs/>
          <w:szCs w:val="24"/>
        </w:rPr>
        <w:t xml:space="preserve">En </w:t>
      </w:r>
      <w:r w:rsidR="00D44F3A">
        <w:rPr>
          <w:rFonts w:cs="Times New Roman"/>
          <w:bCs/>
          <w:szCs w:val="24"/>
        </w:rPr>
        <w:t>los cuadros</w:t>
      </w:r>
      <w:r>
        <w:rPr>
          <w:rFonts w:cs="Times New Roman"/>
          <w:bCs/>
          <w:szCs w:val="24"/>
        </w:rPr>
        <w:t xml:space="preserve"> </w:t>
      </w:r>
      <w:r w:rsidR="0039325D">
        <w:rPr>
          <w:rFonts w:cs="Times New Roman"/>
          <w:bCs/>
          <w:szCs w:val="24"/>
        </w:rPr>
        <w:t xml:space="preserve">156, </w:t>
      </w:r>
      <w:r>
        <w:rPr>
          <w:rFonts w:cs="Times New Roman"/>
          <w:bCs/>
          <w:szCs w:val="24"/>
        </w:rPr>
        <w:t>155, 156, 157, 158</w:t>
      </w:r>
      <w:r w:rsidR="0039325D">
        <w:rPr>
          <w:rFonts w:cs="Times New Roman"/>
          <w:bCs/>
          <w:szCs w:val="24"/>
        </w:rPr>
        <w:t xml:space="preserve"> y </w:t>
      </w:r>
      <w:r>
        <w:rPr>
          <w:rFonts w:cs="Times New Roman"/>
          <w:bCs/>
          <w:szCs w:val="24"/>
        </w:rPr>
        <w:t>159 se presentan los promedios y el error estándar de a</w:t>
      </w:r>
      <w:r w:rsidR="001B6327">
        <w:rPr>
          <w:rFonts w:cs="Times New Roman"/>
          <w:bCs/>
          <w:szCs w:val="24"/>
        </w:rPr>
        <w:t>b</w:t>
      </w:r>
      <w:r>
        <w:rPr>
          <w:rFonts w:cs="Times New Roman"/>
          <w:bCs/>
          <w:szCs w:val="24"/>
        </w:rPr>
        <w:t xml:space="preserve">sorción de fósforo por efecto de las localidades (provincia) y los </w:t>
      </w:r>
      <w:r>
        <w:rPr>
          <w:rFonts w:cs="Times New Roman"/>
          <w:bCs/>
          <w:szCs w:val="24"/>
        </w:rPr>
        <w:lastRenderedPageBreak/>
        <w:t xml:space="preserve">niveles de nitrógeno, fósforo, potasio, azufre, magnesio con su respectiva prueba de Lsd Fisher (alfa=0,05). </w:t>
      </w:r>
      <w:bookmarkStart w:id="2106" w:name="_Toc79314148"/>
    </w:p>
    <w:p w14:paraId="17C727E9" w14:textId="4A2BF944" w:rsidR="008A6AF7" w:rsidRPr="00CB6919" w:rsidRDefault="008A6AF7" w:rsidP="00CB6919">
      <w:pPr>
        <w:autoSpaceDE w:val="0"/>
        <w:autoSpaceDN w:val="0"/>
        <w:adjustRightInd w:val="0"/>
        <w:spacing w:before="360" w:after="0" w:line="360" w:lineRule="auto"/>
        <w:rPr>
          <w:rFonts w:cs="Times New Roman"/>
          <w:bCs/>
          <w:szCs w:val="24"/>
        </w:rPr>
      </w:pPr>
      <w:r w:rsidRPr="008A6AF7">
        <w:rPr>
          <w:rFonts w:cs="Times New Roman"/>
          <w:b/>
          <w:bCs/>
          <w:szCs w:val="24"/>
        </w:rPr>
        <w:t xml:space="preserve">Cuadro </w:t>
      </w:r>
      <w:r w:rsidRPr="008A6AF7">
        <w:rPr>
          <w:rFonts w:cs="Times New Roman"/>
          <w:b/>
          <w:bCs/>
          <w:i/>
          <w:iCs/>
          <w:szCs w:val="24"/>
        </w:rPr>
        <w:fldChar w:fldCharType="begin"/>
      </w:r>
      <w:r w:rsidRPr="008A6AF7">
        <w:rPr>
          <w:rFonts w:cs="Times New Roman"/>
          <w:b/>
          <w:bCs/>
          <w:szCs w:val="24"/>
        </w:rPr>
        <w:instrText xml:space="preserve"> SEQ Cuadro \* ARABIC </w:instrText>
      </w:r>
      <w:r w:rsidRPr="008A6AF7">
        <w:rPr>
          <w:rFonts w:cs="Times New Roman"/>
          <w:b/>
          <w:bCs/>
          <w:i/>
          <w:iCs/>
          <w:szCs w:val="24"/>
        </w:rPr>
        <w:fldChar w:fldCharType="separate"/>
      </w:r>
      <w:r w:rsidR="000D1F55">
        <w:rPr>
          <w:rFonts w:cs="Times New Roman"/>
          <w:b/>
          <w:bCs/>
          <w:noProof/>
          <w:szCs w:val="24"/>
        </w:rPr>
        <w:t>156</w:t>
      </w:r>
      <w:r w:rsidRPr="008A6AF7">
        <w:rPr>
          <w:rFonts w:cs="Times New Roman"/>
          <w:b/>
          <w:bCs/>
          <w:i/>
          <w:iCs/>
          <w:szCs w:val="24"/>
        </w:rPr>
        <w:fldChar w:fldCharType="end"/>
      </w:r>
      <w:r w:rsidRPr="008A6AF7">
        <w:rPr>
          <w:rFonts w:cs="Times New Roman"/>
          <w:b/>
          <w:bCs/>
          <w:szCs w:val="24"/>
        </w:rPr>
        <w:t>.</w:t>
      </w:r>
      <w:r w:rsidRPr="008A6AF7">
        <w:rPr>
          <w:rFonts w:cs="Times New Roman"/>
          <w:bCs/>
          <w:szCs w:val="24"/>
        </w:rPr>
        <w:t xml:space="preserve"> Absorción total de fósforo en plantas de maíz suave evaluado en las provincias de Bolívar, Chimborazo, Imbabura (2006-2015).</w:t>
      </w:r>
      <w:bookmarkEnd w:id="2106"/>
    </w:p>
    <w:tbl>
      <w:tblPr>
        <w:tblW w:w="5000" w:type="pct"/>
        <w:tblCellMar>
          <w:left w:w="70" w:type="dxa"/>
          <w:right w:w="70" w:type="dxa"/>
        </w:tblCellMar>
        <w:tblLook w:val="04A0" w:firstRow="1" w:lastRow="0" w:firstColumn="1" w:lastColumn="0" w:noHBand="0" w:noVBand="1"/>
      </w:tblPr>
      <w:tblGrid>
        <w:gridCol w:w="1558"/>
        <w:gridCol w:w="887"/>
        <w:gridCol w:w="667"/>
        <w:gridCol w:w="2269"/>
        <w:gridCol w:w="354"/>
        <w:gridCol w:w="1096"/>
        <w:gridCol w:w="1096"/>
      </w:tblGrid>
      <w:tr w:rsidR="00C82BCC" w14:paraId="58B0CB62" w14:textId="77777777" w:rsidTr="008A6AF7">
        <w:trPr>
          <w:trHeight w:val="300"/>
        </w:trPr>
        <w:tc>
          <w:tcPr>
            <w:tcW w:w="983" w:type="pct"/>
            <w:tcBorders>
              <w:top w:val="single" w:sz="4" w:space="0" w:color="auto"/>
              <w:left w:val="single" w:sz="4" w:space="0" w:color="auto"/>
              <w:bottom w:val="single" w:sz="4" w:space="0" w:color="auto"/>
              <w:right w:val="single" w:sz="4" w:space="0" w:color="auto"/>
            </w:tcBorders>
            <w:noWrap/>
            <w:vAlign w:val="bottom"/>
            <w:hideMark/>
          </w:tcPr>
          <w:p w14:paraId="38157B81"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Provincia </w:t>
            </w:r>
          </w:p>
        </w:tc>
        <w:tc>
          <w:tcPr>
            <w:tcW w:w="559" w:type="pct"/>
            <w:tcBorders>
              <w:top w:val="single" w:sz="4" w:space="0" w:color="auto"/>
              <w:left w:val="nil"/>
              <w:bottom w:val="single" w:sz="4" w:space="0" w:color="auto"/>
              <w:right w:val="single" w:sz="4" w:space="0" w:color="auto"/>
            </w:tcBorders>
            <w:noWrap/>
            <w:vAlign w:val="bottom"/>
            <w:hideMark/>
          </w:tcPr>
          <w:p w14:paraId="2B2FD623"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421" w:type="pct"/>
            <w:tcBorders>
              <w:top w:val="single" w:sz="4" w:space="0" w:color="auto"/>
              <w:left w:val="nil"/>
              <w:bottom w:val="single" w:sz="4" w:space="0" w:color="auto"/>
              <w:right w:val="single" w:sz="4" w:space="0" w:color="auto"/>
            </w:tcBorders>
            <w:noWrap/>
            <w:vAlign w:val="bottom"/>
            <w:hideMark/>
          </w:tcPr>
          <w:p w14:paraId="6536C11F"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431" w:type="pct"/>
            <w:tcBorders>
              <w:top w:val="single" w:sz="4" w:space="0" w:color="auto"/>
              <w:left w:val="nil"/>
              <w:bottom w:val="single" w:sz="4" w:space="0" w:color="auto"/>
              <w:right w:val="single" w:sz="4" w:space="0" w:color="auto"/>
            </w:tcBorders>
            <w:noWrap/>
            <w:vAlign w:val="bottom"/>
            <w:hideMark/>
          </w:tcPr>
          <w:p w14:paraId="009BBC40"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223" w:type="pct"/>
            <w:tcBorders>
              <w:top w:val="single" w:sz="4" w:space="0" w:color="auto"/>
              <w:left w:val="single" w:sz="4" w:space="0" w:color="auto"/>
              <w:bottom w:val="single" w:sz="4" w:space="0" w:color="auto"/>
              <w:right w:val="nil"/>
            </w:tcBorders>
            <w:noWrap/>
            <w:vAlign w:val="bottom"/>
            <w:hideMark/>
          </w:tcPr>
          <w:p w14:paraId="71918BA2"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691" w:type="pct"/>
            <w:tcBorders>
              <w:top w:val="single" w:sz="4" w:space="0" w:color="auto"/>
              <w:left w:val="nil"/>
              <w:bottom w:val="single" w:sz="4" w:space="0" w:color="auto"/>
              <w:right w:val="nil"/>
            </w:tcBorders>
            <w:noWrap/>
            <w:vAlign w:val="bottom"/>
            <w:hideMark/>
          </w:tcPr>
          <w:p w14:paraId="77A6C261"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Lsd 0,05  </w:t>
            </w:r>
          </w:p>
        </w:tc>
        <w:tc>
          <w:tcPr>
            <w:tcW w:w="691" w:type="pct"/>
            <w:tcBorders>
              <w:top w:val="single" w:sz="4" w:space="0" w:color="auto"/>
              <w:left w:val="nil"/>
              <w:bottom w:val="single" w:sz="4" w:space="0" w:color="auto"/>
              <w:right w:val="single" w:sz="4" w:space="0" w:color="auto"/>
            </w:tcBorders>
            <w:noWrap/>
            <w:vAlign w:val="bottom"/>
            <w:hideMark/>
          </w:tcPr>
          <w:p w14:paraId="537C0AA2"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73AE6861" w14:textId="77777777" w:rsidTr="008A6AF7">
        <w:trPr>
          <w:trHeight w:val="300"/>
        </w:trPr>
        <w:tc>
          <w:tcPr>
            <w:tcW w:w="983" w:type="pct"/>
            <w:tcBorders>
              <w:top w:val="nil"/>
              <w:left w:val="single" w:sz="4" w:space="0" w:color="auto"/>
              <w:bottom w:val="single" w:sz="4" w:space="0" w:color="auto"/>
              <w:right w:val="single" w:sz="4" w:space="0" w:color="auto"/>
            </w:tcBorders>
            <w:noWrap/>
            <w:vAlign w:val="bottom"/>
            <w:hideMark/>
          </w:tcPr>
          <w:p w14:paraId="117742F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Bolívar   </w:t>
            </w:r>
          </w:p>
        </w:tc>
        <w:tc>
          <w:tcPr>
            <w:tcW w:w="559" w:type="pct"/>
            <w:tcBorders>
              <w:top w:val="nil"/>
              <w:left w:val="nil"/>
              <w:bottom w:val="single" w:sz="4" w:space="0" w:color="auto"/>
              <w:right w:val="single" w:sz="4" w:space="0" w:color="auto"/>
            </w:tcBorders>
            <w:noWrap/>
            <w:vAlign w:val="bottom"/>
            <w:hideMark/>
          </w:tcPr>
          <w:p w14:paraId="2751122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18,48</w:t>
            </w:r>
          </w:p>
        </w:tc>
        <w:tc>
          <w:tcPr>
            <w:tcW w:w="421" w:type="pct"/>
            <w:tcBorders>
              <w:top w:val="nil"/>
              <w:left w:val="nil"/>
              <w:bottom w:val="single" w:sz="4" w:space="0" w:color="auto"/>
              <w:right w:val="single" w:sz="4" w:space="0" w:color="auto"/>
            </w:tcBorders>
            <w:noWrap/>
            <w:vAlign w:val="bottom"/>
            <w:hideMark/>
          </w:tcPr>
          <w:p w14:paraId="6C32A89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w:t>
            </w:r>
          </w:p>
        </w:tc>
        <w:tc>
          <w:tcPr>
            <w:tcW w:w="1431" w:type="pct"/>
            <w:tcBorders>
              <w:top w:val="nil"/>
              <w:left w:val="nil"/>
              <w:bottom w:val="single" w:sz="4" w:space="0" w:color="auto"/>
              <w:right w:val="single" w:sz="4" w:space="0" w:color="auto"/>
            </w:tcBorders>
            <w:noWrap/>
            <w:vAlign w:val="bottom"/>
            <w:hideMark/>
          </w:tcPr>
          <w:p w14:paraId="6E7A0F0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w:t>
            </w:r>
          </w:p>
        </w:tc>
        <w:tc>
          <w:tcPr>
            <w:tcW w:w="223" w:type="pct"/>
            <w:tcBorders>
              <w:top w:val="single" w:sz="4" w:space="0" w:color="auto"/>
              <w:left w:val="nil"/>
              <w:bottom w:val="single" w:sz="4" w:space="0" w:color="auto"/>
              <w:right w:val="single" w:sz="4" w:space="0" w:color="auto"/>
            </w:tcBorders>
            <w:noWrap/>
            <w:vAlign w:val="bottom"/>
            <w:hideMark/>
          </w:tcPr>
          <w:p w14:paraId="5B9E801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691" w:type="pct"/>
            <w:tcBorders>
              <w:top w:val="single" w:sz="4" w:space="0" w:color="auto"/>
              <w:left w:val="nil"/>
              <w:bottom w:val="single" w:sz="4" w:space="0" w:color="auto"/>
              <w:right w:val="single" w:sz="4" w:space="0" w:color="auto"/>
            </w:tcBorders>
            <w:noWrap/>
            <w:vAlign w:val="bottom"/>
            <w:hideMark/>
          </w:tcPr>
          <w:p w14:paraId="6AA4CD6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1" w:type="pct"/>
            <w:tcBorders>
              <w:top w:val="single" w:sz="4" w:space="0" w:color="auto"/>
              <w:left w:val="nil"/>
              <w:bottom w:val="single" w:sz="4" w:space="0" w:color="auto"/>
              <w:right w:val="single" w:sz="4" w:space="0" w:color="auto"/>
            </w:tcBorders>
            <w:noWrap/>
            <w:vAlign w:val="bottom"/>
            <w:hideMark/>
          </w:tcPr>
          <w:p w14:paraId="4F6869C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6F41171" w14:textId="77777777" w:rsidTr="008A6AF7">
        <w:trPr>
          <w:trHeight w:val="300"/>
        </w:trPr>
        <w:tc>
          <w:tcPr>
            <w:tcW w:w="983" w:type="pct"/>
            <w:tcBorders>
              <w:top w:val="nil"/>
              <w:left w:val="single" w:sz="4" w:space="0" w:color="auto"/>
              <w:bottom w:val="single" w:sz="4" w:space="0" w:color="auto"/>
              <w:right w:val="single" w:sz="4" w:space="0" w:color="auto"/>
            </w:tcBorders>
            <w:noWrap/>
            <w:vAlign w:val="bottom"/>
            <w:hideMark/>
          </w:tcPr>
          <w:p w14:paraId="04E74BD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Chimborazo</w:t>
            </w:r>
          </w:p>
        </w:tc>
        <w:tc>
          <w:tcPr>
            <w:tcW w:w="559" w:type="pct"/>
            <w:tcBorders>
              <w:top w:val="nil"/>
              <w:left w:val="nil"/>
              <w:bottom w:val="single" w:sz="4" w:space="0" w:color="auto"/>
              <w:right w:val="single" w:sz="4" w:space="0" w:color="auto"/>
            </w:tcBorders>
            <w:noWrap/>
            <w:vAlign w:val="bottom"/>
            <w:hideMark/>
          </w:tcPr>
          <w:p w14:paraId="3854976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27,32</w:t>
            </w:r>
          </w:p>
        </w:tc>
        <w:tc>
          <w:tcPr>
            <w:tcW w:w="421" w:type="pct"/>
            <w:tcBorders>
              <w:top w:val="nil"/>
              <w:left w:val="nil"/>
              <w:bottom w:val="single" w:sz="4" w:space="0" w:color="auto"/>
              <w:right w:val="single" w:sz="4" w:space="0" w:color="auto"/>
            </w:tcBorders>
            <w:noWrap/>
            <w:vAlign w:val="bottom"/>
            <w:hideMark/>
          </w:tcPr>
          <w:p w14:paraId="2041E5C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w:t>
            </w:r>
          </w:p>
        </w:tc>
        <w:tc>
          <w:tcPr>
            <w:tcW w:w="1431" w:type="pct"/>
            <w:tcBorders>
              <w:top w:val="nil"/>
              <w:left w:val="nil"/>
              <w:bottom w:val="single" w:sz="4" w:space="0" w:color="auto"/>
              <w:right w:val="single" w:sz="4" w:space="0" w:color="auto"/>
            </w:tcBorders>
            <w:noWrap/>
            <w:vAlign w:val="bottom"/>
            <w:hideMark/>
          </w:tcPr>
          <w:p w14:paraId="1B199B9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1,05</w:t>
            </w:r>
          </w:p>
        </w:tc>
        <w:tc>
          <w:tcPr>
            <w:tcW w:w="223" w:type="pct"/>
            <w:tcBorders>
              <w:top w:val="nil"/>
              <w:left w:val="nil"/>
              <w:bottom w:val="single" w:sz="4" w:space="0" w:color="auto"/>
              <w:right w:val="single" w:sz="4" w:space="0" w:color="auto"/>
            </w:tcBorders>
            <w:noWrap/>
            <w:vAlign w:val="bottom"/>
            <w:hideMark/>
          </w:tcPr>
          <w:p w14:paraId="40732A4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1" w:type="pct"/>
            <w:tcBorders>
              <w:top w:val="nil"/>
              <w:left w:val="nil"/>
              <w:bottom w:val="single" w:sz="4" w:space="0" w:color="auto"/>
              <w:right w:val="single" w:sz="4" w:space="0" w:color="auto"/>
            </w:tcBorders>
            <w:noWrap/>
            <w:vAlign w:val="bottom"/>
            <w:hideMark/>
          </w:tcPr>
          <w:p w14:paraId="1D29BCA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691" w:type="pct"/>
            <w:tcBorders>
              <w:top w:val="nil"/>
              <w:left w:val="nil"/>
              <w:bottom w:val="single" w:sz="4" w:space="0" w:color="auto"/>
              <w:right w:val="single" w:sz="4" w:space="0" w:color="auto"/>
            </w:tcBorders>
            <w:noWrap/>
            <w:vAlign w:val="bottom"/>
            <w:hideMark/>
          </w:tcPr>
          <w:p w14:paraId="653680B2"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9D3C22F" w14:textId="77777777" w:rsidTr="008A6AF7">
        <w:trPr>
          <w:trHeight w:val="300"/>
        </w:trPr>
        <w:tc>
          <w:tcPr>
            <w:tcW w:w="983" w:type="pct"/>
            <w:tcBorders>
              <w:top w:val="nil"/>
              <w:left w:val="single" w:sz="4" w:space="0" w:color="auto"/>
              <w:bottom w:val="single" w:sz="4" w:space="0" w:color="auto"/>
              <w:right w:val="single" w:sz="4" w:space="0" w:color="auto"/>
            </w:tcBorders>
            <w:noWrap/>
            <w:vAlign w:val="bottom"/>
            <w:hideMark/>
          </w:tcPr>
          <w:p w14:paraId="0C4E01A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Imbabura  </w:t>
            </w:r>
          </w:p>
        </w:tc>
        <w:tc>
          <w:tcPr>
            <w:tcW w:w="559" w:type="pct"/>
            <w:tcBorders>
              <w:top w:val="nil"/>
              <w:left w:val="nil"/>
              <w:bottom w:val="single" w:sz="4" w:space="0" w:color="auto"/>
              <w:right w:val="single" w:sz="4" w:space="0" w:color="auto"/>
            </w:tcBorders>
            <w:noWrap/>
            <w:vAlign w:val="bottom"/>
            <w:hideMark/>
          </w:tcPr>
          <w:p w14:paraId="27A2493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36,11</w:t>
            </w:r>
          </w:p>
        </w:tc>
        <w:tc>
          <w:tcPr>
            <w:tcW w:w="421" w:type="pct"/>
            <w:tcBorders>
              <w:top w:val="nil"/>
              <w:left w:val="nil"/>
              <w:bottom w:val="single" w:sz="4" w:space="0" w:color="auto"/>
              <w:right w:val="single" w:sz="4" w:space="0" w:color="auto"/>
            </w:tcBorders>
            <w:noWrap/>
            <w:vAlign w:val="bottom"/>
            <w:hideMark/>
          </w:tcPr>
          <w:p w14:paraId="17DEE1B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w:t>
            </w:r>
          </w:p>
        </w:tc>
        <w:tc>
          <w:tcPr>
            <w:tcW w:w="1431" w:type="pct"/>
            <w:tcBorders>
              <w:top w:val="nil"/>
              <w:left w:val="nil"/>
              <w:bottom w:val="single" w:sz="4" w:space="0" w:color="auto"/>
              <w:right w:val="single" w:sz="4" w:space="0" w:color="auto"/>
            </w:tcBorders>
            <w:noWrap/>
            <w:vAlign w:val="bottom"/>
            <w:hideMark/>
          </w:tcPr>
          <w:p w14:paraId="5C8658E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1,11</w:t>
            </w:r>
          </w:p>
        </w:tc>
        <w:tc>
          <w:tcPr>
            <w:tcW w:w="223" w:type="pct"/>
            <w:tcBorders>
              <w:top w:val="nil"/>
              <w:left w:val="nil"/>
              <w:bottom w:val="single" w:sz="4" w:space="0" w:color="auto"/>
              <w:right w:val="single" w:sz="4" w:space="0" w:color="auto"/>
            </w:tcBorders>
            <w:noWrap/>
            <w:vAlign w:val="bottom"/>
            <w:hideMark/>
          </w:tcPr>
          <w:p w14:paraId="290CDEC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1" w:type="pct"/>
            <w:tcBorders>
              <w:top w:val="nil"/>
              <w:left w:val="nil"/>
              <w:bottom w:val="single" w:sz="4" w:space="0" w:color="auto"/>
              <w:right w:val="single" w:sz="4" w:space="0" w:color="auto"/>
            </w:tcBorders>
            <w:noWrap/>
            <w:vAlign w:val="bottom"/>
            <w:hideMark/>
          </w:tcPr>
          <w:p w14:paraId="6DCB116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91" w:type="pct"/>
            <w:tcBorders>
              <w:top w:val="nil"/>
              <w:left w:val="nil"/>
              <w:bottom w:val="single" w:sz="4" w:space="0" w:color="auto"/>
              <w:right w:val="single" w:sz="4" w:space="0" w:color="auto"/>
            </w:tcBorders>
            <w:noWrap/>
            <w:vAlign w:val="bottom"/>
            <w:hideMark/>
          </w:tcPr>
          <w:p w14:paraId="226723C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481C0D5A" w14:textId="77777777" w:rsidR="00CB6919" w:rsidRDefault="00C82BCC" w:rsidP="00CB6919">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bookmarkStart w:id="2107" w:name="_Toc79314149"/>
    </w:p>
    <w:p w14:paraId="69249444" w14:textId="44EB577B" w:rsidR="008A6AF7" w:rsidRPr="00CB6919" w:rsidRDefault="008A6AF7" w:rsidP="00CB6919">
      <w:pPr>
        <w:autoSpaceDE w:val="0"/>
        <w:autoSpaceDN w:val="0"/>
        <w:adjustRightInd w:val="0"/>
        <w:spacing w:before="360" w:after="0" w:line="360" w:lineRule="auto"/>
        <w:rPr>
          <w:rFonts w:cs="Times New Roman"/>
          <w:szCs w:val="24"/>
        </w:rPr>
      </w:pPr>
      <w:r w:rsidRPr="008A6AF7">
        <w:rPr>
          <w:rFonts w:cs="Times New Roman"/>
          <w:b/>
          <w:szCs w:val="24"/>
        </w:rPr>
        <w:t xml:space="preserve">Cuadro </w:t>
      </w:r>
      <w:r w:rsidRPr="008A6AF7">
        <w:rPr>
          <w:rFonts w:cs="Times New Roman"/>
          <w:b/>
          <w:i/>
          <w:iCs/>
          <w:szCs w:val="24"/>
        </w:rPr>
        <w:fldChar w:fldCharType="begin"/>
      </w:r>
      <w:r w:rsidRPr="008A6AF7">
        <w:rPr>
          <w:rFonts w:cs="Times New Roman"/>
          <w:b/>
          <w:szCs w:val="24"/>
        </w:rPr>
        <w:instrText xml:space="preserve"> SEQ Cuadro \* ARABIC </w:instrText>
      </w:r>
      <w:r w:rsidRPr="008A6AF7">
        <w:rPr>
          <w:rFonts w:cs="Times New Roman"/>
          <w:b/>
          <w:i/>
          <w:iCs/>
          <w:szCs w:val="24"/>
        </w:rPr>
        <w:fldChar w:fldCharType="separate"/>
      </w:r>
      <w:r w:rsidR="000D1F55">
        <w:rPr>
          <w:rFonts w:cs="Times New Roman"/>
          <w:b/>
          <w:noProof/>
          <w:szCs w:val="24"/>
        </w:rPr>
        <w:t>157</w:t>
      </w:r>
      <w:r w:rsidRPr="008A6AF7">
        <w:rPr>
          <w:rFonts w:cs="Times New Roman"/>
          <w:b/>
          <w:i/>
          <w:iCs/>
          <w:szCs w:val="24"/>
        </w:rPr>
        <w:fldChar w:fldCharType="end"/>
      </w:r>
      <w:r w:rsidRPr="008A6AF7">
        <w:rPr>
          <w:rFonts w:cs="Times New Roman"/>
          <w:b/>
          <w:szCs w:val="24"/>
        </w:rPr>
        <w:t xml:space="preserve">. </w:t>
      </w:r>
      <w:r w:rsidRPr="008A6AF7">
        <w:rPr>
          <w:rFonts w:cs="Times New Roman"/>
          <w:szCs w:val="24"/>
        </w:rPr>
        <w:t>Absorción total de fósforo de plantas de maíz suave para varias dosis de nitrógeno evaluadas en las provincias de Bolívar, Chimborazo, Imbabura 2006-2015.</w:t>
      </w:r>
      <w:bookmarkEnd w:id="2107"/>
    </w:p>
    <w:tbl>
      <w:tblPr>
        <w:tblW w:w="7914" w:type="dxa"/>
        <w:tblCellMar>
          <w:left w:w="70" w:type="dxa"/>
          <w:right w:w="70" w:type="dxa"/>
        </w:tblCellMar>
        <w:tblLook w:val="04A0" w:firstRow="1" w:lastRow="0" w:firstColumn="1" w:lastColumn="0" w:noHBand="0" w:noVBand="1"/>
      </w:tblPr>
      <w:tblGrid>
        <w:gridCol w:w="2227"/>
        <w:gridCol w:w="887"/>
        <w:gridCol w:w="425"/>
        <w:gridCol w:w="1975"/>
        <w:gridCol w:w="1200"/>
        <w:gridCol w:w="1200"/>
      </w:tblGrid>
      <w:tr w:rsidR="00C82BCC" w14:paraId="5DC643C3" w14:textId="77777777" w:rsidTr="00C82BCC">
        <w:trPr>
          <w:trHeight w:val="300"/>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024FB6BA"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4721BA56"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425" w:type="dxa"/>
            <w:tcBorders>
              <w:top w:val="single" w:sz="4" w:space="0" w:color="auto"/>
              <w:left w:val="nil"/>
              <w:bottom w:val="single" w:sz="4" w:space="0" w:color="auto"/>
              <w:right w:val="single" w:sz="4" w:space="0" w:color="auto"/>
            </w:tcBorders>
            <w:noWrap/>
            <w:vAlign w:val="bottom"/>
            <w:hideMark/>
          </w:tcPr>
          <w:p w14:paraId="73F65AFF"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75" w:type="dxa"/>
            <w:tcBorders>
              <w:top w:val="single" w:sz="4" w:space="0" w:color="auto"/>
              <w:left w:val="nil"/>
              <w:bottom w:val="single" w:sz="4" w:space="0" w:color="auto"/>
              <w:right w:val="single" w:sz="4" w:space="0" w:color="auto"/>
            </w:tcBorders>
            <w:noWrap/>
            <w:vAlign w:val="bottom"/>
            <w:hideMark/>
          </w:tcPr>
          <w:p w14:paraId="4D0DCCBE"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25746247" w14:textId="77777777" w:rsidR="00C82BCC" w:rsidRDefault="00C82BCC" w:rsidP="00CB6919">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7CEAFBAE" w14:textId="77777777" w:rsidR="00C82BCC" w:rsidRDefault="00C82BCC" w:rsidP="00CB6919">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076E12CE"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1A226BE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140</w:t>
            </w:r>
          </w:p>
        </w:tc>
        <w:tc>
          <w:tcPr>
            <w:tcW w:w="887" w:type="dxa"/>
            <w:tcBorders>
              <w:top w:val="nil"/>
              <w:left w:val="nil"/>
              <w:bottom w:val="single" w:sz="4" w:space="0" w:color="auto"/>
              <w:right w:val="single" w:sz="4" w:space="0" w:color="auto"/>
            </w:tcBorders>
            <w:noWrap/>
            <w:vAlign w:val="bottom"/>
            <w:hideMark/>
          </w:tcPr>
          <w:p w14:paraId="3593460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20,41</w:t>
            </w:r>
          </w:p>
        </w:tc>
        <w:tc>
          <w:tcPr>
            <w:tcW w:w="425" w:type="dxa"/>
            <w:tcBorders>
              <w:top w:val="nil"/>
              <w:left w:val="nil"/>
              <w:bottom w:val="single" w:sz="4" w:space="0" w:color="auto"/>
              <w:right w:val="single" w:sz="4" w:space="0" w:color="auto"/>
            </w:tcBorders>
            <w:noWrap/>
            <w:vAlign w:val="bottom"/>
            <w:hideMark/>
          </w:tcPr>
          <w:p w14:paraId="6DF1653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975" w:type="dxa"/>
            <w:tcBorders>
              <w:top w:val="nil"/>
              <w:left w:val="nil"/>
              <w:bottom w:val="single" w:sz="4" w:space="0" w:color="auto"/>
              <w:right w:val="single" w:sz="4" w:space="0" w:color="auto"/>
            </w:tcBorders>
            <w:noWrap/>
            <w:vAlign w:val="bottom"/>
            <w:hideMark/>
          </w:tcPr>
          <w:p w14:paraId="60C4A21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1,54</w:t>
            </w:r>
          </w:p>
        </w:tc>
        <w:tc>
          <w:tcPr>
            <w:tcW w:w="1200" w:type="dxa"/>
            <w:tcBorders>
              <w:top w:val="single" w:sz="4" w:space="0" w:color="auto"/>
              <w:left w:val="nil"/>
              <w:bottom w:val="single" w:sz="4" w:space="0" w:color="auto"/>
              <w:right w:val="single" w:sz="4" w:space="0" w:color="auto"/>
            </w:tcBorders>
            <w:noWrap/>
            <w:vAlign w:val="bottom"/>
            <w:hideMark/>
          </w:tcPr>
          <w:p w14:paraId="728AD4F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53192A0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5D2F155"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24D42E8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887" w:type="dxa"/>
            <w:tcBorders>
              <w:top w:val="nil"/>
              <w:left w:val="nil"/>
              <w:bottom w:val="single" w:sz="4" w:space="0" w:color="auto"/>
              <w:right w:val="single" w:sz="4" w:space="0" w:color="auto"/>
            </w:tcBorders>
            <w:noWrap/>
            <w:vAlign w:val="bottom"/>
            <w:hideMark/>
          </w:tcPr>
          <w:p w14:paraId="7B097B4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23,79</w:t>
            </w:r>
          </w:p>
        </w:tc>
        <w:tc>
          <w:tcPr>
            <w:tcW w:w="425" w:type="dxa"/>
            <w:tcBorders>
              <w:top w:val="nil"/>
              <w:left w:val="nil"/>
              <w:bottom w:val="single" w:sz="4" w:space="0" w:color="auto"/>
              <w:right w:val="single" w:sz="4" w:space="0" w:color="auto"/>
            </w:tcBorders>
            <w:noWrap/>
            <w:vAlign w:val="bottom"/>
            <w:hideMark/>
          </w:tcPr>
          <w:p w14:paraId="35CC5B1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75" w:type="dxa"/>
            <w:tcBorders>
              <w:top w:val="nil"/>
              <w:left w:val="nil"/>
              <w:bottom w:val="single" w:sz="4" w:space="0" w:color="auto"/>
              <w:right w:val="single" w:sz="4" w:space="0" w:color="auto"/>
            </w:tcBorders>
            <w:noWrap/>
            <w:vAlign w:val="bottom"/>
            <w:hideMark/>
          </w:tcPr>
          <w:p w14:paraId="7BD06A6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8,43</w:t>
            </w:r>
          </w:p>
        </w:tc>
        <w:tc>
          <w:tcPr>
            <w:tcW w:w="1200" w:type="dxa"/>
            <w:tcBorders>
              <w:top w:val="nil"/>
              <w:left w:val="nil"/>
              <w:bottom w:val="single" w:sz="4" w:space="0" w:color="auto"/>
              <w:right w:val="single" w:sz="4" w:space="0" w:color="auto"/>
            </w:tcBorders>
            <w:noWrap/>
            <w:vAlign w:val="bottom"/>
            <w:hideMark/>
          </w:tcPr>
          <w:p w14:paraId="05900AA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01F66D7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1FA93458"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6881281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3DEAEB0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26,19</w:t>
            </w:r>
          </w:p>
        </w:tc>
        <w:tc>
          <w:tcPr>
            <w:tcW w:w="425" w:type="dxa"/>
            <w:tcBorders>
              <w:top w:val="nil"/>
              <w:left w:val="nil"/>
              <w:bottom w:val="single" w:sz="4" w:space="0" w:color="auto"/>
              <w:right w:val="single" w:sz="4" w:space="0" w:color="auto"/>
            </w:tcBorders>
            <w:noWrap/>
            <w:vAlign w:val="bottom"/>
            <w:hideMark/>
          </w:tcPr>
          <w:p w14:paraId="7846E64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74</w:t>
            </w:r>
          </w:p>
        </w:tc>
        <w:tc>
          <w:tcPr>
            <w:tcW w:w="1975" w:type="dxa"/>
            <w:tcBorders>
              <w:top w:val="nil"/>
              <w:left w:val="nil"/>
              <w:bottom w:val="single" w:sz="4" w:space="0" w:color="auto"/>
              <w:right w:val="single" w:sz="4" w:space="0" w:color="auto"/>
            </w:tcBorders>
            <w:noWrap/>
            <w:vAlign w:val="bottom"/>
            <w:hideMark/>
          </w:tcPr>
          <w:p w14:paraId="52FDD66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1,06</w:t>
            </w:r>
          </w:p>
        </w:tc>
        <w:tc>
          <w:tcPr>
            <w:tcW w:w="1200" w:type="dxa"/>
            <w:tcBorders>
              <w:top w:val="nil"/>
              <w:left w:val="nil"/>
              <w:bottom w:val="single" w:sz="4" w:space="0" w:color="auto"/>
              <w:right w:val="single" w:sz="4" w:space="0" w:color="auto"/>
            </w:tcBorders>
            <w:noWrap/>
            <w:vAlign w:val="bottom"/>
            <w:hideMark/>
          </w:tcPr>
          <w:p w14:paraId="6F1679A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4C45751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4F467560"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3949D0A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887" w:type="dxa"/>
            <w:tcBorders>
              <w:top w:val="nil"/>
              <w:left w:val="nil"/>
              <w:bottom w:val="single" w:sz="4" w:space="0" w:color="auto"/>
              <w:right w:val="single" w:sz="4" w:space="0" w:color="auto"/>
            </w:tcBorders>
            <w:noWrap/>
            <w:vAlign w:val="bottom"/>
            <w:hideMark/>
          </w:tcPr>
          <w:p w14:paraId="5FD6C22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27,6</w:t>
            </w:r>
          </w:p>
        </w:tc>
        <w:tc>
          <w:tcPr>
            <w:tcW w:w="425" w:type="dxa"/>
            <w:tcBorders>
              <w:top w:val="nil"/>
              <w:left w:val="nil"/>
              <w:bottom w:val="single" w:sz="4" w:space="0" w:color="auto"/>
              <w:right w:val="single" w:sz="4" w:space="0" w:color="auto"/>
            </w:tcBorders>
            <w:noWrap/>
            <w:vAlign w:val="bottom"/>
            <w:hideMark/>
          </w:tcPr>
          <w:p w14:paraId="4CE42FE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75" w:type="dxa"/>
            <w:tcBorders>
              <w:top w:val="nil"/>
              <w:left w:val="nil"/>
              <w:bottom w:val="single" w:sz="4" w:space="0" w:color="auto"/>
              <w:right w:val="single" w:sz="4" w:space="0" w:color="auto"/>
            </w:tcBorders>
            <w:noWrap/>
            <w:vAlign w:val="bottom"/>
            <w:hideMark/>
          </w:tcPr>
          <w:p w14:paraId="690FB9C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8,43</w:t>
            </w:r>
          </w:p>
        </w:tc>
        <w:tc>
          <w:tcPr>
            <w:tcW w:w="1200" w:type="dxa"/>
            <w:tcBorders>
              <w:top w:val="nil"/>
              <w:left w:val="nil"/>
              <w:bottom w:val="single" w:sz="4" w:space="0" w:color="auto"/>
              <w:right w:val="single" w:sz="4" w:space="0" w:color="auto"/>
            </w:tcBorders>
            <w:noWrap/>
            <w:vAlign w:val="bottom"/>
            <w:hideMark/>
          </w:tcPr>
          <w:p w14:paraId="1B567B2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5FBF770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11A25F3F"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5D11CD4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887" w:type="dxa"/>
            <w:tcBorders>
              <w:top w:val="nil"/>
              <w:left w:val="nil"/>
              <w:bottom w:val="single" w:sz="4" w:space="0" w:color="auto"/>
              <w:right w:val="single" w:sz="4" w:space="0" w:color="auto"/>
            </w:tcBorders>
            <w:noWrap/>
            <w:vAlign w:val="bottom"/>
            <w:hideMark/>
          </w:tcPr>
          <w:p w14:paraId="0EFDCC4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30,28</w:t>
            </w:r>
          </w:p>
        </w:tc>
        <w:tc>
          <w:tcPr>
            <w:tcW w:w="425" w:type="dxa"/>
            <w:tcBorders>
              <w:top w:val="nil"/>
              <w:left w:val="nil"/>
              <w:bottom w:val="single" w:sz="4" w:space="0" w:color="auto"/>
              <w:right w:val="single" w:sz="4" w:space="0" w:color="auto"/>
            </w:tcBorders>
            <w:noWrap/>
            <w:vAlign w:val="bottom"/>
            <w:hideMark/>
          </w:tcPr>
          <w:p w14:paraId="3991A5D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975" w:type="dxa"/>
            <w:tcBorders>
              <w:top w:val="nil"/>
              <w:left w:val="nil"/>
              <w:bottom w:val="single" w:sz="4" w:space="0" w:color="auto"/>
              <w:right w:val="single" w:sz="4" w:space="0" w:color="auto"/>
            </w:tcBorders>
            <w:noWrap/>
            <w:vAlign w:val="bottom"/>
            <w:hideMark/>
          </w:tcPr>
          <w:p w14:paraId="2393125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4,26</w:t>
            </w:r>
          </w:p>
        </w:tc>
        <w:tc>
          <w:tcPr>
            <w:tcW w:w="1200" w:type="dxa"/>
            <w:tcBorders>
              <w:top w:val="nil"/>
              <w:left w:val="nil"/>
              <w:bottom w:val="single" w:sz="4" w:space="0" w:color="auto"/>
              <w:right w:val="single" w:sz="4" w:space="0" w:color="auto"/>
            </w:tcBorders>
            <w:noWrap/>
            <w:vAlign w:val="bottom"/>
            <w:hideMark/>
          </w:tcPr>
          <w:p w14:paraId="5C33CED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4A9357F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6E0D3943"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1D2CB66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887" w:type="dxa"/>
            <w:tcBorders>
              <w:top w:val="nil"/>
              <w:left w:val="nil"/>
              <w:bottom w:val="single" w:sz="4" w:space="0" w:color="auto"/>
              <w:right w:val="single" w:sz="4" w:space="0" w:color="auto"/>
            </w:tcBorders>
            <w:noWrap/>
            <w:vAlign w:val="bottom"/>
            <w:hideMark/>
          </w:tcPr>
          <w:p w14:paraId="575F327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30,54</w:t>
            </w:r>
          </w:p>
        </w:tc>
        <w:tc>
          <w:tcPr>
            <w:tcW w:w="425" w:type="dxa"/>
            <w:tcBorders>
              <w:top w:val="nil"/>
              <w:left w:val="nil"/>
              <w:bottom w:val="single" w:sz="4" w:space="0" w:color="auto"/>
              <w:right w:val="single" w:sz="4" w:space="0" w:color="auto"/>
            </w:tcBorders>
            <w:noWrap/>
            <w:vAlign w:val="bottom"/>
            <w:hideMark/>
          </w:tcPr>
          <w:p w14:paraId="7A1FC1E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78</w:t>
            </w:r>
          </w:p>
        </w:tc>
        <w:tc>
          <w:tcPr>
            <w:tcW w:w="1975" w:type="dxa"/>
            <w:tcBorders>
              <w:top w:val="nil"/>
              <w:left w:val="nil"/>
              <w:bottom w:val="single" w:sz="4" w:space="0" w:color="auto"/>
              <w:right w:val="single" w:sz="4" w:space="0" w:color="auto"/>
            </w:tcBorders>
            <w:noWrap/>
            <w:vAlign w:val="bottom"/>
            <w:hideMark/>
          </w:tcPr>
          <w:p w14:paraId="2F5F212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1,11</w:t>
            </w:r>
          </w:p>
        </w:tc>
        <w:tc>
          <w:tcPr>
            <w:tcW w:w="1200" w:type="dxa"/>
            <w:tcBorders>
              <w:top w:val="nil"/>
              <w:left w:val="nil"/>
              <w:bottom w:val="single" w:sz="4" w:space="0" w:color="auto"/>
              <w:right w:val="single" w:sz="4" w:space="0" w:color="auto"/>
            </w:tcBorders>
            <w:noWrap/>
            <w:vAlign w:val="bottom"/>
            <w:hideMark/>
          </w:tcPr>
          <w:p w14:paraId="6F8875D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611E9A2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3D5C5435"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0C5AB0C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887" w:type="dxa"/>
            <w:tcBorders>
              <w:top w:val="nil"/>
              <w:left w:val="nil"/>
              <w:bottom w:val="single" w:sz="4" w:space="0" w:color="auto"/>
              <w:right w:val="single" w:sz="4" w:space="0" w:color="auto"/>
            </w:tcBorders>
            <w:noWrap/>
            <w:vAlign w:val="bottom"/>
            <w:hideMark/>
          </w:tcPr>
          <w:p w14:paraId="0E3CC2C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31,69</w:t>
            </w:r>
          </w:p>
        </w:tc>
        <w:tc>
          <w:tcPr>
            <w:tcW w:w="425" w:type="dxa"/>
            <w:tcBorders>
              <w:top w:val="nil"/>
              <w:left w:val="nil"/>
              <w:bottom w:val="single" w:sz="4" w:space="0" w:color="auto"/>
              <w:right w:val="single" w:sz="4" w:space="0" w:color="auto"/>
            </w:tcBorders>
            <w:noWrap/>
            <w:vAlign w:val="bottom"/>
            <w:hideMark/>
          </w:tcPr>
          <w:p w14:paraId="4C09D34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975" w:type="dxa"/>
            <w:tcBorders>
              <w:top w:val="nil"/>
              <w:left w:val="nil"/>
              <w:bottom w:val="single" w:sz="4" w:space="0" w:color="auto"/>
              <w:right w:val="single" w:sz="4" w:space="0" w:color="auto"/>
            </w:tcBorders>
            <w:noWrap/>
            <w:vAlign w:val="bottom"/>
            <w:hideMark/>
          </w:tcPr>
          <w:p w14:paraId="2FFBAD2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4,32</w:t>
            </w:r>
          </w:p>
        </w:tc>
        <w:tc>
          <w:tcPr>
            <w:tcW w:w="1200" w:type="dxa"/>
            <w:tcBorders>
              <w:top w:val="nil"/>
              <w:left w:val="nil"/>
              <w:bottom w:val="single" w:sz="4" w:space="0" w:color="auto"/>
              <w:right w:val="single" w:sz="4" w:space="0" w:color="auto"/>
            </w:tcBorders>
            <w:noWrap/>
            <w:vAlign w:val="bottom"/>
            <w:hideMark/>
          </w:tcPr>
          <w:p w14:paraId="652E80E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44138ED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7C0E9078"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1A17374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07B0068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32,38</w:t>
            </w:r>
          </w:p>
        </w:tc>
        <w:tc>
          <w:tcPr>
            <w:tcW w:w="425" w:type="dxa"/>
            <w:tcBorders>
              <w:top w:val="nil"/>
              <w:left w:val="nil"/>
              <w:bottom w:val="single" w:sz="4" w:space="0" w:color="auto"/>
              <w:right w:val="single" w:sz="4" w:space="0" w:color="auto"/>
            </w:tcBorders>
            <w:noWrap/>
            <w:vAlign w:val="bottom"/>
            <w:hideMark/>
          </w:tcPr>
          <w:p w14:paraId="06F6D57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975" w:type="dxa"/>
            <w:tcBorders>
              <w:top w:val="nil"/>
              <w:left w:val="nil"/>
              <w:bottom w:val="single" w:sz="4" w:space="0" w:color="auto"/>
              <w:right w:val="single" w:sz="4" w:space="0" w:color="auto"/>
            </w:tcBorders>
            <w:noWrap/>
            <w:vAlign w:val="bottom"/>
            <w:hideMark/>
          </w:tcPr>
          <w:p w14:paraId="4668E69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w:t>
            </w:r>
          </w:p>
        </w:tc>
        <w:tc>
          <w:tcPr>
            <w:tcW w:w="1200" w:type="dxa"/>
            <w:tcBorders>
              <w:top w:val="nil"/>
              <w:left w:val="nil"/>
              <w:bottom w:val="single" w:sz="4" w:space="0" w:color="auto"/>
              <w:right w:val="single" w:sz="4" w:space="0" w:color="auto"/>
            </w:tcBorders>
            <w:noWrap/>
            <w:vAlign w:val="bottom"/>
            <w:hideMark/>
          </w:tcPr>
          <w:p w14:paraId="416301F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0E4EB1F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654FE69D"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55C944D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887" w:type="dxa"/>
            <w:tcBorders>
              <w:top w:val="nil"/>
              <w:left w:val="nil"/>
              <w:bottom w:val="single" w:sz="4" w:space="0" w:color="auto"/>
              <w:right w:val="single" w:sz="4" w:space="0" w:color="auto"/>
            </w:tcBorders>
            <w:noWrap/>
            <w:vAlign w:val="bottom"/>
            <w:hideMark/>
          </w:tcPr>
          <w:p w14:paraId="25624EF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33,46</w:t>
            </w:r>
          </w:p>
        </w:tc>
        <w:tc>
          <w:tcPr>
            <w:tcW w:w="425" w:type="dxa"/>
            <w:tcBorders>
              <w:top w:val="nil"/>
              <w:left w:val="nil"/>
              <w:bottom w:val="single" w:sz="4" w:space="0" w:color="auto"/>
              <w:right w:val="single" w:sz="4" w:space="0" w:color="auto"/>
            </w:tcBorders>
            <w:noWrap/>
            <w:vAlign w:val="bottom"/>
            <w:hideMark/>
          </w:tcPr>
          <w:p w14:paraId="477BF3F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w:t>
            </w:r>
          </w:p>
        </w:tc>
        <w:tc>
          <w:tcPr>
            <w:tcW w:w="1975" w:type="dxa"/>
            <w:tcBorders>
              <w:top w:val="nil"/>
              <w:left w:val="nil"/>
              <w:bottom w:val="single" w:sz="4" w:space="0" w:color="auto"/>
              <w:right w:val="single" w:sz="4" w:space="0" w:color="auto"/>
            </w:tcBorders>
            <w:noWrap/>
            <w:vAlign w:val="bottom"/>
            <w:hideMark/>
          </w:tcPr>
          <w:p w14:paraId="794AC78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1,59</w:t>
            </w:r>
          </w:p>
        </w:tc>
        <w:tc>
          <w:tcPr>
            <w:tcW w:w="1200" w:type="dxa"/>
            <w:tcBorders>
              <w:top w:val="nil"/>
              <w:left w:val="nil"/>
              <w:bottom w:val="single" w:sz="4" w:space="0" w:color="auto"/>
              <w:right w:val="single" w:sz="4" w:space="0" w:color="auto"/>
            </w:tcBorders>
            <w:noWrap/>
            <w:vAlign w:val="bottom"/>
            <w:hideMark/>
          </w:tcPr>
          <w:p w14:paraId="44D4A75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2D24514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55C0EEF6" w14:textId="77777777" w:rsidTr="00C82BCC">
        <w:trPr>
          <w:trHeight w:val="300"/>
        </w:trPr>
        <w:tc>
          <w:tcPr>
            <w:tcW w:w="2227" w:type="dxa"/>
            <w:tcBorders>
              <w:top w:val="nil"/>
              <w:left w:val="single" w:sz="4" w:space="0" w:color="auto"/>
              <w:bottom w:val="single" w:sz="4" w:space="0" w:color="auto"/>
              <w:right w:val="single" w:sz="4" w:space="0" w:color="auto"/>
            </w:tcBorders>
            <w:noWrap/>
            <w:vAlign w:val="bottom"/>
            <w:hideMark/>
          </w:tcPr>
          <w:p w14:paraId="454F079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03E36E6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46,96</w:t>
            </w:r>
          </w:p>
        </w:tc>
        <w:tc>
          <w:tcPr>
            <w:tcW w:w="425" w:type="dxa"/>
            <w:tcBorders>
              <w:top w:val="nil"/>
              <w:left w:val="nil"/>
              <w:bottom w:val="single" w:sz="4" w:space="0" w:color="auto"/>
              <w:right w:val="single" w:sz="4" w:space="0" w:color="auto"/>
            </w:tcBorders>
            <w:noWrap/>
            <w:vAlign w:val="bottom"/>
            <w:hideMark/>
          </w:tcPr>
          <w:p w14:paraId="470DFAA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75" w:type="dxa"/>
            <w:tcBorders>
              <w:top w:val="nil"/>
              <w:left w:val="nil"/>
              <w:bottom w:val="single" w:sz="4" w:space="0" w:color="auto"/>
              <w:right w:val="single" w:sz="4" w:space="0" w:color="auto"/>
            </w:tcBorders>
            <w:noWrap/>
            <w:vAlign w:val="bottom"/>
            <w:hideMark/>
          </w:tcPr>
          <w:p w14:paraId="7E5648E2"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8,43</w:t>
            </w:r>
          </w:p>
        </w:tc>
        <w:tc>
          <w:tcPr>
            <w:tcW w:w="1200" w:type="dxa"/>
            <w:tcBorders>
              <w:top w:val="nil"/>
              <w:left w:val="nil"/>
              <w:bottom w:val="single" w:sz="4" w:space="0" w:color="auto"/>
              <w:right w:val="single" w:sz="4" w:space="0" w:color="auto"/>
            </w:tcBorders>
            <w:noWrap/>
            <w:vAlign w:val="bottom"/>
            <w:hideMark/>
          </w:tcPr>
          <w:p w14:paraId="4F37135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0EEDD99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06500E18" w14:textId="21EE7427" w:rsidR="008A6AF7" w:rsidRPr="00CB6919" w:rsidRDefault="008A6AF7" w:rsidP="00CB6919">
      <w:pPr>
        <w:autoSpaceDE w:val="0"/>
        <w:autoSpaceDN w:val="0"/>
        <w:adjustRightInd w:val="0"/>
        <w:spacing w:before="360" w:after="0" w:line="360" w:lineRule="auto"/>
        <w:rPr>
          <w:rFonts w:cs="Times New Roman"/>
          <w:szCs w:val="24"/>
        </w:rPr>
      </w:pPr>
      <w:bookmarkStart w:id="2108" w:name="_Toc79314150"/>
      <w:r w:rsidRPr="008A6AF7">
        <w:rPr>
          <w:rFonts w:cs="Times New Roman"/>
          <w:b/>
          <w:szCs w:val="24"/>
        </w:rPr>
        <w:t xml:space="preserve">Cuadro </w:t>
      </w:r>
      <w:r w:rsidRPr="008A6AF7">
        <w:rPr>
          <w:rFonts w:cs="Times New Roman"/>
          <w:b/>
          <w:i/>
          <w:iCs/>
          <w:szCs w:val="24"/>
        </w:rPr>
        <w:fldChar w:fldCharType="begin"/>
      </w:r>
      <w:r w:rsidRPr="008A6AF7">
        <w:rPr>
          <w:rFonts w:cs="Times New Roman"/>
          <w:b/>
          <w:szCs w:val="24"/>
        </w:rPr>
        <w:instrText xml:space="preserve"> SEQ Cuadro \* ARABIC </w:instrText>
      </w:r>
      <w:r w:rsidRPr="008A6AF7">
        <w:rPr>
          <w:rFonts w:cs="Times New Roman"/>
          <w:b/>
          <w:i/>
          <w:iCs/>
          <w:szCs w:val="24"/>
        </w:rPr>
        <w:fldChar w:fldCharType="separate"/>
      </w:r>
      <w:r w:rsidR="000D1F55">
        <w:rPr>
          <w:rFonts w:cs="Times New Roman"/>
          <w:b/>
          <w:noProof/>
          <w:szCs w:val="24"/>
        </w:rPr>
        <w:t>158</w:t>
      </w:r>
      <w:r w:rsidRPr="008A6AF7">
        <w:rPr>
          <w:rFonts w:cs="Times New Roman"/>
          <w:b/>
          <w:i/>
          <w:iCs/>
          <w:szCs w:val="24"/>
        </w:rPr>
        <w:fldChar w:fldCharType="end"/>
      </w:r>
      <w:r w:rsidRPr="008A6AF7">
        <w:rPr>
          <w:rFonts w:cs="Times New Roman"/>
          <w:b/>
          <w:szCs w:val="24"/>
        </w:rPr>
        <w:t>.</w:t>
      </w:r>
      <w:r w:rsidRPr="008A6AF7">
        <w:rPr>
          <w:rFonts w:cs="Times New Roman"/>
          <w:szCs w:val="24"/>
        </w:rPr>
        <w:t xml:space="preserve"> Absorción total de fósforo de plantas de maíz suave para varias dosis de fosforo evaluadas en las provincias de Bolívar, Chimborazo, Imbabura 2006-2015.</w:t>
      </w:r>
      <w:bookmarkEnd w:id="2108"/>
    </w:p>
    <w:tbl>
      <w:tblPr>
        <w:tblW w:w="5514" w:type="dxa"/>
        <w:jc w:val="center"/>
        <w:tblCellMar>
          <w:left w:w="70" w:type="dxa"/>
          <w:right w:w="70" w:type="dxa"/>
        </w:tblCellMar>
        <w:tblLook w:val="04A0" w:firstRow="1" w:lastRow="0" w:firstColumn="1" w:lastColumn="0" w:noHBand="0" w:noVBand="1"/>
      </w:tblPr>
      <w:tblGrid>
        <w:gridCol w:w="2227"/>
        <w:gridCol w:w="887"/>
        <w:gridCol w:w="567"/>
        <w:gridCol w:w="1833"/>
      </w:tblGrid>
      <w:tr w:rsidR="00C82BCC" w14:paraId="713E3D7C" w14:textId="77777777" w:rsidTr="001F47F7">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2A49694D"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5D59793A"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noWrap/>
            <w:vAlign w:val="bottom"/>
            <w:hideMark/>
          </w:tcPr>
          <w:p w14:paraId="4C8C8022"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33" w:type="dxa"/>
            <w:tcBorders>
              <w:top w:val="single" w:sz="4" w:space="0" w:color="auto"/>
              <w:left w:val="nil"/>
              <w:bottom w:val="single" w:sz="4" w:space="0" w:color="auto"/>
              <w:right w:val="single" w:sz="4" w:space="0" w:color="auto"/>
            </w:tcBorders>
            <w:noWrap/>
            <w:vAlign w:val="bottom"/>
            <w:hideMark/>
          </w:tcPr>
          <w:p w14:paraId="451C7EEE"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15315363"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BC9B3C2"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w:t>
            </w:r>
          </w:p>
        </w:tc>
        <w:tc>
          <w:tcPr>
            <w:tcW w:w="887" w:type="dxa"/>
            <w:tcBorders>
              <w:top w:val="nil"/>
              <w:left w:val="nil"/>
              <w:bottom w:val="single" w:sz="4" w:space="0" w:color="auto"/>
              <w:right w:val="single" w:sz="4" w:space="0" w:color="auto"/>
            </w:tcBorders>
            <w:noWrap/>
            <w:vAlign w:val="bottom"/>
            <w:hideMark/>
          </w:tcPr>
          <w:p w14:paraId="0402011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20,58</w:t>
            </w:r>
          </w:p>
        </w:tc>
        <w:tc>
          <w:tcPr>
            <w:tcW w:w="567" w:type="dxa"/>
            <w:tcBorders>
              <w:top w:val="nil"/>
              <w:left w:val="nil"/>
              <w:bottom w:val="single" w:sz="4" w:space="0" w:color="auto"/>
              <w:right w:val="single" w:sz="4" w:space="0" w:color="auto"/>
            </w:tcBorders>
            <w:noWrap/>
            <w:vAlign w:val="bottom"/>
            <w:hideMark/>
          </w:tcPr>
          <w:p w14:paraId="5BF1246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w:t>
            </w:r>
          </w:p>
        </w:tc>
        <w:tc>
          <w:tcPr>
            <w:tcW w:w="1833" w:type="dxa"/>
            <w:tcBorders>
              <w:top w:val="nil"/>
              <w:left w:val="nil"/>
              <w:bottom w:val="single" w:sz="4" w:space="0" w:color="auto"/>
              <w:right w:val="single" w:sz="4" w:space="0" w:color="auto"/>
            </w:tcBorders>
            <w:noWrap/>
            <w:vAlign w:val="bottom"/>
            <w:hideMark/>
          </w:tcPr>
          <w:p w14:paraId="4D0D603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1,66</w:t>
            </w:r>
          </w:p>
        </w:tc>
      </w:tr>
      <w:tr w:rsidR="00C82BCC" w14:paraId="4C8EFA17"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058A6E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87" w:type="dxa"/>
            <w:tcBorders>
              <w:top w:val="nil"/>
              <w:left w:val="nil"/>
              <w:bottom w:val="single" w:sz="4" w:space="0" w:color="auto"/>
              <w:right w:val="single" w:sz="4" w:space="0" w:color="auto"/>
            </w:tcBorders>
            <w:noWrap/>
            <w:vAlign w:val="bottom"/>
            <w:hideMark/>
          </w:tcPr>
          <w:p w14:paraId="0408A12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27,6</w:t>
            </w:r>
          </w:p>
        </w:tc>
        <w:tc>
          <w:tcPr>
            <w:tcW w:w="567" w:type="dxa"/>
            <w:tcBorders>
              <w:top w:val="nil"/>
              <w:left w:val="nil"/>
              <w:bottom w:val="single" w:sz="4" w:space="0" w:color="auto"/>
              <w:right w:val="single" w:sz="4" w:space="0" w:color="auto"/>
            </w:tcBorders>
            <w:noWrap/>
            <w:vAlign w:val="bottom"/>
            <w:hideMark/>
          </w:tcPr>
          <w:p w14:paraId="5A1AFA7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33" w:type="dxa"/>
            <w:tcBorders>
              <w:top w:val="nil"/>
              <w:left w:val="nil"/>
              <w:bottom w:val="single" w:sz="4" w:space="0" w:color="auto"/>
              <w:right w:val="single" w:sz="4" w:space="0" w:color="auto"/>
            </w:tcBorders>
            <w:noWrap/>
            <w:vAlign w:val="bottom"/>
            <w:hideMark/>
          </w:tcPr>
          <w:p w14:paraId="58082C0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8,43</w:t>
            </w:r>
          </w:p>
        </w:tc>
      </w:tr>
      <w:tr w:rsidR="00C82BCC" w14:paraId="6AC02379"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41D188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0B41BFA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29,18</w:t>
            </w:r>
          </w:p>
        </w:tc>
        <w:tc>
          <w:tcPr>
            <w:tcW w:w="567" w:type="dxa"/>
            <w:tcBorders>
              <w:top w:val="nil"/>
              <w:left w:val="nil"/>
              <w:bottom w:val="single" w:sz="4" w:space="0" w:color="auto"/>
              <w:right w:val="single" w:sz="4" w:space="0" w:color="auto"/>
            </w:tcBorders>
            <w:noWrap/>
            <w:vAlign w:val="bottom"/>
            <w:hideMark/>
          </w:tcPr>
          <w:p w14:paraId="7462BC7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833" w:type="dxa"/>
            <w:tcBorders>
              <w:top w:val="nil"/>
              <w:left w:val="nil"/>
              <w:bottom w:val="single" w:sz="4" w:space="0" w:color="auto"/>
              <w:right w:val="single" w:sz="4" w:space="0" w:color="auto"/>
            </w:tcBorders>
            <w:noWrap/>
            <w:vAlign w:val="bottom"/>
            <w:hideMark/>
          </w:tcPr>
          <w:p w14:paraId="0AE4132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2,17</w:t>
            </w:r>
          </w:p>
        </w:tc>
      </w:tr>
      <w:tr w:rsidR="00C82BCC" w14:paraId="08A90EF6"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681DC46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59048F6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29,3</w:t>
            </w:r>
          </w:p>
        </w:tc>
        <w:tc>
          <w:tcPr>
            <w:tcW w:w="567" w:type="dxa"/>
            <w:tcBorders>
              <w:top w:val="nil"/>
              <w:left w:val="nil"/>
              <w:bottom w:val="single" w:sz="4" w:space="0" w:color="auto"/>
              <w:right w:val="single" w:sz="4" w:space="0" w:color="auto"/>
            </w:tcBorders>
            <w:noWrap/>
            <w:vAlign w:val="bottom"/>
            <w:hideMark/>
          </w:tcPr>
          <w:p w14:paraId="1EFDBF5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w:t>
            </w:r>
          </w:p>
        </w:tc>
        <w:tc>
          <w:tcPr>
            <w:tcW w:w="1833" w:type="dxa"/>
            <w:tcBorders>
              <w:top w:val="nil"/>
              <w:left w:val="nil"/>
              <w:bottom w:val="single" w:sz="4" w:space="0" w:color="auto"/>
              <w:right w:val="single" w:sz="4" w:space="0" w:color="auto"/>
            </w:tcBorders>
            <w:noWrap/>
            <w:vAlign w:val="bottom"/>
            <w:hideMark/>
          </w:tcPr>
          <w:p w14:paraId="07A2B93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1,12</w:t>
            </w:r>
          </w:p>
        </w:tc>
      </w:tr>
      <w:tr w:rsidR="00C82BCC" w14:paraId="45507602"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58AFB6E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6807A27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29,6</w:t>
            </w:r>
          </w:p>
        </w:tc>
        <w:tc>
          <w:tcPr>
            <w:tcW w:w="567" w:type="dxa"/>
            <w:tcBorders>
              <w:top w:val="nil"/>
              <w:left w:val="nil"/>
              <w:bottom w:val="single" w:sz="4" w:space="0" w:color="auto"/>
              <w:right w:val="single" w:sz="4" w:space="0" w:color="auto"/>
            </w:tcBorders>
            <w:noWrap/>
            <w:vAlign w:val="bottom"/>
            <w:hideMark/>
          </w:tcPr>
          <w:p w14:paraId="07F0891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w:t>
            </w:r>
          </w:p>
        </w:tc>
        <w:tc>
          <w:tcPr>
            <w:tcW w:w="1833" w:type="dxa"/>
            <w:tcBorders>
              <w:top w:val="nil"/>
              <w:left w:val="nil"/>
              <w:bottom w:val="single" w:sz="4" w:space="0" w:color="auto"/>
              <w:right w:val="single" w:sz="4" w:space="0" w:color="auto"/>
            </w:tcBorders>
            <w:noWrap/>
            <w:vAlign w:val="bottom"/>
            <w:hideMark/>
          </w:tcPr>
          <w:p w14:paraId="31C7493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r>
      <w:tr w:rsidR="00C82BCC" w14:paraId="25F7F9E2"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3ACBF8F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3E1A746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30,72</w:t>
            </w:r>
          </w:p>
        </w:tc>
        <w:tc>
          <w:tcPr>
            <w:tcW w:w="567" w:type="dxa"/>
            <w:tcBorders>
              <w:top w:val="nil"/>
              <w:left w:val="nil"/>
              <w:bottom w:val="single" w:sz="4" w:space="0" w:color="auto"/>
              <w:right w:val="single" w:sz="4" w:space="0" w:color="auto"/>
            </w:tcBorders>
            <w:noWrap/>
            <w:vAlign w:val="bottom"/>
            <w:hideMark/>
          </w:tcPr>
          <w:p w14:paraId="17F012A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833" w:type="dxa"/>
            <w:tcBorders>
              <w:top w:val="nil"/>
              <w:left w:val="nil"/>
              <w:bottom w:val="single" w:sz="4" w:space="0" w:color="auto"/>
              <w:right w:val="single" w:sz="4" w:space="0" w:color="auto"/>
            </w:tcBorders>
            <w:noWrap/>
            <w:vAlign w:val="bottom"/>
            <w:hideMark/>
          </w:tcPr>
          <w:p w14:paraId="70090B0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1,89</w:t>
            </w:r>
          </w:p>
        </w:tc>
      </w:tr>
      <w:tr w:rsidR="00C82BCC" w14:paraId="3858D9CA"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353A28B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1339F27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35,02</w:t>
            </w:r>
          </w:p>
        </w:tc>
        <w:tc>
          <w:tcPr>
            <w:tcW w:w="567" w:type="dxa"/>
            <w:tcBorders>
              <w:top w:val="nil"/>
              <w:left w:val="nil"/>
              <w:bottom w:val="single" w:sz="4" w:space="0" w:color="auto"/>
              <w:right w:val="single" w:sz="4" w:space="0" w:color="auto"/>
            </w:tcBorders>
            <w:noWrap/>
            <w:vAlign w:val="bottom"/>
            <w:hideMark/>
          </w:tcPr>
          <w:p w14:paraId="3117993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833" w:type="dxa"/>
            <w:tcBorders>
              <w:top w:val="nil"/>
              <w:left w:val="nil"/>
              <w:bottom w:val="single" w:sz="4" w:space="0" w:color="auto"/>
              <w:right w:val="single" w:sz="4" w:space="0" w:color="auto"/>
            </w:tcBorders>
            <w:noWrap/>
            <w:vAlign w:val="bottom"/>
            <w:hideMark/>
          </w:tcPr>
          <w:p w14:paraId="715DD8F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3,88</w:t>
            </w:r>
          </w:p>
        </w:tc>
      </w:tr>
      <w:tr w:rsidR="00C82BCC" w14:paraId="30DC7B19"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43A7E96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887" w:type="dxa"/>
            <w:tcBorders>
              <w:top w:val="nil"/>
              <w:left w:val="nil"/>
              <w:bottom w:val="single" w:sz="4" w:space="0" w:color="auto"/>
              <w:right w:val="single" w:sz="4" w:space="0" w:color="auto"/>
            </w:tcBorders>
            <w:noWrap/>
            <w:vAlign w:val="bottom"/>
            <w:hideMark/>
          </w:tcPr>
          <w:p w14:paraId="1BB3130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58,46</w:t>
            </w:r>
          </w:p>
        </w:tc>
        <w:tc>
          <w:tcPr>
            <w:tcW w:w="567" w:type="dxa"/>
            <w:tcBorders>
              <w:top w:val="nil"/>
              <w:left w:val="nil"/>
              <w:bottom w:val="single" w:sz="4" w:space="0" w:color="auto"/>
              <w:right w:val="single" w:sz="4" w:space="0" w:color="auto"/>
            </w:tcBorders>
            <w:noWrap/>
            <w:vAlign w:val="bottom"/>
            <w:hideMark/>
          </w:tcPr>
          <w:p w14:paraId="3FECD25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33" w:type="dxa"/>
            <w:tcBorders>
              <w:top w:val="nil"/>
              <w:left w:val="nil"/>
              <w:bottom w:val="single" w:sz="4" w:space="0" w:color="auto"/>
              <w:right w:val="single" w:sz="4" w:space="0" w:color="auto"/>
            </w:tcBorders>
            <w:noWrap/>
            <w:vAlign w:val="bottom"/>
            <w:hideMark/>
          </w:tcPr>
          <w:p w14:paraId="7B4F6B8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8,43</w:t>
            </w:r>
          </w:p>
        </w:tc>
      </w:tr>
    </w:tbl>
    <w:p w14:paraId="18482218" w14:textId="77777777" w:rsidR="001F47F7" w:rsidRDefault="001F47F7" w:rsidP="00C82BCC">
      <w:pPr>
        <w:spacing w:line="360" w:lineRule="auto"/>
        <w:rPr>
          <w:rFonts w:cs="Times New Roman"/>
          <w:b/>
          <w:bCs/>
          <w:szCs w:val="24"/>
        </w:rPr>
      </w:pPr>
    </w:p>
    <w:p w14:paraId="2939D3F5" w14:textId="34A798DB" w:rsidR="008A6AF7" w:rsidRPr="008A6AF7" w:rsidRDefault="008A6AF7" w:rsidP="00CB6919">
      <w:pPr>
        <w:pStyle w:val="Descripcin"/>
        <w:keepNext/>
        <w:spacing w:before="480"/>
        <w:rPr>
          <w:rFonts w:cs="Times New Roman"/>
          <w:i w:val="0"/>
          <w:iCs w:val="0"/>
          <w:color w:val="auto"/>
          <w:sz w:val="24"/>
          <w:szCs w:val="24"/>
          <w:lang w:eastAsia="en-US"/>
        </w:rPr>
      </w:pPr>
      <w:bookmarkStart w:id="2109" w:name="_Toc79314151"/>
      <w:r w:rsidRPr="008A6AF7">
        <w:rPr>
          <w:rFonts w:cs="Times New Roman"/>
          <w:b/>
          <w:i w:val="0"/>
          <w:iCs w:val="0"/>
          <w:color w:val="auto"/>
          <w:sz w:val="24"/>
          <w:szCs w:val="24"/>
          <w:lang w:eastAsia="en-US"/>
        </w:rPr>
        <w:lastRenderedPageBreak/>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159</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w:t>
      </w:r>
      <w:r w:rsidRPr="008A6AF7">
        <w:rPr>
          <w:rFonts w:cs="Times New Roman"/>
          <w:i w:val="0"/>
          <w:iCs w:val="0"/>
          <w:color w:val="auto"/>
          <w:sz w:val="24"/>
          <w:szCs w:val="24"/>
          <w:lang w:eastAsia="en-US"/>
        </w:rPr>
        <w:t xml:space="preserve"> Absorción total de fósforo de plantas de maíz suave para varias dosis de potasio evaluadas en las provincias de Bolívar, Chimborazo, Imbabura 2006-2015.</w:t>
      </w:r>
      <w:bookmarkEnd w:id="2109"/>
    </w:p>
    <w:tbl>
      <w:tblPr>
        <w:tblW w:w="7930" w:type="dxa"/>
        <w:jc w:val="center"/>
        <w:tblCellMar>
          <w:left w:w="70" w:type="dxa"/>
          <w:right w:w="70" w:type="dxa"/>
        </w:tblCellMar>
        <w:tblLook w:val="04A0" w:firstRow="1" w:lastRow="0" w:firstColumn="1" w:lastColumn="0" w:noHBand="0" w:noVBand="1"/>
      </w:tblPr>
      <w:tblGrid>
        <w:gridCol w:w="2218"/>
        <w:gridCol w:w="887"/>
        <w:gridCol w:w="706"/>
        <w:gridCol w:w="1999"/>
        <w:gridCol w:w="925"/>
        <w:gridCol w:w="1195"/>
      </w:tblGrid>
      <w:tr w:rsidR="00C82BCC" w14:paraId="20718062" w14:textId="77777777" w:rsidTr="008A6AF7">
        <w:trPr>
          <w:trHeight w:val="300"/>
          <w:jc w:val="center"/>
        </w:trPr>
        <w:tc>
          <w:tcPr>
            <w:tcW w:w="2218" w:type="dxa"/>
            <w:tcBorders>
              <w:top w:val="single" w:sz="4" w:space="0" w:color="auto"/>
              <w:left w:val="single" w:sz="4" w:space="0" w:color="auto"/>
              <w:bottom w:val="single" w:sz="4" w:space="0" w:color="auto"/>
              <w:right w:val="single" w:sz="4" w:space="0" w:color="auto"/>
            </w:tcBorders>
            <w:noWrap/>
            <w:vAlign w:val="bottom"/>
            <w:hideMark/>
          </w:tcPr>
          <w:p w14:paraId="4F9BFB71"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2E09F20C"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06" w:type="dxa"/>
            <w:tcBorders>
              <w:top w:val="single" w:sz="4" w:space="0" w:color="auto"/>
              <w:left w:val="nil"/>
              <w:bottom w:val="single" w:sz="4" w:space="0" w:color="auto"/>
              <w:right w:val="single" w:sz="4" w:space="0" w:color="auto"/>
            </w:tcBorders>
            <w:noWrap/>
            <w:vAlign w:val="bottom"/>
            <w:hideMark/>
          </w:tcPr>
          <w:p w14:paraId="4E978196"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99" w:type="dxa"/>
            <w:tcBorders>
              <w:top w:val="single" w:sz="4" w:space="0" w:color="auto"/>
              <w:left w:val="nil"/>
              <w:bottom w:val="single" w:sz="4" w:space="0" w:color="auto"/>
              <w:right w:val="single" w:sz="4" w:space="0" w:color="auto"/>
            </w:tcBorders>
            <w:noWrap/>
            <w:vAlign w:val="bottom"/>
            <w:hideMark/>
          </w:tcPr>
          <w:p w14:paraId="25533F6B"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925" w:type="dxa"/>
            <w:tcBorders>
              <w:top w:val="single" w:sz="4" w:space="0" w:color="auto"/>
              <w:left w:val="single" w:sz="4" w:space="0" w:color="auto"/>
              <w:bottom w:val="single" w:sz="4" w:space="0" w:color="auto"/>
              <w:right w:val="nil"/>
            </w:tcBorders>
            <w:noWrap/>
            <w:vAlign w:val="bottom"/>
            <w:hideMark/>
          </w:tcPr>
          <w:p w14:paraId="05B4C33E" w14:textId="77777777" w:rsidR="00C82BCC" w:rsidRDefault="00C82BCC" w:rsidP="00CB6919">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195" w:type="dxa"/>
            <w:tcBorders>
              <w:top w:val="single" w:sz="4" w:space="0" w:color="auto"/>
              <w:left w:val="nil"/>
              <w:bottom w:val="single" w:sz="4" w:space="0" w:color="auto"/>
              <w:right w:val="single" w:sz="4" w:space="0" w:color="auto"/>
            </w:tcBorders>
            <w:noWrap/>
            <w:vAlign w:val="bottom"/>
            <w:hideMark/>
          </w:tcPr>
          <w:p w14:paraId="02B2CD10" w14:textId="77777777" w:rsidR="00C82BCC" w:rsidRDefault="00C82BCC" w:rsidP="00CB6919">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4D65CF22" w14:textId="77777777" w:rsidTr="008A6AF7">
        <w:trPr>
          <w:trHeight w:val="300"/>
          <w:jc w:val="center"/>
        </w:trPr>
        <w:tc>
          <w:tcPr>
            <w:tcW w:w="2218" w:type="dxa"/>
            <w:tcBorders>
              <w:top w:val="nil"/>
              <w:left w:val="single" w:sz="4" w:space="0" w:color="auto"/>
              <w:bottom w:val="single" w:sz="4" w:space="0" w:color="auto"/>
              <w:right w:val="single" w:sz="4" w:space="0" w:color="auto"/>
            </w:tcBorders>
            <w:noWrap/>
            <w:vAlign w:val="bottom"/>
            <w:hideMark/>
          </w:tcPr>
          <w:p w14:paraId="3D56F17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4B7A461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18,37</w:t>
            </w:r>
          </w:p>
        </w:tc>
        <w:tc>
          <w:tcPr>
            <w:tcW w:w="706" w:type="dxa"/>
            <w:tcBorders>
              <w:top w:val="nil"/>
              <w:left w:val="nil"/>
              <w:bottom w:val="single" w:sz="4" w:space="0" w:color="auto"/>
              <w:right w:val="single" w:sz="4" w:space="0" w:color="auto"/>
            </w:tcBorders>
            <w:noWrap/>
            <w:vAlign w:val="bottom"/>
            <w:hideMark/>
          </w:tcPr>
          <w:p w14:paraId="2CE07EE2"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w:t>
            </w:r>
          </w:p>
        </w:tc>
        <w:tc>
          <w:tcPr>
            <w:tcW w:w="1999" w:type="dxa"/>
            <w:tcBorders>
              <w:top w:val="nil"/>
              <w:left w:val="nil"/>
              <w:bottom w:val="single" w:sz="4" w:space="0" w:color="auto"/>
              <w:right w:val="single" w:sz="4" w:space="0" w:color="auto"/>
            </w:tcBorders>
            <w:noWrap/>
            <w:vAlign w:val="bottom"/>
            <w:hideMark/>
          </w:tcPr>
          <w:p w14:paraId="3B706E5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2,14</w:t>
            </w:r>
          </w:p>
        </w:tc>
        <w:tc>
          <w:tcPr>
            <w:tcW w:w="925" w:type="dxa"/>
            <w:tcBorders>
              <w:top w:val="single" w:sz="4" w:space="0" w:color="auto"/>
              <w:left w:val="nil"/>
              <w:bottom w:val="single" w:sz="4" w:space="0" w:color="auto"/>
              <w:right w:val="single" w:sz="4" w:space="0" w:color="auto"/>
            </w:tcBorders>
            <w:noWrap/>
            <w:vAlign w:val="bottom"/>
            <w:hideMark/>
          </w:tcPr>
          <w:p w14:paraId="6346731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5" w:type="dxa"/>
            <w:tcBorders>
              <w:top w:val="single" w:sz="4" w:space="0" w:color="auto"/>
              <w:left w:val="nil"/>
              <w:bottom w:val="single" w:sz="4" w:space="0" w:color="auto"/>
              <w:right w:val="single" w:sz="4" w:space="0" w:color="auto"/>
            </w:tcBorders>
            <w:noWrap/>
            <w:vAlign w:val="bottom"/>
            <w:hideMark/>
          </w:tcPr>
          <w:p w14:paraId="20BB52D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CFEB49C" w14:textId="77777777" w:rsidTr="008A6AF7">
        <w:trPr>
          <w:trHeight w:val="300"/>
          <w:jc w:val="center"/>
        </w:trPr>
        <w:tc>
          <w:tcPr>
            <w:tcW w:w="2218" w:type="dxa"/>
            <w:tcBorders>
              <w:top w:val="nil"/>
              <w:left w:val="single" w:sz="4" w:space="0" w:color="auto"/>
              <w:bottom w:val="single" w:sz="4" w:space="0" w:color="auto"/>
              <w:right w:val="single" w:sz="4" w:space="0" w:color="auto"/>
            </w:tcBorders>
            <w:noWrap/>
            <w:vAlign w:val="bottom"/>
            <w:hideMark/>
          </w:tcPr>
          <w:p w14:paraId="55C81AB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78B52C9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26,06</w:t>
            </w:r>
          </w:p>
        </w:tc>
        <w:tc>
          <w:tcPr>
            <w:tcW w:w="706" w:type="dxa"/>
            <w:tcBorders>
              <w:top w:val="nil"/>
              <w:left w:val="nil"/>
              <w:bottom w:val="single" w:sz="4" w:space="0" w:color="auto"/>
              <w:right w:val="single" w:sz="4" w:space="0" w:color="auto"/>
            </w:tcBorders>
            <w:noWrap/>
            <w:vAlign w:val="bottom"/>
            <w:hideMark/>
          </w:tcPr>
          <w:p w14:paraId="597C04A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999" w:type="dxa"/>
            <w:tcBorders>
              <w:top w:val="nil"/>
              <w:left w:val="nil"/>
              <w:bottom w:val="single" w:sz="4" w:space="0" w:color="auto"/>
              <w:right w:val="single" w:sz="4" w:space="0" w:color="auto"/>
            </w:tcBorders>
            <w:noWrap/>
            <w:vAlign w:val="bottom"/>
            <w:hideMark/>
          </w:tcPr>
          <w:p w14:paraId="05CB614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2,45</w:t>
            </w:r>
          </w:p>
        </w:tc>
        <w:tc>
          <w:tcPr>
            <w:tcW w:w="925" w:type="dxa"/>
            <w:tcBorders>
              <w:top w:val="nil"/>
              <w:left w:val="nil"/>
              <w:bottom w:val="single" w:sz="4" w:space="0" w:color="auto"/>
              <w:right w:val="single" w:sz="4" w:space="0" w:color="auto"/>
            </w:tcBorders>
            <w:noWrap/>
            <w:vAlign w:val="bottom"/>
            <w:hideMark/>
          </w:tcPr>
          <w:p w14:paraId="665E7AE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5" w:type="dxa"/>
            <w:tcBorders>
              <w:top w:val="nil"/>
              <w:left w:val="nil"/>
              <w:bottom w:val="single" w:sz="4" w:space="0" w:color="auto"/>
              <w:right w:val="single" w:sz="4" w:space="0" w:color="auto"/>
            </w:tcBorders>
            <w:noWrap/>
            <w:vAlign w:val="bottom"/>
            <w:hideMark/>
          </w:tcPr>
          <w:p w14:paraId="519E325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618C5525" w14:textId="77777777" w:rsidTr="008A6AF7">
        <w:trPr>
          <w:trHeight w:val="300"/>
          <w:jc w:val="center"/>
        </w:trPr>
        <w:tc>
          <w:tcPr>
            <w:tcW w:w="2218" w:type="dxa"/>
            <w:tcBorders>
              <w:top w:val="nil"/>
              <w:left w:val="single" w:sz="4" w:space="0" w:color="auto"/>
              <w:bottom w:val="single" w:sz="4" w:space="0" w:color="auto"/>
              <w:right w:val="single" w:sz="4" w:space="0" w:color="auto"/>
            </w:tcBorders>
            <w:noWrap/>
            <w:vAlign w:val="bottom"/>
            <w:hideMark/>
          </w:tcPr>
          <w:p w14:paraId="12639F9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887" w:type="dxa"/>
            <w:tcBorders>
              <w:top w:val="nil"/>
              <w:left w:val="nil"/>
              <w:bottom w:val="single" w:sz="4" w:space="0" w:color="auto"/>
              <w:right w:val="single" w:sz="4" w:space="0" w:color="auto"/>
            </w:tcBorders>
            <w:noWrap/>
            <w:vAlign w:val="bottom"/>
            <w:hideMark/>
          </w:tcPr>
          <w:p w14:paraId="12ED177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27,6</w:t>
            </w:r>
          </w:p>
        </w:tc>
        <w:tc>
          <w:tcPr>
            <w:tcW w:w="706" w:type="dxa"/>
            <w:tcBorders>
              <w:top w:val="nil"/>
              <w:left w:val="nil"/>
              <w:bottom w:val="single" w:sz="4" w:space="0" w:color="auto"/>
              <w:right w:val="single" w:sz="4" w:space="0" w:color="auto"/>
            </w:tcBorders>
            <w:noWrap/>
            <w:vAlign w:val="bottom"/>
            <w:hideMark/>
          </w:tcPr>
          <w:p w14:paraId="2CA9833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99" w:type="dxa"/>
            <w:tcBorders>
              <w:top w:val="nil"/>
              <w:left w:val="nil"/>
              <w:bottom w:val="single" w:sz="4" w:space="0" w:color="auto"/>
              <w:right w:val="single" w:sz="4" w:space="0" w:color="auto"/>
            </w:tcBorders>
            <w:noWrap/>
            <w:vAlign w:val="bottom"/>
            <w:hideMark/>
          </w:tcPr>
          <w:p w14:paraId="7E1B0EF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8,43</w:t>
            </w:r>
          </w:p>
        </w:tc>
        <w:tc>
          <w:tcPr>
            <w:tcW w:w="925" w:type="dxa"/>
            <w:tcBorders>
              <w:top w:val="nil"/>
              <w:left w:val="nil"/>
              <w:bottom w:val="single" w:sz="4" w:space="0" w:color="auto"/>
              <w:right w:val="single" w:sz="4" w:space="0" w:color="auto"/>
            </w:tcBorders>
            <w:noWrap/>
            <w:vAlign w:val="bottom"/>
            <w:hideMark/>
          </w:tcPr>
          <w:p w14:paraId="6F1B33C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95" w:type="dxa"/>
            <w:tcBorders>
              <w:top w:val="nil"/>
              <w:left w:val="nil"/>
              <w:bottom w:val="single" w:sz="4" w:space="0" w:color="auto"/>
              <w:right w:val="single" w:sz="4" w:space="0" w:color="auto"/>
            </w:tcBorders>
            <w:noWrap/>
            <w:vAlign w:val="bottom"/>
            <w:hideMark/>
          </w:tcPr>
          <w:p w14:paraId="019F910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51554A46" w14:textId="77777777" w:rsidTr="008A6AF7">
        <w:trPr>
          <w:trHeight w:val="300"/>
          <w:jc w:val="center"/>
        </w:trPr>
        <w:tc>
          <w:tcPr>
            <w:tcW w:w="2218" w:type="dxa"/>
            <w:tcBorders>
              <w:top w:val="nil"/>
              <w:left w:val="single" w:sz="4" w:space="0" w:color="auto"/>
              <w:bottom w:val="single" w:sz="4" w:space="0" w:color="auto"/>
              <w:right w:val="single" w:sz="4" w:space="0" w:color="auto"/>
            </w:tcBorders>
            <w:noWrap/>
            <w:vAlign w:val="bottom"/>
            <w:hideMark/>
          </w:tcPr>
          <w:p w14:paraId="5FAB59D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4BA2538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28,45</w:t>
            </w:r>
          </w:p>
        </w:tc>
        <w:tc>
          <w:tcPr>
            <w:tcW w:w="706" w:type="dxa"/>
            <w:tcBorders>
              <w:top w:val="nil"/>
              <w:left w:val="nil"/>
              <w:bottom w:val="single" w:sz="4" w:space="0" w:color="auto"/>
              <w:right w:val="single" w:sz="4" w:space="0" w:color="auto"/>
            </w:tcBorders>
            <w:noWrap/>
            <w:vAlign w:val="bottom"/>
            <w:hideMark/>
          </w:tcPr>
          <w:p w14:paraId="2D6BA51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w:t>
            </w:r>
          </w:p>
        </w:tc>
        <w:tc>
          <w:tcPr>
            <w:tcW w:w="1999" w:type="dxa"/>
            <w:tcBorders>
              <w:top w:val="nil"/>
              <w:left w:val="nil"/>
              <w:bottom w:val="single" w:sz="4" w:space="0" w:color="auto"/>
              <w:right w:val="single" w:sz="4" w:space="0" w:color="auto"/>
            </w:tcBorders>
            <w:noWrap/>
            <w:vAlign w:val="bottom"/>
            <w:hideMark/>
          </w:tcPr>
          <w:p w14:paraId="15A8E93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1,28</w:t>
            </w:r>
          </w:p>
        </w:tc>
        <w:tc>
          <w:tcPr>
            <w:tcW w:w="925" w:type="dxa"/>
            <w:tcBorders>
              <w:top w:val="nil"/>
              <w:left w:val="nil"/>
              <w:bottom w:val="single" w:sz="4" w:space="0" w:color="auto"/>
              <w:right w:val="single" w:sz="4" w:space="0" w:color="auto"/>
            </w:tcBorders>
            <w:noWrap/>
            <w:vAlign w:val="bottom"/>
            <w:hideMark/>
          </w:tcPr>
          <w:p w14:paraId="0C0729D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5" w:type="dxa"/>
            <w:tcBorders>
              <w:top w:val="nil"/>
              <w:left w:val="nil"/>
              <w:bottom w:val="single" w:sz="4" w:space="0" w:color="auto"/>
              <w:right w:val="single" w:sz="4" w:space="0" w:color="auto"/>
            </w:tcBorders>
            <w:noWrap/>
            <w:vAlign w:val="bottom"/>
            <w:hideMark/>
          </w:tcPr>
          <w:p w14:paraId="09DBD3B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3E418480" w14:textId="77777777" w:rsidTr="008A6AF7">
        <w:trPr>
          <w:trHeight w:val="300"/>
          <w:jc w:val="center"/>
        </w:trPr>
        <w:tc>
          <w:tcPr>
            <w:tcW w:w="2218" w:type="dxa"/>
            <w:tcBorders>
              <w:top w:val="nil"/>
              <w:left w:val="single" w:sz="4" w:space="0" w:color="auto"/>
              <w:bottom w:val="single" w:sz="4" w:space="0" w:color="auto"/>
              <w:right w:val="single" w:sz="4" w:space="0" w:color="auto"/>
            </w:tcBorders>
            <w:noWrap/>
            <w:vAlign w:val="bottom"/>
            <w:hideMark/>
          </w:tcPr>
          <w:p w14:paraId="500F4DE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762B5A2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30,04</w:t>
            </w:r>
          </w:p>
        </w:tc>
        <w:tc>
          <w:tcPr>
            <w:tcW w:w="706" w:type="dxa"/>
            <w:tcBorders>
              <w:top w:val="nil"/>
              <w:left w:val="nil"/>
              <w:bottom w:val="single" w:sz="4" w:space="0" w:color="auto"/>
              <w:right w:val="single" w:sz="4" w:space="0" w:color="auto"/>
            </w:tcBorders>
            <w:noWrap/>
            <w:vAlign w:val="bottom"/>
            <w:hideMark/>
          </w:tcPr>
          <w:p w14:paraId="782F34F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999" w:type="dxa"/>
            <w:tcBorders>
              <w:top w:val="nil"/>
              <w:left w:val="nil"/>
              <w:bottom w:val="single" w:sz="4" w:space="0" w:color="auto"/>
              <w:right w:val="single" w:sz="4" w:space="0" w:color="auto"/>
            </w:tcBorders>
            <w:noWrap/>
            <w:vAlign w:val="bottom"/>
            <w:hideMark/>
          </w:tcPr>
          <w:p w14:paraId="461069B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1,16</w:t>
            </w:r>
          </w:p>
        </w:tc>
        <w:tc>
          <w:tcPr>
            <w:tcW w:w="925" w:type="dxa"/>
            <w:tcBorders>
              <w:top w:val="nil"/>
              <w:left w:val="nil"/>
              <w:bottom w:val="single" w:sz="4" w:space="0" w:color="auto"/>
              <w:right w:val="single" w:sz="4" w:space="0" w:color="auto"/>
            </w:tcBorders>
            <w:noWrap/>
            <w:vAlign w:val="bottom"/>
            <w:hideMark/>
          </w:tcPr>
          <w:p w14:paraId="7EB42D9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5" w:type="dxa"/>
            <w:tcBorders>
              <w:top w:val="nil"/>
              <w:left w:val="nil"/>
              <w:bottom w:val="single" w:sz="4" w:space="0" w:color="auto"/>
              <w:right w:val="single" w:sz="4" w:space="0" w:color="auto"/>
            </w:tcBorders>
            <w:noWrap/>
            <w:vAlign w:val="bottom"/>
            <w:hideMark/>
          </w:tcPr>
          <w:p w14:paraId="6145650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3C87C565" w14:textId="77777777" w:rsidTr="008A6AF7">
        <w:trPr>
          <w:trHeight w:val="300"/>
          <w:jc w:val="center"/>
        </w:trPr>
        <w:tc>
          <w:tcPr>
            <w:tcW w:w="2218" w:type="dxa"/>
            <w:tcBorders>
              <w:top w:val="nil"/>
              <w:left w:val="single" w:sz="4" w:space="0" w:color="auto"/>
              <w:bottom w:val="single" w:sz="4" w:space="0" w:color="auto"/>
              <w:right w:val="single" w:sz="4" w:space="0" w:color="auto"/>
            </w:tcBorders>
            <w:noWrap/>
            <w:vAlign w:val="bottom"/>
            <w:hideMark/>
          </w:tcPr>
          <w:p w14:paraId="7284FCD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72E5865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31,98</w:t>
            </w:r>
          </w:p>
        </w:tc>
        <w:tc>
          <w:tcPr>
            <w:tcW w:w="706" w:type="dxa"/>
            <w:tcBorders>
              <w:top w:val="nil"/>
              <w:left w:val="nil"/>
              <w:bottom w:val="single" w:sz="4" w:space="0" w:color="auto"/>
              <w:right w:val="single" w:sz="4" w:space="0" w:color="auto"/>
            </w:tcBorders>
            <w:noWrap/>
            <w:vAlign w:val="bottom"/>
            <w:hideMark/>
          </w:tcPr>
          <w:p w14:paraId="6A60CD7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999" w:type="dxa"/>
            <w:tcBorders>
              <w:top w:val="nil"/>
              <w:left w:val="nil"/>
              <w:bottom w:val="single" w:sz="4" w:space="0" w:color="auto"/>
              <w:right w:val="single" w:sz="4" w:space="0" w:color="auto"/>
            </w:tcBorders>
            <w:noWrap/>
            <w:vAlign w:val="bottom"/>
            <w:hideMark/>
          </w:tcPr>
          <w:p w14:paraId="1EB832A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3,44</w:t>
            </w:r>
          </w:p>
        </w:tc>
        <w:tc>
          <w:tcPr>
            <w:tcW w:w="925" w:type="dxa"/>
            <w:tcBorders>
              <w:top w:val="nil"/>
              <w:left w:val="nil"/>
              <w:bottom w:val="single" w:sz="4" w:space="0" w:color="auto"/>
              <w:right w:val="single" w:sz="4" w:space="0" w:color="auto"/>
            </w:tcBorders>
            <w:noWrap/>
            <w:vAlign w:val="bottom"/>
            <w:hideMark/>
          </w:tcPr>
          <w:p w14:paraId="1B7C8012"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5" w:type="dxa"/>
            <w:tcBorders>
              <w:top w:val="nil"/>
              <w:left w:val="nil"/>
              <w:bottom w:val="single" w:sz="4" w:space="0" w:color="auto"/>
              <w:right w:val="single" w:sz="4" w:space="0" w:color="auto"/>
            </w:tcBorders>
            <w:noWrap/>
            <w:vAlign w:val="bottom"/>
            <w:hideMark/>
          </w:tcPr>
          <w:p w14:paraId="124A03F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4D22DC12" w14:textId="77777777" w:rsidTr="008A6AF7">
        <w:trPr>
          <w:trHeight w:val="300"/>
          <w:jc w:val="center"/>
        </w:trPr>
        <w:tc>
          <w:tcPr>
            <w:tcW w:w="2218" w:type="dxa"/>
            <w:tcBorders>
              <w:top w:val="nil"/>
              <w:left w:val="single" w:sz="4" w:space="0" w:color="auto"/>
              <w:bottom w:val="single" w:sz="4" w:space="0" w:color="auto"/>
              <w:right w:val="single" w:sz="4" w:space="0" w:color="auto"/>
            </w:tcBorders>
            <w:noWrap/>
            <w:vAlign w:val="bottom"/>
            <w:hideMark/>
          </w:tcPr>
          <w:p w14:paraId="3FAC8E4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59DB2AC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36,29</w:t>
            </w:r>
          </w:p>
        </w:tc>
        <w:tc>
          <w:tcPr>
            <w:tcW w:w="706" w:type="dxa"/>
            <w:tcBorders>
              <w:top w:val="nil"/>
              <w:left w:val="nil"/>
              <w:bottom w:val="single" w:sz="4" w:space="0" w:color="auto"/>
              <w:right w:val="single" w:sz="4" w:space="0" w:color="auto"/>
            </w:tcBorders>
            <w:noWrap/>
            <w:vAlign w:val="bottom"/>
            <w:hideMark/>
          </w:tcPr>
          <w:p w14:paraId="4805379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w:t>
            </w:r>
          </w:p>
        </w:tc>
        <w:tc>
          <w:tcPr>
            <w:tcW w:w="1999" w:type="dxa"/>
            <w:tcBorders>
              <w:top w:val="nil"/>
              <w:left w:val="nil"/>
              <w:bottom w:val="single" w:sz="4" w:space="0" w:color="auto"/>
              <w:right w:val="single" w:sz="4" w:space="0" w:color="auto"/>
            </w:tcBorders>
            <w:noWrap/>
            <w:vAlign w:val="bottom"/>
            <w:hideMark/>
          </w:tcPr>
          <w:p w14:paraId="0B31614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1,38</w:t>
            </w:r>
          </w:p>
        </w:tc>
        <w:tc>
          <w:tcPr>
            <w:tcW w:w="925" w:type="dxa"/>
            <w:tcBorders>
              <w:top w:val="nil"/>
              <w:left w:val="nil"/>
              <w:bottom w:val="single" w:sz="4" w:space="0" w:color="auto"/>
              <w:right w:val="single" w:sz="4" w:space="0" w:color="auto"/>
            </w:tcBorders>
            <w:noWrap/>
            <w:vAlign w:val="bottom"/>
            <w:hideMark/>
          </w:tcPr>
          <w:p w14:paraId="006DFC6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5" w:type="dxa"/>
            <w:tcBorders>
              <w:top w:val="nil"/>
              <w:left w:val="nil"/>
              <w:bottom w:val="single" w:sz="4" w:space="0" w:color="auto"/>
              <w:right w:val="single" w:sz="4" w:space="0" w:color="auto"/>
            </w:tcBorders>
            <w:noWrap/>
            <w:vAlign w:val="bottom"/>
            <w:hideMark/>
          </w:tcPr>
          <w:p w14:paraId="167978F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3F8E0572" w14:textId="77777777" w:rsidTr="008A6AF7">
        <w:trPr>
          <w:trHeight w:val="300"/>
          <w:jc w:val="center"/>
        </w:trPr>
        <w:tc>
          <w:tcPr>
            <w:tcW w:w="2218" w:type="dxa"/>
            <w:tcBorders>
              <w:top w:val="nil"/>
              <w:left w:val="single" w:sz="4" w:space="0" w:color="auto"/>
              <w:bottom w:val="single" w:sz="4" w:space="0" w:color="auto"/>
              <w:right w:val="single" w:sz="4" w:space="0" w:color="auto"/>
            </w:tcBorders>
            <w:noWrap/>
            <w:vAlign w:val="bottom"/>
            <w:hideMark/>
          </w:tcPr>
          <w:p w14:paraId="4D618E4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329CBD0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41,88</w:t>
            </w:r>
          </w:p>
        </w:tc>
        <w:tc>
          <w:tcPr>
            <w:tcW w:w="706" w:type="dxa"/>
            <w:tcBorders>
              <w:top w:val="nil"/>
              <w:left w:val="nil"/>
              <w:bottom w:val="single" w:sz="4" w:space="0" w:color="auto"/>
              <w:right w:val="single" w:sz="4" w:space="0" w:color="auto"/>
            </w:tcBorders>
            <w:noWrap/>
            <w:vAlign w:val="bottom"/>
            <w:hideMark/>
          </w:tcPr>
          <w:p w14:paraId="420D3B1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999" w:type="dxa"/>
            <w:tcBorders>
              <w:top w:val="nil"/>
              <w:left w:val="nil"/>
              <w:bottom w:val="single" w:sz="4" w:space="0" w:color="auto"/>
              <w:right w:val="single" w:sz="4" w:space="0" w:color="auto"/>
            </w:tcBorders>
            <w:noWrap/>
            <w:vAlign w:val="bottom"/>
            <w:hideMark/>
          </w:tcPr>
          <w:p w14:paraId="10A1CBD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8,43</w:t>
            </w:r>
          </w:p>
        </w:tc>
        <w:tc>
          <w:tcPr>
            <w:tcW w:w="925" w:type="dxa"/>
            <w:tcBorders>
              <w:top w:val="nil"/>
              <w:left w:val="nil"/>
              <w:bottom w:val="single" w:sz="4" w:space="0" w:color="auto"/>
              <w:right w:val="single" w:sz="4" w:space="0" w:color="auto"/>
            </w:tcBorders>
            <w:noWrap/>
            <w:vAlign w:val="bottom"/>
            <w:hideMark/>
          </w:tcPr>
          <w:p w14:paraId="2A16883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95" w:type="dxa"/>
            <w:tcBorders>
              <w:top w:val="nil"/>
              <w:left w:val="nil"/>
              <w:bottom w:val="single" w:sz="4" w:space="0" w:color="auto"/>
              <w:right w:val="single" w:sz="4" w:space="0" w:color="auto"/>
            </w:tcBorders>
            <w:noWrap/>
            <w:vAlign w:val="bottom"/>
            <w:hideMark/>
          </w:tcPr>
          <w:p w14:paraId="3D74A94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1F0EB334" w14:textId="06C8F7C3" w:rsidR="008A6AF7" w:rsidRPr="008A6AF7" w:rsidRDefault="008A6AF7" w:rsidP="00CB6919">
      <w:pPr>
        <w:pStyle w:val="Descripcin"/>
        <w:keepNext/>
        <w:spacing w:before="360"/>
        <w:rPr>
          <w:rFonts w:cs="Times New Roman"/>
          <w:i w:val="0"/>
          <w:iCs w:val="0"/>
          <w:color w:val="auto"/>
          <w:sz w:val="24"/>
          <w:szCs w:val="24"/>
          <w:lang w:eastAsia="en-US"/>
        </w:rPr>
      </w:pPr>
      <w:bookmarkStart w:id="2110" w:name="_Toc79314152"/>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160</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w:t>
      </w:r>
      <w:r w:rsidRPr="008A6AF7">
        <w:rPr>
          <w:rFonts w:cs="Times New Roman"/>
          <w:i w:val="0"/>
          <w:iCs w:val="0"/>
          <w:color w:val="auto"/>
          <w:sz w:val="24"/>
          <w:szCs w:val="24"/>
          <w:lang w:eastAsia="en-US"/>
        </w:rPr>
        <w:t xml:space="preserve"> Absorción total de fósforo de plantas de maíz suave para varias dosis de azufre evaluadas en las provincias de Bolívar, Chimborazo, Imbabura 2006-2015.</w:t>
      </w:r>
      <w:bookmarkEnd w:id="2110"/>
    </w:p>
    <w:tbl>
      <w:tblPr>
        <w:tblW w:w="5000" w:type="pct"/>
        <w:tblCellMar>
          <w:left w:w="70" w:type="dxa"/>
          <w:right w:w="70" w:type="dxa"/>
        </w:tblCellMar>
        <w:tblLook w:val="04A0" w:firstRow="1" w:lastRow="0" w:firstColumn="1" w:lastColumn="0" w:noHBand="0" w:noVBand="1"/>
      </w:tblPr>
      <w:tblGrid>
        <w:gridCol w:w="1943"/>
        <w:gridCol w:w="887"/>
        <w:gridCol w:w="508"/>
        <w:gridCol w:w="1815"/>
        <w:gridCol w:w="540"/>
        <w:gridCol w:w="647"/>
        <w:gridCol w:w="795"/>
        <w:gridCol w:w="792"/>
      </w:tblGrid>
      <w:tr w:rsidR="00C82BCC" w14:paraId="4492B000" w14:textId="77777777" w:rsidTr="008A6AF7">
        <w:trPr>
          <w:trHeight w:val="300"/>
        </w:trPr>
        <w:tc>
          <w:tcPr>
            <w:tcW w:w="1232" w:type="pct"/>
            <w:tcBorders>
              <w:top w:val="single" w:sz="4" w:space="0" w:color="auto"/>
              <w:left w:val="single" w:sz="4" w:space="0" w:color="auto"/>
              <w:bottom w:val="single" w:sz="4" w:space="0" w:color="auto"/>
              <w:right w:val="single" w:sz="4" w:space="0" w:color="auto"/>
            </w:tcBorders>
            <w:noWrap/>
            <w:vAlign w:val="bottom"/>
            <w:hideMark/>
          </w:tcPr>
          <w:p w14:paraId="6F3B00FC"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48" w:type="pct"/>
            <w:tcBorders>
              <w:top w:val="single" w:sz="4" w:space="0" w:color="auto"/>
              <w:left w:val="nil"/>
              <w:bottom w:val="single" w:sz="4" w:space="0" w:color="auto"/>
              <w:right w:val="single" w:sz="4" w:space="0" w:color="auto"/>
            </w:tcBorders>
            <w:noWrap/>
            <w:vAlign w:val="bottom"/>
            <w:hideMark/>
          </w:tcPr>
          <w:p w14:paraId="45A1BC42"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327" w:type="pct"/>
            <w:tcBorders>
              <w:top w:val="single" w:sz="4" w:space="0" w:color="auto"/>
              <w:left w:val="nil"/>
              <w:bottom w:val="single" w:sz="4" w:space="0" w:color="auto"/>
              <w:right w:val="single" w:sz="4" w:space="0" w:color="auto"/>
            </w:tcBorders>
            <w:noWrap/>
            <w:vAlign w:val="bottom"/>
            <w:hideMark/>
          </w:tcPr>
          <w:p w14:paraId="68BFFB6D"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n</w:t>
            </w:r>
          </w:p>
        </w:tc>
        <w:tc>
          <w:tcPr>
            <w:tcW w:w="1151" w:type="pct"/>
            <w:tcBorders>
              <w:top w:val="single" w:sz="4" w:space="0" w:color="auto"/>
              <w:left w:val="nil"/>
              <w:bottom w:val="single" w:sz="4" w:space="0" w:color="auto"/>
              <w:right w:val="single" w:sz="4" w:space="0" w:color="auto"/>
            </w:tcBorders>
            <w:noWrap/>
            <w:vAlign w:val="bottom"/>
            <w:hideMark/>
          </w:tcPr>
          <w:p w14:paraId="281D816E"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347" w:type="pct"/>
            <w:tcBorders>
              <w:top w:val="single" w:sz="4" w:space="0" w:color="auto"/>
              <w:left w:val="single" w:sz="4" w:space="0" w:color="auto"/>
              <w:bottom w:val="single" w:sz="4" w:space="0" w:color="auto"/>
              <w:right w:val="nil"/>
            </w:tcBorders>
            <w:noWrap/>
            <w:vAlign w:val="bottom"/>
            <w:hideMark/>
          </w:tcPr>
          <w:p w14:paraId="0EFB23F8"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381" w:type="pct"/>
            <w:tcBorders>
              <w:top w:val="single" w:sz="4" w:space="0" w:color="auto"/>
              <w:left w:val="nil"/>
              <w:bottom w:val="single" w:sz="4" w:space="0" w:color="auto"/>
              <w:right w:val="nil"/>
            </w:tcBorders>
            <w:noWrap/>
            <w:vAlign w:val="bottom"/>
            <w:hideMark/>
          </w:tcPr>
          <w:p w14:paraId="539F8DC0" w14:textId="77777777" w:rsidR="00C82BCC" w:rsidRDefault="00C82BCC" w:rsidP="00CB6919">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508" w:type="pct"/>
            <w:tcBorders>
              <w:top w:val="single" w:sz="4" w:space="0" w:color="auto"/>
              <w:left w:val="nil"/>
              <w:bottom w:val="single" w:sz="4" w:space="0" w:color="auto"/>
              <w:right w:val="nil"/>
            </w:tcBorders>
            <w:noWrap/>
            <w:vAlign w:val="bottom"/>
            <w:hideMark/>
          </w:tcPr>
          <w:p w14:paraId="2B0DE27B" w14:textId="77777777" w:rsidR="00C82BCC" w:rsidRDefault="00C82BCC" w:rsidP="00CB6919">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c>
          <w:tcPr>
            <w:tcW w:w="506" w:type="pct"/>
            <w:tcBorders>
              <w:top w:val="single" w:sz="4" w:space="0" w:color="auto"/>
              <w:left w:val="nil"/>
              <w:bottom w:val="single" w:sz="4" w:space="0" w:color="auto"/>
              <w:right w:val="single" w:sz="4" w:space="0" w:color="auto"/>
            </w:tcBorders>
            <w:noWrap/>
            <w:vAlign w:val="bottom"/>
            <w:hideMark/>
          </w:tcPr>
          <w:p w14:paraId="4EB65975"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0741D40F" w14:textId="77777777" w:rsidTr="008A6AF7">
        <w:trPr>
          <w:trHeight w:val="300"/>
        </w:trPr>
        <w:tc>
          <w:tcPr>
            <w:tcW w:w="1232" w:type="pct"/>
            <w:tcBorders>
              <w:top w:val="nil"/>
              <w:left w:val="single" w:sz="4" w:space="0" w:color="auto"/>
              <w:bottom w:val="single" w:sz="4" w:space="0" w:color="auto"/>
              <w:right w:val="single" w:sz="4" w:space="0" w:color="auto"/>
            </w:tcBorders>
            <w:noWrap/>
            <w:vAlign w:val="bottom"/>
            <w:hideMark/>
          </w:tcPr>
          <w:p w14:paraId="4A76C95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548" w:type="pct"/>
            <w:tcBorders>
              <w:top w:val="nil"/>
              <w:left w:val="nil"/>
              <w:bottom w:val="single" w:sz="4" w:space="0" w:color="auto"/>
              <w:right w:val="single" w:sz="4" w:space="0" w:color="auto"/>
            </w:tcBorders>
            <w:noWrap/>
            <w:vAlign w:val="bottom"/>
            <w:hideMark/>
          </w:tcPr>
          <w:p w14:paraId="4A15EFA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8,69</w:t>
            </w:r>
          </w:p>
        </w:tc>
        <w:tc>
          <w:tcPr>
            <w:tcW w:w="327" w:type="pct"/>
            <w:tcBorders>
              <w:top w:val="nil"/>
              <w:left w:val="nil"/>
              <w:bottom w:val="single" w:sz="4" w:space="0" w:color="auto"/>
              <w:right w:val="single" w:sz="4" w:space="0" w:color="auto"/>
            </w:tcBorders>
            <w:noWrap/>
            <w:vAlign w:val="bottom"/>
            <w:hideMark/>
          </w:tcPr>
          <w:p w14:paraId="4698DC7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151" w:type="pct"/>
            <w:tcBorders>
              <w:top w:val="nil"/>
              <w:left w:val="nil"/>
              <w:bottom w:val="single" w:sz="4" w:space="0" w:color="auto"/>
              <w:right w:val="single" w:sz="4" w:space="0" w:color="auto"/>
            </w:tcBorders>
            <w:noWrap/>
            <w:vAlign w:val="bottom"/>
            <w:hideMark/>
          </w:tcPr>
          <w:p w14:paraId="714DF36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3,77</w:t>
            </w:r>
          </w:p>
        </w:tc>
        <w:tc>
          <w:tcPr>
            <w:tcW w:w="347" w:type="pct"/>
            <w:tcBorders>
              <w:top w:val="single" w:sz="4" w:space="0" w:color="auto"/>
              <w:left w:val="nil"/>
              <w:bottom w:val="single" w:sz="4" w:space="0" w:color="auto"/>
              <w:right w:val="single" w:sz="4" w:space="0" w:color="auto"/>
            </w:tcBorders>
            <w:noWrap/>
            <w:vAlign w:val="bottom"/>
            <w:hideMark/>
          </w:tcPr>
          <w:p w14:paraId="567EB4A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381" w:type="pct"/>
            <w:tcBorders>
              <w:top w:val="single" w:sz="4" w:space="0" w:color="auto"/>
              <w:left w:val="nil"/>
              <w:bottom w:val="single" w:sz="4" w:space="0" w:color="auto"/>
              <w:right w:val="single" w:sz="4" w:space="0" w:color="auto"/>
            </w:tcBorders>
            <w:noWrap/>
            <w:vAlign w:val="bottom"/>
            <w:hideMark/>
          </w:tcPr>
          <w:p w14:paraId="55E4E0B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08" w:type="pct"/>
            <w:tcBorders>
              <w:top w:val="single" w:sz="4" w:space="0" w:color="auto"/>
              <w:left w:val="nil"/>
              <w:bottom w:val="single" w:sz="4" w:space="0" w:color="auto"/>
              <w:right w:val="single" w:sz="4" w:space="0" w:color="auto"/>
            </w:tcBorders>
            <w:noWrap/>
            <w:vAlign w:val="bottom"/>
            <w:hideMark/>
          </w:tcPr>
          <w:p w14:paraId="488D2D2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06" w:type="pct"/>
            <w:tcBorders>
              <w:top w:val="single" w:sz="4" w:space="0" w:color="auto"/>
              <w:left w:val="nil"/>
              <w:bottom w:val="single" w:sz="4" w:space="0" w:color="auto"/>
              <w:right w:val="single" w:sz="4" w:space="0" w:color="auto"/>
            </w:tcBorders>
            <w:noWrap/>
            <w:vAlign w:val="bottom"/>
            <w:hideMark/>
          </w:tcPr>
          <w:p w14:paraId="6B0A5A9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26AD10C" w14:textId="77777777" w:rsidTr="008A6AF7">
        <w:trPr>
          <w:trHeight w:val="300"/>
        </w:trPr>
        <w:tc>
          <w:tcPr>
            <w:tcW w:w="1232" w:type="pct"/>
            <w:tcBorders>
              <w:top w:val="nil"/>
              <w:left w:val="single" w:sz="4" w:space="0" w:color="auto"/>
              <w:bottom w:val="single" w:sz="4" w:space="0" w:color="auto"/>
              <w:right w:val="single" w:sz="4" w:space="0" w:color="auto"/>
            </w:tcBorders>
            <w:noWrap/>
            <w:vAlign w:val="bottom"/>
            <w:hideMark/>
          </w:tcPr>
          <w:p w14:paraId="0370F35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548" w:type="pct"/>
            <w:tcBorders>
              <w:top w:val="nil"/>
              <w:left w:val="nil"/>
              <w:bottom w:val="single" w:sz="4" w:space="0" w:color="auto"/>
              <w:right w:val="single" w:sz="4" w:space="0" w:color="auto"/>
            </w:tcBorders>
            <w:noWrap/>
            <w:vAlign w:val="bottom"/>
            <w:hideMark/>
          </w:tcPr>
          <w:p w14:paraId="1F33B9F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20,18</w:t>
            </w:r>
          </w:p>
        </w:tc>
        <w:tc>
          <w:tcPr>
            <w:tcW w:w="327" w:type="pct"/>
            <w:tcBorders>
              <w:top w:val="nil"/>
              <w:left w:val="nil"/>
              <w:bottom w:val="single" w:sz="4" w:space="0" w:color="auto"/>
              <w:right w:val="single" w:sz="4" w:space="0" w:color="auto"/>
            </w:tcBorders>
            <w:noWrap/>
            <w:vAlign w:val="bottom"/>
            <w:hideMark/>
          </w:tcPr>
          <w:p w14:paraId="1E728B3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w:t>
            </w:r>
          </w:p>
        </w:tc>
        <w:tc>
          <w:tcPr>
            <w:tcW w:w="1151" w:type="pct"/>
            <w:tcBorders>
              <w:top w:val="nil"/>
              <w:left w:val="nil"/>
              <w:bottom w:val="single" w:sz="4" w:space="0" w:color="auto"/>
              <w:right w:val="single" w:sz="4" w:space="0" w:color="auto"/>
            </w:tcBorders>
            <w:noWrap/>
            <w:vAlign w:val="bottom"/>
            <w:hideMark/>
          </w:tcPr>
          <w:p w14:paraId="2B532C7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1,39</w:t>
            </w:r>
          </w:p>
        </w:tc>
        <w:tc>
          <w:tcPr>
            <w:tcW w:w="347" w:type="pct"/>
            <w:tcBorders>
              <w:top w:val="nil"/>
              <w:left w:val="nil"/>
              <w:bottom w:val="single" w:sz="4" w:space="0" w:color="auto"/>
              <w:right w:val="single" w:sz="4" w:space="0" w:color="auto"/>
            </w:tcBorders>
            <w:noWrap/>
            <w:vAlign w:val="bottom"/>
            <w:hideMark/>
          </w:tcPr>
          <w:p w14:paraId="30DEDF7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81" w:type="pct"/>
            <w:tcBorders>
              <w:top w:val="nil"/>
              <w:left w:val="nil"/>
              <w:bottom w:val="single" w:sz="4" w:space="0" w:color="auto"/>
              <w:right w:val="single" w:sz="4" w:space="0" w:color="auto"/>
            </w:tcBorders>
            <w:noWrap/>
            <w:vAlign w:val="bottom"/>
            <w:hideMark/>
          </w:tcPr>
          <w:p w14:paraId="71300EE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08" w:type="pct"/>
            <w:tcBorders>
              <w:top w:val="nil"/>
              <w:left w:val="nil"/>
              <w:bottom w:val="single" w:sz="4" w:space="0" w:color="auto"/>
              <w:right w:val="single" w:sz="4" w:space="0" w:color="auto"/>
            </w:tcBorders>
            <w:noWrap/>
            <w:vAlign w:val="bottom"/>
            <w:hideMark/>
          </w:tcPr>
          <w:p w14:paraId="5BB8ADF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06" w:type="pct"/>
            <w:tcBorders>
              <w:top w:val="nil"/>
              <w:left w:val="nil"/>
              <w:bottom w:val="single" w:sz="4" w:space="0" w:color="auto"/>
              <w:right w:val="single" w:sz="4" w:space="0" w:color="auto"/>
            </w:tcBorders>
            <w:noWrap/>
            <w:vAlign w:val="bottom"/>
            <w:hideMark/>
          </w:tcPr>
          <w:p w14:paraId="56F7259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B1205D2" w14:textId="77777777" w:rsidTr="008A6AF7">
        <w:trPr>
          <w:trHeight w:val="300"/>
        </w:trPr>
        <w:tc>
          <w:tcPr>
            <w:tcW w:w="1232" w:type="pct"/>
            <w:tcBorders>
              <w:top w:val="nil"/>
              <w:left w:val="single" w:sz="4" w:space="0" w:color="auto"/>
              <w:bottom w:val="single" w:sz="4" w:space="0" w:color="auto"/>
              <w:right w:val="single" w:sz="4" w:space="0" w:color="auto"/>
            </w:tcBorders>
            <w:noWrap/>
            <w:vAlign w:val="bottom"/>
            <w:hideMark/>
          </w:tcPr>
          <w:p w14:paraId="36E2B17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48" w:type="pct"/>
            <w:tcBorders>
              <w:top w:val="nil"/>
              <w:left w:val="nil"/>
              <w:bottom w:val="single" w:sz="4" w:space="0" w:color="auto"/>
              <w:right w:val="single" w:sz="4" w:space="0" w:color="auto"/>
            </w:tcBorders>
            <w:noWrap/>
            <w:vAlign w:val="bottom"/>
            <w:hideMark/>
          </w:tcPr>
          <w:p w14:paraId="31BF28F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30,39</w:t>
            </w:r>
          </w:p>
        </w:tc>
        <w:tc>
          <w:tcPr>
            <w:tcW w:w="327" w:type="pct"/>
            <w:tcBorders>
              <w:top w:val="nil"/>
              <w:left w:val="nil"/>
              <w:bottom w:val="single" w:sz="4" w:space="0" w:color="auto"/>
              <w:right w:val="single" w:sz="4" w:space="0" w:color="auto"/>
            </w:tcBorders>
            <w:noWrap/>
            <w:vAlign w:val="bottom"/>
            <w:hideMark/>
          </w:tcPr>
          <w:p w14:paraId="0D92E2C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w:t>
            </w:r>
          </w:p>
        </w:tc>
        <w:tc>
          <w:tcPr>
            <w:tcW w:w="1151" w:type="pct"/>
            <w:tcBorders>
              <w:top w:val="nil"/>
              <w:left w:val="nil"/>
              <w:bottom w:val="single" w:sz="4" w:space="0" w:color="auto"/>
              <w:right w:val="single" w:sz="4" w:space="0" w:color="auto"/>
            </w:tcBorders>
            <w:noWrap/>
            <w:vAlign w:val="bottom"/>
            <w:hideMark/>
          </w:tcPr>
          <w:p w14:paraId="5711858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w:t>
            </w:r>
          </w:p>
        </w:tc>
        <w:tc>
          <w:tcPr>
            <w:tcW w:w="347" w:type="pct"/>
            <w:tcBorders>
              <w:top w:val="nil"/>
              <w:left w:val="nil"/>
              <w:bottom w:val="single" w:sz="4" w:space="0" w:color="auto"/>
              <w:right w:val="single" w:sz="4" w:space="0" w:color="auto"/>
            </w:tcBorders>
            <w:noWrap/>
            <w:vAlign w:val="bottom"/>
            <w:hideMark/>
          </w:tcPr>
          <w:p w14:paraId="563BE16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81" w:type="pct"/>
            <w:tcBorders>
              <w:top w:val="nil"/>
              <w:left w:val="nil"/>
              <w:bottom w:val="single" w:sz="4" w:space="0" w:color="auto"/>
              <w:right w:val="single" w:sz="4" w:space="0" w:color="auto"/>
            </w:tcBorders>
            <w:noWrap/>
            <w:vAlign w:val="bottom"/>
            <w:hideMark/>
          </w:tcPr>
          <w:p w14:paraId="5243456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08" w:type="pct"/>
            <w:tcBorders>
              <w:top w:val="nil"/>
              <w:left w:val="nil"/>
              <w:bottom w:val="single" w:sz="4" w:space="0" w:color="auto"/>
              <w:right w:val="single" w:sz="4" w:space="0" w:color="auto"/>
            </w:tcBorders>
            <w:noWrap/>
            <w:vAlign w:val="bottom"/>
            <w:hideMark/>
          </w:tcPr>
          <w:p w14:paraId="79CB16A0"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506" w:type="pct"/>
            <w:tcBorders>
              <w:top w:val="nil"/>
              <w:left w:val="nil"/>
              <w:bottom w:val="single" w:sz="4" w:space="0" w:color="auto"/>
              <w:right w:val="single" w:sz="4" w:space="0" w:color="auto"/>
            </w:tcBorders>
            <w:noWrap/>
            <w:vAlign w:val="bottom"/>
            <w:hideMark/>
          </w:tcPr>
          <w:p w14:paraId="7F2FE28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1F6474C" w14:textId="77777777" w:rsidTr="008A6AF7">
        <w:trPr>
          <w:trHeight w:val="300"/>
        </w:trPr>
        <w:tc>
          <w:tcPr>
            <w:tcW w:w="1232" w:type="pct"/>
            <w:tcBorders>
              <w:top w:val="nil"/>
              <w:left w:val="single" w:sz="4" w:space="0" w:color="auto"/>
              <w:bottom w:val="single" w:sz="4" w:space="0" w:color="auto"/>
              <w:right w:val="single" w:sz="4" w:space="0" w:color="auto"/>
            </w:tcBorders>
            <w:noWrap/>
            <w:vAlign w:val="bottom"/>
            <w:hideMark/>
          </w:tcPr>
          <w:p w14:paraId="2D762CB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548" w:type="pct"/>
            <w:tcBorders>
              <w:top w:val="nil"/>
              <w:left w:val="nil"/>
              <w:bottom w:val="single" w:sz="4" w:space="0" w:color="auto"/>
              <w:right w:val="single" w:sz="4" w:space="0" w:color="auto"/>
            </w:tcBorders>
            <w:noWrap/>
            <w:vAlign w:val="bottom"/>
            <w:hideMark/>
          </w:tcPr>
          <w:p w14:paraId="299E6A2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30,47</w:t>
            </w:r>
          </w:p>
        </w:tc>
        <w:tc>
          <w:tcPr>
            <w:tcW w:w="327" w:type="pct"/>
            <w:tcBorders>
              <w:top w:val="nil"/>
              <w:left w:val="nil"/>
              <w:bottom w:val="single" w:sz="4" w:space="0" w:color="auto"/>
              <w:right w:val="single" w:sz="4" w:space="0" w:color="auto"/>
            </w:tcBorders>
            <w:noWrap/>
            <w:vAlign w:val="bottom"/>
            <w:hideMark/>
          </w:tcPr>
          <w:p w14:paraId="3D5C50A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76</w:t>
            </w:r>
          </w:p>
        </w:tc>
        <w:tc>
          <w:tcPr>
            <w:tcW w:w="1151" w:type="pct"/>
            <w:tcBorders>
              <w:top w:val="nil"/>
              <w:left w:val="nil"/>
              <w:bottom w:val="single" w:sz="4" w:space="0" w:color="auto"/>
              <w:right w:val="single" w:sz="4" w:space="0" w:color="auto"/>
            </w:tcBorders>
            <w:noWrap/>
            <w:vAlign w:val="bottom"/>
            <w:hideMark/>
          </w:tcPr>
          <w:p w14:paraId="198F371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1,35</w:t>
            </w:r>
          </w:p>
        </w:tc>
        <w:tc>
          <w:tcPr>
            <w:tcW w:w="347" w:type="pct"/>
            <w:tcBorders>
              <w:top w:val="nil"/>
              <w:left w:val="nil"/>
              <w:bottom w:val="single" w:sz="4" w:space="0" w:color="auto"/>
              <w:right w:val="single" w:sz="4" w:space="0" w:color="auto"/>
            </w:tcBorders>
            <w:noWrap/>
            <w:vAlign w:val="bottom"/>
            <w:hideMark/>
          </w:tcPr>
          <w:p w14:paraId="2641431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81" w:type="pct"/>
            <w:tcBorders>
              <w:top w:val="nil"/>
              <w:left w:val="nil"/>
              <w:bottom w:val="single" w:sz="4" w:space="0" w:color="auto"/>
              <w:right w:val="single" w:sz="4" w:space="0" w:color="auto"/>
            </w:tcBorders>
            <w:noWrap/>
            <w:vAlign w:val="bottom"/>
            <w:hideMark/>
          </w:tcPr>
          <w:p w14:paraId="30B701F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08" w:type="pct"/>
            <w:tcBorders>
              <w:top w:val="nil"/>
              <w:left w:val="nil"/>
              <w:bottom w:val="single" w:sz="4" w:space="0" w:color="auto"/>
              <w:right w:val="single" w:sz="4" w:space="0" w:color="auto"/>
            </w:tcBorders>
            <w:noWrap/>
            <w:vAlign w:val="bottom"/>
            <w:hideMark/>
          </w:tcPr>
          <w:p w14:paraId="77D29D2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506" w:type="pct"/>
            <w:tcBorders>
              <w:top w:val="nil"/>
              <w:left w:val="nil"/>
              <w:bottom w:val="single" w:sz="4" w:space="0" w:color="auto"/>
              <w:right w:val="single" w:sz="4" w:space="0" w:color="auto"/>
            </w:tcBorders>
            <w:noWrap/>
            <w:vAlign w:val="bottom"/>
            <w:hideMark/>
          </w:tcPr>
          <w:p w14:paraId="65E3746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2DA82D59" w14:textId="77777777" w:rsidTr="008A6AF7">
        <w:trPr>
          <w:trHeight w:val="300"/>
        </w:trPr>
        <w:tc>
          <w:tcPr>
            <w:tcW w:w="1232" w:type="pct"/>
            <w:tcBorders>
              <w:top w:val="nil"/>
              <w:left w:val="single" w:sz="4" w:space="0" w:color="auto"/>
              <w:bottom w:val="nil"/>
              <w:right w:val="single" w:sz="4" w:space="0" w:color="auto"/>
            </w:tcBorders>
            <w:noWrap/>
            <w:vAlign w:val="bottom"/>
            <w:hideMark/>
          </w:tcPr>
          <w:p w14:paraId="401A164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548" w:type="pct"/>
            <w:tcBorders>
              <w:top w:val="nil"/>
              <w:left w:val="nil"/>
              <w:bottom w:val="nil"/>
              <w:right w:val="single" w:sz="4" w:space="0" w:color="auto"/>
            </w:tcBorders>
            <w:noWrap/>
            <w:vAlign w:val="bottom"/>
            <w:hideMark/>
          </w:tcPr>
          <w:p w14:paraId="43D6BD8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36,74</w:t>
            </w:r>
          </w:p>
        </w:tc>
        <w:tc>
          <w:tcPr>
            <w:tcW w:w="327" w:type="pct"/>
            <w:tcBorders>
              <w:top w:val="nil"/>
              <w:left w:val="nil"/>
              <w:bottom w:val="nil"/>
              <w:right w:val="single" w:sz="4" w:space="0" w:color="auto"/>
            </w:tcBorders>
            <w:noWrap/>
            <w:vAlign w:val="bottom"/>
            <w:hideMark/>
          </w:tcPr>
          <w:p w14:paraId="20319BF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w:t>
            </w:r>
          </w:p>
        </w:tc>
        <w:tc>
          <w:tcPr>
            <w:tcW w:w="1151" w:type="pct"/>
            <w:tcBorders>
              <w:top w:val="nil"/>
              <w:left w:val="nil"/>
              <w:bottom w:val="nil"/>
              <w:right w:val="single" w:sz="4" w:space="0" w:color="auto"/>
            </w:tcBorders>
            <w:noWrap/>
            <w:vAlign w:val="bottom"/>
            <w:hideMark/>
          </w:tcPr>
          <w:p w14:paraId="2A38335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1,36</w:t>
            </w:r>
          </w:p>
        </w:tc>
        <w:tc>
          <w:tcPr>
            <w:tcW w:w="347" w:type="pct"/>
            <w:tcBorders>
              <w:top w:val="nil"/>
              <w:left w:val="nil"/>
              <w:bottom w:val="nil"/>
              <w:right w:val="single" w:sz="4" w:space="0" w:color="auto"/>
            </w:tcBorders>
            <w:noWrap/>
            <w:vAlign w:val="bottom"/>
            <w:hideMark/>
          </w:tcPr>
          <w:p w14:paraId="49171CD9"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381" w:type="pct"/>
            <w:tcBorders>
              <w:top w:val="nil"/>
              <w:left w:val="nil"/>
              <w:bottom w:val="nil"/>
              <w:right w:val="single" w:sz="4" w:space="0" w:color="auto"/>
            </w:tcBorders>
            <w:noWrap/>
            <w:vAlign w:val="bottom"/>
            <w:hideMark/>
          </w:tcPr>
          <w:p w14:paraId="16BA952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08" w:type="pct"/>
            <w:tcBorders>
              <w:top w:val="nil"/>
              <w:left w:val="nil"/>
              <w:bottom w:val="nil"/>
              <w:right w:val="single" w:sz="4" w:space="0" w:color="auto"/>
            </w:tcBorders>
            <w:noWrap/>
            <w:vAlign w:val="bottom"/>
            <w:hideMark/>
          </w:tcPr>
          <w:p w14:paraId="0EF9280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06" w:type="pct"/>
            <w:tcBorders>
              <w:top w:val="nil"/>
              <w:left w:val="nil"/>
              <w:bottom w:val="nil"/>
              <w:right w:val="single" w:sz="4" w:space="0" w:color="auto"/>
            </w:tcBorders>
            <w:noWrap/>
            <w:vAlign w:val="bottom"/>
            <w:hideMark/>
          </w:tcPr>
          <w:p w14:paraId="0782529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r w:rsidR="008A6AF7" w14:paraId="1774768F" w14:textId="77777777" w:rsidTr="008A6AF7">
        <w:trPr>
          <w:trHeight w:val="87"/>
        </w:trPr>
        <w:tc>
          <w:tcPr>
            <w:tcW w:w="1232" w:type="pct"/>
            <w:tcBorders>
              <w:top w:val="nil"/>
              <w:left w:val="single" w:sz="4" w:space="0" w:color="auto"/>
              <w:bottom w:val="single" w:sz="4" w:space="0" w:color="auto"/>
              <w:right w:val="single" w:sz="4" w:space="0" w:color="auto"/>
            </w:tcBorders>
            <w:noWrap/>
            <w:vAlign w:val="bottom"/>
          </w:tcPr>
          <w:p w14:paraId="25E7E2ED" w14:textId="77777777" w:rsidR="008A6AF7" w:rsidRDefault="008A6AF7" w:rsidP="00CB6919">
            <w:pPr>
              <w:spacing w:after="0" w:line="240" w:lineRule="auto"/>
              <w:jc w:val="center"/>
              <w:rPr>
                <w:rFonts w:eastAsia="Times New Roman" w:cs="Times New Roman"/>
                <w:color w:val="000000"/>
                <w:szCs w:val="24"/>
                <w:lang w:eastAsia="es-EC"/>
              </w:rPr>
            </w:pPr>
          </w:p>
        </w:tc>
        <w:tc>
          <w:tcPr>
            <w:tcW w:w="548" w:type="pct"/>
            <w:tcBorders>
              <w:top w:val="nil"/>
              <w:left w:val="nil"/>
              <w:bottom w:val="single" w:sz="4" w:space="0" w:color="auto"/>
              <w:right w:val="single" w:sz="4" w:space="0" w:color="auto"/>
            </w:tcBorders>
            <w:noWrap/>
            <w:vAlign w:val="bottom"/>
          </w:tcPr>
          <w:p w14:paraId="4BF9758A" w14:textId="77777777" w:rsidR="008A6AF7" w:rsidRDefault="008A6AF7" w:rsidP="00CB6919">
            <w:pPr>
              <w:spacing w:after="0" w:line="240" w:lineRule="auto"/>
              <w:jc w:val="center"/>
              <w:rPr>
                <w:rFonts w:eastAsia="Times New Roman" w:cs="Times New Roman"/>
                <w:color w:val="000000"/>
                <w:szCs w:val="24"/>
                <w:lang w:eastAsia="es-EC"/>
              </w:rPr>
            </w:pPr>
          </w:p>
        </w:tc>
        <w:tc>
          <w:tcPr>
            <w:tcW w:w="327" w:type="pct"/>
            <w:tcBorders>
              <w:top w:val="nil"/>
              <w:left w:val="nil"/>
              <w:bottom w:val="single" w:sz="4" w:space="0" w:color="auto"/>
              <w:right w:val="single" w:sz="4" w:space="0" w:color="auto"/>
            </w:tcBorders>
            <w:noWrap/>
            <w:vAlign w:val="bottom"/>
          </w:tcPr>
          <w:p w14:paraId="3C1F0800" w14:textId="77777777" w:rsidR="008A6AF7" w:rsidRDefault="008A6AF7" w:rsidP="00CB6919">
            <w:pPr>
              <w:spacing w:after="0" w:line="240" w:lineRule="auto"/>
              <w:jc w:val="center"/>
              <w:rPr>
                <w:rFonts w:eastAsia="Times New Roman" w:cs="Times New Roman"/>
                <w:color w:val="000000"/>
                <w:szCs w:val="24"/>
                <w:lang w:eastAsia="es-EC"/>
              </w:rPr>
            </w:pPr>
          </w:p>
        </w:tc>
        <w:tc>
          <w:tcPr>
            <w:tcW w:w="1151" w:type="pct"/>
            <w:tcBorders>
              <w:top w:val="nil"/>
              <w:left w:val="nil"/>
              <w:bottom w:val="single" w:sz="4" w:space="0" w:color="auto"/>
              <w:right w:val="single" w:sz="4" w:space="0" w:color="auto"/>
            </w:tcBorders>
            <w:noWrap/>
            <w:vAlign w:val="bottom"/>
          </w:tcPr>
          <w:p w14:paraId="0D82ABD0" w14:textId="77777777" w:rsidR="008A6AF7" w:rsidRDefault="008A6AF7" w:rsidP="00CB6919">
            <w:pPr>
              <w:spacing w:after="0" w:line="240" w:lineRule="auto"/>
              <w:jc w:val="center"/>
              <w:rPr>
                <w:rFonts w:eastAsia="Times New Roman" w:cs="Times New Roman"/>
                <w:color w:val="000000"/>
                <w:szCs w:val="24"/>
                <w:lang w:eastAsia="es-EC"/>
              </w:rPr>
            </w:pPr>
          </w:p>
        </w:tc>
        <w:tc>
          <w:tcPr>
            <w:tcW w:w="347" w:type="pct"/>
            <w:tcBorders>
              <w:top w:val="nil"/>
              <w:left w:val="nil"/>
              <w:bottom w:val="single" w:sz="4" w:space="0" w:color="auto"/>
              <w:right w:val="single" w:sz="4" w:space="0" w:color="auto"/>
            </w:tcBorders>
            <w:noWrap/>
            <w:vAlign w:val="bottom"/>
          </w:tcPr>
          <w:p w14:paraId="69060CCC" w14:textId="77777777" w:rsidR="008A6AF7" w:rsidRDefault="008A6AF7" w:rsidP="00CB6919">
            <w:pPr>
              <w:spacing w:after="0" w:line="240" w:lineRule="auto"/>
              <w:jc w:val="center"/>
              <w:rPr>
                <w:rFonts w:eastAsia="Times New Roman" w:cs="Times New Roman"/>
                <w:color w:val="000000"/>
                <w:szCs w:val="24"/>
                <w:lang w:eastAsia="es-EC"/>
              </w:rPr>
            </w:pPr>
          </w:p>
        </w:tc>
        <w:tc>
          <w:tcPr>
            <w:tcW w:w="381" w:type="pct"/>
            <w:tcBorders>
              <w:top w:val="nil"/>
              <w:left w:val="nil"/>
              <w:bottom w:val="single" w:sz="4" w:space="0" w:color="auto"/>
              <w:right w:val="single" w:sz="4" w:space="0" w:color="auto"/>
            </w:tcBorders>
            <w:noWrap/>
            <w:vAlign w:val="bottom"/>
          </w:tcPr>
          <w:p w14:paraId="2825DDD4" w14:textId="77777777" w:rsidR="008A6AF7" w:rsidRDefault="008A6AF7" w:rsidP="00CB6919">
            <w:pPr>
              <w:spacing w:after="0" w:line="240" w:lineRule="auto"/>
              <w:jc w:val="center"/>
              <w:rPr>
                <w:rFonts w:eastAsia="Times New Roman" w:cs="Times New Roman"/>
                <w:color w:val="000000"/>
                <w:szCs w:val="24"/>
                <w:lang w:eastAsia="es-EC"/>
              </w:rPr>
            </w:pPr>
          </w:p>
        </w:tc>
        <w:tc>
          <w:tcPr>
            <w:tcW w:w="508" w:type="pct"/>
            <w:tcBorders>
              <w:top w:val="nil"/>
              <w:left w:val="nil"/>
              <w:bottom w:val="single" w:sz="4" w:space="0" w:color="auto"/>
              <w:right w:val="single" w:sz="4" w:space="0" w:color="auto"/>
            </w:tcBorders>
            <w:noWrap/>
            <w:vAlign w:val="bottom"/>
          </w:tcPr>
          <w:p w14:paraId="4FBBE12F" w14:textId="77777777" w:rsidR="008A6AF7" w:rsidRDefault="008A6AF7" w:rsidP="00CB6919">
            <w:pPr>
              <w:spacing w:after="0" w:line="240" w:lineRule="auto"/>
              <w:jc w:val="center"/>
              <w:rPr>
                <w:rFonts w:eastAsia="Times New Roman" w:cs="Times New Roman"/>
                <w:color w:val="000000"/>
                <w:szCs w:val="24"/>
                <w:lang w:eastAsia="es-EC"/>
              </w:rPr>
            </w:pPr>
          </w:p>
        </w:tc>
        <w:tc>
          <w:tcPr>
            <w:tcW w:w="506" w:type="pct"/>
            <w:tcBorders>
              <w:top w:val="nil"/>
              <w:left w:val="nil"/>
              <w:bottom w:val="single" w:sz="4" w:space="0" w:color="auto"/>
              <w:right w:val="single" w:sz="4" w:space="0" w:color="auto"/>
            </w:tcBorders>
            <w:noWrap/>
            <w:vAlign w:val="bottom"/>
          </w:tcPr>
          <w:p w14:paraId="75BAB9BD" w14:textId="77777777" w:rsidR="008A6AF7" w:rsidRDefault="008A6AF7" w:rsidP="00CB6919">
            <w:pPr>
              <w:spacing w:after="0" w:line="240" w:lineRule="auto"/>
              <w:jc w:val="center"/>
              <w:rPr>
                <w:rFonts w:eastAsia="Times New Roman" w:cs="Times New Roman"/>
                <w:color w:val="000000"/>
                <w:szCs w:val="24"/>
                <w:lang w:eastAsia="es-EC"/>
              </w:rPr>
            </w:pPr>
          </w:p>
        </w:tc>
      </w:tr>
    </w:tbl>
    <w:p w14:paraId="6D1D79D2" w14:textId="59877890" w:rsidR="008A6AF7" w:rsidRPr="008A6AF7" w:rsidRDefault="008A6AF7" w:rsidP="00CB6919">
      <w:pPr>
        <w:pStyle w:val="Descripcin"/>
        <w:keepNext/>
        <w:spacing w:before="360"/>
        <w:rPr>
          <w:rFonts w:cs="Times New Roman"/>
          <w:i w:val="0"/>
          <w:iCs w:val="0"/>
          <w:color w:val="auto"/>
          <w:sz w:val="24"/>
          <w:szCs w:val="24"/>
          <w:lang w:eastAsia="en-US"/>
        </w:rPr>
      </w:pPr>
      <w:bookmarkStart w:id="2111" w:name="_Toc79314153"/>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161</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 xml:space="preserve">. </w:t>
      </w:r>
      <w:r w:rsidRPr="008A6AF7">
        <w:rPr>
          <w:rFonts w:cs="Times New Roman"/>
          <w:i w:val="0"/>
          <w:iCs w:val="0"/>
          <w:color w:val="auto"/>
          <w:sz w:val="24"/>
          <w:szCs w:val="24"/>
          <w:lang w:eastAsia="en-US"/>
        </w:rPr>
        <w:t>Absorción total de fósforo de plantas de maíz suave para varias dosis de magnesio evaluadas en las provincias de Bolívar, Chimborazo, Imbabura 2006-2015.</w:t>
      </w:r>
      <w:bookmarkEnd w:id="2111"/>
    </w:p>
    <w:tbl>
      <w:tblPr>
        <w:tblW w:w="5514" w:type="dxa"/>
        <w:jc w:val="center"/>
        <w:tblCellMar>
          <w:left w:w="70" w:type="dxa"/>
          <w:right w:w="70" w:type="dxa"/>
        </w:tblCellMar>
        <w:tblLook w:val="04A0" w:firstRow="1" w:lastRow="0" w:firstColumn="1" w:lastColumn="0" w:noHBand="0" w:noVBand="1"/>
      </w:tblPr>
      <w:tblGrid>
        <w:gridCol w:w="2227"/>
        <w:gridCol w:w="887"/>
        <w:gridCol w:w="567"/>
        <w:gridCol w:w="1833"/>
      </w:tblGrid>
      <w:tr w:rsidR="00C82BCC" w14:paraId="34DA1A5F" w14:textId="77777777" w:rsidTr="001F47F7">
        <w:trPr>
          <w:trHeight w:val="300"/>
          <w:jc w:val="center"/>
        </w:trPr>
        <w:tc>
          <w:tcPr>
            <w:tcW w:w="2227" w:type="dxa"/>
            <w:tcBorders>
              <w:top w:val="single" w:sz="4" w:space="0" w:color="auto"/>
              <w:left w:val="single" w:sz="4" w:space="0" w:color="auto"/>
              <w:bottom w:val="single" w:sz="4" w:space="0" w:color="auto"/>
              <w:right w:val="single" w:sz="4" w:space="0" w:color="auto"/>
            </w:tcBorders>
            <w:noWrap/>
            <w:vAlign w:val="bottom"/>
            <w:hideMark/>
          </w:tcPr>
          <w:p w14:paraId="369B32C0"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7AF6C64A"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67" w:type="dxa"/>
            <w:tcBorders>
              <w:top w:val="single" w:sz="4" w:space="0" w:color="auto"/>
              <w:left w:val="nil"/>
              <w:bottom w:val="single" w:sz="4" w:space="0" w:color="auto"/>
              <w:right w:val="single" w:sz="4" w:space="0" w:color="auto"/>
            </w:tcBorders>
            <w:noWrap/>
            <w:vAlign w:val="bottom"/>
            <w:hideMark/>
          </w:tcPr>
          <w:p w14:paraId="6821FD37"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33" w:type="dxa"/>
            <w:tcBorders>
              <w:top w:val="single" w:sz="4" w:space="0" w:color="auto"/>
              <w:left w:val="nil"/>
              <w:bottom w:val="single" w:sz="4" w:space="0" w:color="auto"/>
              <w:right w:val="single" w:sz="4" w:space="0" w:color="auto"/>
            </w:tcBorders>
            <w:noWrap/>
            <w:vAlign w:val="bottom"/>
            <w:hideMark/>
          </w:tcPr>
          <w:p w14:paraId="7AFC1C64" w14:textId="77777777" w:rsidR="00C82BCC" w:rsidRDefault="00C82BCC" w:rsidP="00CB6919">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2F49A455"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E3273A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608C5A0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20,06</w:t>
            </w:r>
          </w:p>
        </w:tc>
        <w:tc>
          <w:tcPr>
            <w:tcW w:w="567" w:type="dxa"/>
            <w:tcBorders>
              <w:top w:val="nil"/>
              <w:left w:val="nil"/>
              <w:bottom w:val="single" w:sz="4" w:space="0" w:color="auto"/>
              <w:right w:val="single" w:sz="4" w:space="0" w:color="auto"/>
            </w:tcBorders>
            <w:noWrap/>
            <w:vAlign w:val="bottom"/>
            <w:hideMark/>
          </w:tcPr>
          <w:p w14:paraId="0367E3B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w:t>
            </w:r>
          </w:p>
        </w:tc>
        <w:tc>
          <w:tcPr>
            <w:tcW w:w="1833" w:type="dxa"/>
            <w:tcBorders>
              <w:top w:val="nil"/>
              <w:left w:val="nil"/>
              <w:bottom w:val="single" w:sz="4" w:space="0" w:color="auto"/>
              <w:right w:val="single" w:sz="4" w:space="0" w:color="auto"/>
            </w:tcBorders>
            <w:noWrap/>
            <w:vAlign w:val="bottom"/>
            <w:hideMark/>
          </w:tcPr>
          <w:p w14:paraId="4397BD65"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1,99</w:t>
            </w:r>
          </w:p>
        </w:tc>
      </w:tr>
      <w:tr w:rsidR="00C82BCC" w14:paraId="3E25E569"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37322626"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19EE4E6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23,21</w:t>
            </w:r>
          </w:p>
        </w:tc>
        <w:tc>
          <w:tcPr>
            <w:tcW w:w="567" w:type="dxa"/>
            <w:tcBorders>
              <w:top w:val="nil"/>
              <w:left w:val="nil"/>
              <w:bottom w:val="single" w:sz="4" w:space="0" w:color="auto"/>
              <w:right w:val="single" w:sz="4" w:space="0" w:color="auto"/>
            </w:tcBorders>
            <w:noWrap/>
            <w:vAlign w:val="bottom"/>
            <w:hideMark/>
          </w:tcPr>
          <w:p w14:paraId="6642B403"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833" w:type="dxa"/>
            <w:tcBorders>
              <w:top w:val="nil"/>
              <w:left w:val="nil"/>
              <w:bottom w:val="single" w:sz="4" w:space="0" w:color="auto"/>
              <w:right w:val="single" w:sz="4" w:space="0" w:color="auto"/>
            </w:tcBorders>
            <w:noWrap/>
            <w:vAlign w:val="bottom"/>
            <w:hideMark/>
          </w:tcPr>
          <w:p w14:paraId="2800B4D4"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1,28</w:t>
            </w:r>
          </w:p>
        </w:tc>
      </w:tr>
      <w:tr w:rsidR="00C82BCC" w14:paraId="3782B785"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4EDEB00E"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87" w:type="dxa"/>
            <w:tcBorders>
              <w:top w:val="nil"/>
              <w:left w:val="nil"/>
              <w:bottom w:val="single" w:sz="4" w:space="0" w:color="auto"/>
              <w:right w:val="single" w:sz="4" w:space="0" w:color="auto"/>
            </w:tcBorders>
            <w:noWrap/>
            <w:vAlign w:val="bottom"/>
            <w:hideMark/>
          </w:tcPr>
          <w:p w14:paraId="5014EAC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31,36</w:t>
            </w:r>
          </w:p>
        </w:tc>
        <w:tc>
          <w:tcPr>
            <w:tcW w:w="567" w:type="dxa"/>
            <w:tcBorders>
              <w:top w:val="nil"/>
              <w:left w:val="nil"/>
              <w:bottom w:val="single" w:sz="4" w:space="0" w:color="auto"/>
              <w:right w:val="single" w:sz="4" w:space="0" w:color="auto"/>
            </w:tcBorders>
            <w:noWrap/>
            <w:vAlign w:val="bottom"/>
            <w:hideMark/>
          </w:tcPr>
          <w:p w14:paraId="4D804231"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833" w:type="dxa"/>
            <w:tcBorders>
              <w:top w:val="nil"/>
              <w:left w:val="nil"/>
              <w:bottom w:val="single" w:sz="4" w:space="0" w:color="auto"/>
              <w:right w:val="single" w:sz="4" w:space="0" w:color="auto"/>
            </w:tcBorders>
            <w:noWrap/>
            <w:vAlign w:val="bottom"/>
            <w:hideMark/>
          </w:tcPr>
          <w:p w14:paraId="4C78207A"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3,77</w:t>
            </w:r>
          </w:p>
        </w:tc>
      </w:tr>
      <w:tr w:rsidR="00C82BCC" w14:paraId="002A73FE"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2CC742EF"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735F8797"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33,18</w:t>
            </w:r>
          </w:p>
        </w:tc>
        <w:tc>
          <w:tcPr>
            <w:tcW w:w="567" w:type="dxa"/>
            <w:tcBorders>
              <w:top w:val="nil"/>
              <w:left w:val="nil"/>
              <w:bottom w:val="single" w:sz="4" w:space="0" w:color="auto"/>
              <w:right w:val="single" w:sz="4" w:space="0" w:color="auto"/>
            </w:tcBorders>
            <w:noWrap/>
            <w:vAlign w:val="bottom"/>
            <w:hideMark/>
          </w:tcPr>
          <w:p w14:paraId="32E1919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w:t>
            </w:r>
          </w:p>
        </w:tc>
        <w:tc>
          <w:tcPr>
            <w:tcW w:w="1833" w:type="dxa"/>
            <w:tcBorders>
              <w:top w:val="nil"/>
              <w:left w:val="nil"/>
              <w:bottom w:val="single" w:sz="4" w:space="0" w:color="auto"/>
              <w:right w:val="single" w:sz="4" w:space="0" w:color="auto"/>
            </w:tcBorders>
            <w:noWrap/>
            <w:vAlign w:val="bottom"/>
            <w:hideMark/>
          </w:tcPr>
          <w:p w14:paraId="129BDAED"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0,81</w:t>
            </w:r>
          </w:p>
        </w:tc>
      </w:tr>
      <w:tr w:rsidR="00C82BCC" w14:paraId="43676519" w14:textId="77777777" w:rsidTr="001F47F7">
        <w:trPr>
          <w:trHeight w:val="300"/>
          <w:jc w:val="center"/>
        </w:trPr>
        <w:tc>
          <w:tcPr>
            <w:tcW w:w="2227" w:type="dxa"/>
            <w:tcBorders>
              <w:top w:val="nil"/>
              <w:left w:val="single" w:sz="4" w:space="0" w:color="auto"/>
              <w:bottom w:val="single" w:sz="4" w:space="0" w:color="auto"/>
              <w:right w:val="single" w:sz="4" w:space="0" w:color="auto"/>
            </w:tcBorders>
            <w:noWrap/>
            <w:vAlign w:val="bottom"/>
            <w:hideMark/>
          </w:tcPr>
          <w:p w14:paraId="77B08C1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4AFB7718"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37,55</w:t>
            </w:r>
          </w:p>
        </w:tc>
        <w:tc>
          <w:tcPr>
            <w:tcW w:w="567" w:type="dxa"/>
            <w:tcBorders>
              <w:top w:val="nil"/>
              <w:left w:val="nil"/>
              <w:bottom w:val="single" w:sz="4" w:space="0" w:color="auto"/>
              <w:right w:val="single" w:sz="4" w:space="0" w:color="auto"/>
            </w:tcBorders>
            <w:noWrap/>
            <w:vAlign w:val="bottom"/>
            <w:hideMark/>
          </w:tcPr>
          <w:p w14:paraId="2C14BE0B"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833" w:type="dxa"/>
            <w:tcBorders>
              <w:top w:val="nil"/>
              <w:left w:val="nil"/>
              <w:bottom w:val="single" w:sz="4" w:space="0" w:color="auto"/>
              <w:right w:val="single" w:sz="4" w:space="0" w:color="auto"/>
            </w:tcBorders>
            <w:noWrap/>
            <w:vAlign w:val="bottom"/>
            <w:hideMark/>
          </w:tcPr>
          <w:p w14:paraId="32CB7C2C" w14:textId="77777777" w:rsidR="00C82BCC" w:rsidRDefault="00C82BCC" w:rsidP="00CB6919">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3,77</w:t>
            </w:r>
          </w:p>
        </w:tc>
      </w:tr>
    </w:tbl>
    <w:p w14:paraId="509077DF" w14:textId="77777777" w:rsidR="00CC712A" w:rsidRDefault="00CC712A" w:rsidP="00C82BCC">
      <w:pPr>
        <w:autoSpaceDE w:val="0"/>
        <w:autoSpaceDN w:val="0"/>
        <w:adjustRightInd w:val="0"/>
        <w:spacing w:after="0" w:line="360" w:lineRule="auto"/>
        <w:rPr>
          <w:rFonts w:cs="Times New Roman"/>
          <w:szCs w:val="24"/>
        </w:rPr>
      </w:pPr>
    </w:p>
    <w:p w14:paraId="709E4400" w14:textId="371F8DD2" w:rsidR="00C82BCC" w:rsidRDefault="00C82BCC" w:rsidP="00C82BCC">
      <w:pPr>
        <w:autoSpaceDE w:val="0"/>
        <w:autoSpaceDN w:val="0"/>
        <w:adjustRightInd w:val="0"/>
        <w:spacing w:after="0" w:line="360" w:lineRule="auto"/>
        <w:rPr>
          <w:rFonts w:cs="Times New Roman"/>
          <w:szCs w:val="24"/>
        </w:rPr>
      </w:pPr>
      <w:r>
        <w:rPr>
          <w:rFonts w:cs="Times New Roman"/>
          <w:szCs w:val="24"/>
        </w:rPr>
        <w:t>El promedio de la prueba sin adición de magnesio muestra valores promedios superiores a las pruebas con dosis de 10, 15 y 20 medidas.</w:t>
      </w:r>
    </w:p>
    <w:p w14:paraId="5A0925E2" w14:textId="10C227A4" w:rsidR="00C82BCC" w:rsidRDefault="00C82BCC" w:rsidP="00C82BCC">
      <w:pPr>
        <w:autoSpaceDE w:val="0"/>
        <w:autoSpaceDN w:val="0"/>
        <w:adjustRightInd w:val="0"/>
        <w:spacing w:after="0" w:line="360" w:lineRule="auto"/>
        <w:rPr>
          <w:rFonts w:cs="Times New Roman"/>
          <w:bCs/>
          <w:szCs w:val="24"/>
        </w:rPr>
      </w:pPr>
      <w:r>
        <w:rPr>
          <w:rFonts w:cs="Times New Roman"/>
          <w:szCs w:val="24"/>
        </w:rPr>
        <w:lastRenderedPageBreak/>
        <w:t xml:space="preserve"> </w:t>
      </w:r>
      <w:r>
        <w:rPr>
          <w:rFonts w:cs="Times New Roman"/>
          <w:bCs/>
          <w:szCs w:val="24"/>
        </w:rPr>
        <w:t xml:space="preserve">El efecto de los nutrientes que fueron significativos </w:t>
      </w:r>
      <w:r w:rsidR="005E2D30">
        <w:rPr>
          <w:rFonts w:cs="Times New Roman"/>
          <w:bCs/>
          <w:szCs w:val="24"/>
        </w:rPr>
        <w:t xml:space="preserve">(p&lt;0,001) </w:t>
      </w:r>
      <w:r>
        <w:rPr>
          <w:rFonts w:cs="Times New Roman"/>
          <w:bCs/>
          <w:szCs w:val="24"/>
        </w:rPr>
        <w:t>sobre la a</w:t>
      </w:r>
      <w:r w:rsidR="005E2D30">
        <w:rPr>
          <w:rFonts w:cs="Times New Roman"/>
          <w:bCs/>
          <w:szCs w:val="24"/>
        </w:rPr>
        <w:t>b</w:t>
      </w:r>
      <w:r>
        <w:rPr>
          <w:rFonts w:cs="Times New Roman"/>
          <w:bCs/>
          <w:szCs w:val="24"/>
        </w:rPr>
        <w:t xml:space="preserve">sorción de fósforo en las provincias de Bolívar, Chimborazo y de Imbabura se observa en </w:t>
      </w:r>
      <w:r w:rsidR="006E5162">
        <w:rPr>
          <w:rFonts w:cs="Times New Roman"/>
          <w:bCs/>
          <w:szCs w:val="24"/>
        </w:rPr>
        <w:t xml:space="preserve">la </w:t>
      </w:r>
      <w:r>
        <w:rPr>
          <w:rFonts w:cs="Times New Roman"/>
          <w:bCs/>
          <w:szCs w:val="24"/>
        </w:rPr>
        <w:t xml:space="preserve">siguiente </w:t>
      </w:r>
      <w:r w:rsidR="00D44F3A">
        <w:rPr>
          <w:rFonts w:cs="Times New Roman"/>
          <w:bCs/>
          <w:szCs w:val="24"/>
        </w:rPr>
        <w:t>figura</w:t>
      </w:r>
      <w:r w:rsidR="006E0BEC">
        <w:rPr>
          <w:rFonts w:cs="Times New Roman"/>
          <w:bCs/>
          <w:szCs w:val="24"/>
        </w:rPr>
        <w:t>:</w:t>
      </w:r>
    </w:p>
    <w:p w14:paraId="31231B0E" w14:textId="3C558860" w:rsidR="001F47F7" w:rsidRPr="001F47F7" w:rsidRDefault="001F47F7" w:rsidP="00CB6919">
      <w:pPr>
        <w:pStyle w:val="Ttulo1"/>
        <w:numPr>
          <w:ilvl w:val="0"/>
          <w:numId w:val="33"/>
        </w:numPr>
        <w:spacing w:before="360" w:after="360"/>
        <w:ind w:left="1077" w:hanging="357"/>
        <w:rPr>
          <w:b w:val="0"/>
          <w:bCs w:val="0"/>
        </w:rPr>
      </w:pPr>
      <w:bookmarkStart w:id="2112" w:name="_Toc72706423"/>
      <w:bookmarkStart w:id="2113" w:name="_Toc72741373"/>
      <w:bookmarkStart w:id="2114" w:name="_Toc72742969"/>
      <w:bookmarkStart w:id="2115" w:name="_Toc72881321"/>
      <w:bookmarkStart w:id="2116" w:name="_Toc72881692"/>
      <w:bookmarkStart w:id="2117" w:name="_Toc75606560"/>
      <w:bookmarkStart w:id="2118" w:name="_Toc75612039"/>
      <w:bookmarkStart w:id="2119" w:name="_Toc75612885"/>
      <w:bookmarkStart w:id="2120" w:name="_Toc75680041"/>
      <w:bookmarkStart w:id="2121" w:name="_Toc75702649"/>
      <w:bookmarkStart w:id="2122" w:name="_Toc79313252"/>
      <w:bookmarkStart w:id="2123" w:name="_Toc80008470"/>
      <w:bookmarkStart w:id="2124" w:name="_Toc80312363"/>
      <w:r>
        <w:rPr>
          <w:b w:val="0"/>
          <w:bCs w:val="0"/>
        </w:rPr>
        <w:t>Potasio</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37C7D761" w14:textId="2B931967" w:rsidR="00C82BCC" w:rsidRDefault="00C82BCC" w:rsidP="00C82BCC">
      <w:pPr>
        <w:spacing w:line="360" w:lineRule="auto"/>
        <w:jc w:val="center"/>
        <w:rPr>
          <w:rFonts w:cs="Times New Roman"/>
          <w:noProof/>
          <w:szCs w:val="24"/>
          <w:lang w:val="en-US"/>
        </w:rPr>
      </w:pPr>
      <w:r>
        <w:rPr>
          <w:rFonts w:cs="Times New Roman"/>
          <w:noProof/>
          <w:szCs w:val="24"/>
          <w:lang w:eastAsia="es-EC"/>
        </w:rPr>
        <w:drawing>
          <wp:inline distT="0" distB="0" distL="0" distR="0" wp14:anchorId="7794B180" wp14:editId="2447C0DB">
            <wp:extent cx="3810000" cy="2352675"/>
            <wp:effectExtent l="0" t="0" r="0" b="9525"/>
            <wp:docPr id="103" name="Gráfico 103">
              <a:extLst xmlns:a="http://schemas.openxmlformats.org/drawingml/2006/main">
                <a:ext uri="{FF2B5EF4-FFF2-40B4-BE49-F238E27FC236}">
                  <a16:creationId xmlns:a16="http://schemas.microsoft.com/office/drawing/2014/main" id="{CF1B1D52-8F71-4885-9280-EED83A157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538BB4E" w14:textId="5FEC9C9A" w:rsidR="001F47F7" w:rsidRDefault="001F47F7" w:rsidP="00CB6919">
      <w:pPr>
        <w:pStyle w:val="Ttulo1"/>
        <w:numPr>
          <w:ilvl w:val="0"/>
          <w:numId w:val="33"/>
        </w:numPr>
        <w:spacing w:before="360" w:after="360"/>
        <w:ind w:left="1077" w:hanging="357"/>
        <w:rPr>
          <w:b w:val="0"/>
          <w:bCs w:val="0"/>
        </w:rPr>
      </w:pPr>
      <w:bookmarkStart w:id="2125" w:name="_Toc72706424"/>
      <w:bookmarkStart w:id="2126" w:name="_Toc72741374"/>
      <w:bookmarkStart w:id="2127" w:name="_Toc72742970"/>
      <w:bookmarkStart w:id="2128" w:name="_Toc72881322"/>
      <w:bookmarkStart w:id="2129" w:name="_Toc72881693"/>
      <w:bookmarkStart w:id="2130" w:name="_Toc75606561"/>
      <w:bookmarkStart w:id="2131" w:name="_Toc75612040"/>
      <w:bookmarkStart w:id="2132" w:name="_Toc75612886"/>
      <w:bookmarkStart w:id="2133" w:name="_Toc75680042"/>
      <w:bookmarkStart w:id="2134" w:name="_Toc75702650"/>
      <w:bookmarkStart w:id="2135" w:name="_Toc79313253"/>
      <w:bookmarkStart w:id="2136" w:name="_Toc80008471"/>
      <w:bookmarkStart w:id="2137" w:name="_Toc80312364"/>
      <w:r>
        <w:rPr>
          <w:b w:val="0"/>
          <w:bCs w:val="0"/>
        </w:rPr>
        <w:t>Azufre</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14:paraId="089E87F9" w14:textId="0553633C" w:rsidR="00C82BCC" w:rsidRDefault="00C82BCC" w:rsidP="004C7521">
      <w:pPr>
        <w:jc w:val="center"/>
        <w:rPr>
          <w:b/>
          <w:bCs/>
        </w:rPr>
      </w:pPr>
      <w:r>
        <w:rPr>
          <w:noProof/>
          <w:lang w:eastAsia="es-EC"/>
        </w:rPr>
        <w:drawing>
          <wp:inline distT="0" distB="0" distL="0" distR="0" wp14:anchorId="1E6A806D" wp14:editId="5765D130">
            <wp:extent cx="4076700" cy="2219325"/>
            <wp:effectExtent l="0" t="0" r="0" b="9525"/>
            <wp:docPr id="104" name="Gráfico 104">
              <a:extLst xmlns:a="http://schemas.openxmlformats.org/drawingml/2006/main">
                <a:ext uri="{FF2B5EF4-FFF2-40B4-BE49-F238E27FC236}">
                  <a16:creationId xmlns:a16="http://schemas.microsoft.com/office/drawing/2014/main" id="{F92837F1-E65B-4A1C-90A5-235846401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D305DE" w14:textId="78711961" w:rsidR="00C82BCC" w:rsidRDefault="006B5CA5" w:rsidP="00C82BCC">
      <w:pPr>
        <w:spacing w:line="360" w:lineRule="auto"/>
        <w:rPr>
          <w:rFonts w:cs="Times New Roman"/>
          <w:szCs w:val="24"/>
        </w:rPr>
      </w:pPr>
      <w:r>
        <w:rPr>
          <w:rFonts w:cs="Times New Roman"/>
          <w:szCs w:val="24"/>
        </w:rPr>
        <w:t xml:space="preserve">Efecto de los macronutrientes a) potasio, b) azufre </w:t>
      </w:r>
      <w:r w:rsidR="00C82BCC">
        <w:rPr>
          <w:rFonts w:cs="Times New Roman"/>
          <w:szCs w:val="24"/>
        </w:rPr>
        <w:t>a</w:t>
      </w:r>
      <w:r w:rsidR="001B6327">
        <w:rPr>
          <w:rFonts w:cs="Times New Roman"/>
          <w:szCs w:val="24"/>
        </w:rPr>
        <w:t>b</w:t>
      </w:r>
      <w:r w:rsidR="00C82BCC">
        <w:rPr>
          <w:rFonts w:cs="Times New Roman"/>
          <w:szCs w:val="24"/>
        </w:rPr>
        <w:t>sorción de fósforo en maíz suave en las provincias Bolívar, Chimborazo de Imbabura (2006-2015).</w:t>
      </w:r>
    </w:p>
    <w:p w14:paraId="75BB44E8" w14:textId="77777777" w:rsidR="005F083E" w:rsidRDefault="005F083E" w:rsidP="00CB6919">
      <w:pPr>
        <w:spacing w:before="360" w:after="360" w:line="360" w:lineRule="auto"/>
        <w:rPr>
          <w:rFonts w:cs="Times New Roman"/>
          <w:b/>
          <w:bCs/>
          <w:szCs w:val="24"/>
        </w:rPr>
      </w:pPr>
      <w:r>
        <w:rPr>
          <w:rFonts w:cs="Times New Roman"/>
          <w:b/>
          <w:bCs/>
          <w:szCs w:val="24"/>
        </w:rPr>
        <w:br w:type="page"/>
      </w:r>
    </w:p>
    <w:p w14:paraId="6E94E824" w14:textId="6EC1B605" w:rsidR="00C82BCC" w:rsidRDefault="00C82BCC" w:rsidP="00276893">
      <w:pPr>
        <w:pStyle w:val="Ttulo3"/>
        <w:spacing w:after="360"/>
        <w:rPr>
          <w:rFonts w:eastAsia="Times New Roman"/>
          <w:color w:val="000000"/>
          <w:lang w:eastAsia="es-EC"/>
        </w:rPr>
      </w:pPr>
      <w:bookmarkStart w:id="2138" w:name="_Toc80312365"/>
      <w:r>
        <w:lastRenderedPageBreak/>
        <w:t>A</w:t>
      </w:r>
      <w:r w:rsidR="001B6327">
        <w:t>b</w:t>
      </w:r>
      <w:r>
        <w:t xml:space="preserve">sorción de potasio </w:t>
      </w:r>
      <w:r>
        <w:rPr>
          <w:rFonts w:eastAsia="Times New Roman"/>
          <w:color w:val="000000"/>
          <w:lang w:eastAsia="es-EC"/>
        </w:rPr>
        <w:t>(kg/ha</w:t>
      </w:r>
      <w:r>
        <w:rPr>
          <w:rFonts w:eastAsia="Times New Roman"/>
          <w:color w:val="000000"/>
          <w:vertAlign w:val="superscript"/>
          <w:lang w:eastAsia="es-EC"/>
        </w:rPr>
        <w:t>-1</w:t>
      </w:r>
      <w:r>
        <w:rPr>
          <w:rFonts w:eastAsia="Times New Roman"/>
          <w:color w:val="000000"/>
          <w:lang w:eastAsia="es-EC"/>
        </w:rPr>
        <w:t>)</w:t>
      </w:r>
      <w:bookmarkEnd w:id="2138"/>
    </w:p>
    <w:p w14:paraId="382A7AC4" w14:textId="77777777" w:rsidR="00276893" w:rsidRDefault="00C82BCC" w:rsidP="00276893">
      <w:pPr>
        <w:autoSpaceDE w:val="0"/>
        <w:autoSpaceDN w:val="0"/>
        <w:adjustRightInd w:val="0"/>
        <w:spacing w:before="360" w:after="360" w:line="360" w:lineRule="auto"/>
        <w:rPr>
          <w:rFonts w:cs="Times New Roman"/>
          <w:b/>
          <w:bCs/>
          <w:color w:val="0000FF"/>
        </w:rPr>
      </w:pPr>
      <w:r>
        <w:rPr>
          <w:rFonts w:cs="Times New Roman"/>
          <w:szCs w:val="24"/>
        </w:rPr>
        <w:t>Al utilizar el modelo estadístico para la absorción total de potasio, se detectaron diferencias estadísticas significativas (p &lt;0,05) para las fuentes de variación de provincia, nitrógeno, potasio y azufre; mientras que no fueron significativos para dosis de, fósforo, magnesio (</w:t>
      </w:r>
      <w:r w:rsidR="00D44F3A">
        <w:rPr>
          <w:rFonts w:cs="Times New Roman"/>
          <w:szCs w:val="24"/>
        </w:rPr>
        <w:t>Cuad</w:t>
      </w:r>
      <w:r w:rsidR="005367D2">
        <w:rPr>
          <w:rFonts w:cs="Times New Roman"/>
          <w:szCs w:val="24"/>
        </w:rPr>
        <w:t>r</w:t>
      </w:r>
      <w:r w:rsidR="00D44F3A">
        <w:rPr>
          <w:rFonts w:cs="Times New Roman"/>
          <w:szCs w:val="24"/>
        </w:rPr>
        <w:t>o</w:t>
      </w:r>
      <w:r>
        <w:rPr>
          <w:rFonts w:cs="Times New Roman"/>
          <w:szCs w:val="24"/>
        </w:rPr>
        <w:t xml:space="preserve"> </w:t>
      </w:r>
      <w:r w:rsidR="0039325D">
        <w:rPr>
          <w:rFonts w:cs="Times New Roman"/>
          <w:szCs w:val="24"/>
        </w:rPr>
        <w:t>162</w:t>
      </w:r>
      <w:r>
        <w:rPr>
          <w:rFonts w:cs="Times New Roman"/>
          <w:szCs w:val="24"/>
        </w:rPr>
        <w:t xml:space="preserve">). Por lo tanto, las dosis de los fertilizantes </w:t>
      </w:r>
      <w:r w:rsidR="005E2D30">
        <w:rPr>
          <w:rFonts w:cs="Times New Roman"/>
          <w:szCs w:val="24"/>
        </w:rPr>
        <w:t xml:space="preserve">nitrógeno, potasio y azufre </w:t>
      </w:r>
      <w:r>
        <w:rPr>
          <w:rFonts w:cs="Times New Roman"/>
          <w:szCs w:val="24"/>
        </w:rPr>
        <w:t xml:space="preserve">afectaron a esta variable. El promedio general de la absorción total de </w:t>
      </w:r>
      <w:r w:rsidR="00D565A7">
        <w:rPr>
          <w:rFonts w:cs="Times New Roman"/>
          <w:szCs w:val="24"/>
        </w:rPr>
        <w:t xml:space="preserve">potasio </w:t>
      </w:r>
      <w:r>
        <w:rPr>
          <w:rFonts w:cs="Times New Roman"/>
          <w:szCs w:val="24"/>
        </w:rPr>
        <w:t>fue 115,31 Kg ha</w:t>
      </w:r>
      <w:r>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0,39 y un coeficiente de variación fue de 41,6 %</w:t>
      </w:r>
      <w:r>
        <w:rPr>
          <w:rFonts w:cs="Times New Roman"/>
          <w:b/>
          <w:bCs/>
          <w:color w:val="0000FF"/>
        </w:rPr>
        <w:t>.</w:t>
      </w:r>
      <w:bookmarkStart w:id="2139" w:name="_Toc79314154"/>
    </w:p>
    <w:p w14:paraId="31BA7CFE" w14:textId="434180A6" w:rsidR="008A6AF7" w:rsidRPr="00276893" w:rsidRDefault="008A6AF7" w:rsidP="00276893">
      <w:pPr>
        <w:autoSpaceDE w:val="0"/>
        <w:autoSpaceDN w:val="0"/>
        <w:adjustRightInd w:val="0"/>
        <w:spacing w:before="360" w:after="0" w:line="360" w:lineRule="auto"/>
        <w:rPr>
          <w:rFonts w:cs="Times New Roman"/>
          <w:b/>
          <w:bCs/>
          <w:color w:val="0000FF"/>
        </w:rPr>
      </w:pPr>
      <w:r w:rsidRPr="008A6AF7">
        <w:rPr>
          <w:rFonts w:cs="Times New Roman"/>
          <w:b/>
          <w:szCs w:val="24"/>
        </w:rPr>
        <w:t xml:space="preserve">Cuadro </w:t>
      </w:r>
      <w:r w:rsidRPr="008A6AF7">
        <w:rPr>
          <w:rFonts w:cs="Times New Roman"/>
          <w:b/>
          <w:i/>
          <w:iCs/>
          <w:szCs w:val="24"/>
        </w:rPr>
        <w:fldChar w:fldCharType="begin"/>
      </w:r>
      <w:r w:rsidRPr="008A6AF7">
        <w:rPr>
          <w:rFonts w:cs="Times New Roman"/>
          <w:b/>
          <w:szCs w:val="24"/>
        </w:rPr>
        <w:instrText xml:space="preserve"> SEQ Cuadro \* ARABIC </w:instrText>
      </w:r>
      <w:r w:rsidRPr="008A6AF7">
        <w:rPr>
          <w:rFonts w:cs="Times New Roman"/>
          <w:b/>
          <w:i/>
          <w:iCs/>
          <w:szCs w:val="24"/>
        </w:rPr>
        <w:fldChar w:fldCharType="separate"/>
      </w:r>
      <w:r w:rsidR="000D1F55">
        <w:rPr>
          <w:rFonts w:cs="Times New Roman"/>
          <w:b/>
          <w:noProof/>
          <w:szCs w:val="24"/>
        </w:rPr>
        <w:t>162</w:t>
      </w:r>
      <w:r w:rsidRPr="008A6AF7">
        <w:rPr>
          <w:rFonts w:cs="Times New Roman"/>
          <w:b/>
          <w:i/>
          <w:iCs/>
          <w:szCs w:val="24"/>
        </w:rPr>
        <w:fldChar w:fldCharType="end"/>
      </w:r>
      <w:r w:rsidRPr="008A6AF7">
        <w:rPr>
          <w:rFonts w:cs="Times New Roman"/>
          <w:b/>
          <w:szCs w:val="24"/>
        </w:rPr>
        <w:t>.</w:t>
      </w:r>
      <w:r w:rsidRPr="008A6AF7">
        <w:rPr>
          <w:rFonts w:cs="Times New Roman"/>
          <w:szCs w:val="24"/>
        </w:rPr>
        <w:t xml:space="preserve"> Análisis de la Varianza (SC tipo I) y porcentaje de varianza para absorción de potasio de maíz suave, evaluado en las provincias de Bolívar, Chimborazo, Imbabura 2006-2015.</w:t>
      </w:r>
      <w:bookmarkEnd w:id="2139"/>
    </w:p>
    <w:tbl>
      <w:tblPr>
        <w:tblW w:w="5000" w:type="pct"/>
        <w:tblCellMar>
          <w:left w:w="70" w:type="dxa"/>
          <w:right w:w="70" w:type="dxa"/>
        </w:tblCellMar>
        <w:tblLook w:val="04A0" w:firstRow="1" w:lastRow="0" w:firstColumn="1" w:lastColumn="0" w:noHBand="0" w:noVBand="1"/>
      </w:tblPr>
      <w:tblGrid>
        <w:gridCol w:w="1329"/>
        <w:gridCol w:w="1160"/>
        <w:gridCol w:w="990"/>
        <w:gridCol w:w="1040"/>
        <w:gridCol w:w="1000"/>
        <w:gridCol w:w="1021"/>
        <w:gridCol w:w="1387"/>
      </w:tblGrid>
      <w:tr w:rsidR="00C82BCC" w14:paraId="581A1373" w14:textId="77777777" w:rsidTr="008A6AF7">
        <w:trPr>
          <w:trHeight w:val="300"/>
        </w:trPr>
        <w:tc>
          <w:tcPr>
            <w:tcW w:w="860" w:type="pct"/>
            <w:tcBorders>
              <w:top w:val="single" w:sz="4" w:space="0" w:color="auto"/>
              <w:left w:val="single" w:sz="4" w:space="0" w:color="auto"/>
              <w:bottom w:val="single" w:sz="4" w:space="0" w:color="auto"/>
              <w:right w:val="single" w:sz="4" w:space="0" w:color="auto"/>
            </w:tcBorders>
            <w:noWrap/>
            <w:vAlign w:val="bottom"/>
            <w:hideMark/>
          </w:tcPr>
          <w:p w14:paraId="64F36C50"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683" w:type="pct"/>
            <w:tcBorders>
              <w:top w:val="single" w:sz="4" w:space="0" w:color="auto"/>
              <w:left w:val="nil"/>
              <w:bottom w:val="single" w:sz="4" w:space="0" w:color="auto"/>
              <w:right w:val="single" w:sz="4" w:space="0" w:color="auto"/>
            </w:tcBorders>
            <w:noWrap/>
            <w:vAlign w:val="bottom"/>
            <w:hideMark/>
          </w:tcPr>
          <w:p w14:paraId="698F3332"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646" w:type="pct"/>
            <w:tcBorders>
              <w:top w:val="single" w:sz="4" w:space="0" w:color="auto"/>
              <w:left w:val="nil"/>
              <w:bottom w:val="single" w:sz="4" w:space="0" w:color="auto"/>
              <w:right w:val="single" w:sz="4" w:space="0" w:color="auto"/>
            </w:tcBorders>
            <w:noWrap/>
            <w:vAlign w:val="bottom"/>
            <w:hideMark/>
          </w:tcPr>
          <w:p w14:paraId="35ABE1DA"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gl </w:t>
            </w:r>
          </w:p>
        </w:tc>
        <w:tc>
          <w:tcPr>
            <w:tcW w:w="665" w:type="pct"/>
            <w:tcBorders>
              <w:top w:val="single" w:sz="4" w:space="0" w:color="auto"/>
              <w:left w:val="nil"/>
              <w:bottom w:val="single" w:sz="4" w:space="0" w:color="auto"/>
              <w:right w:val="single" w:sz="4" w:space="0" w:color="auto"/>
            </w:tcBorders>
            <w:noWrap/>
            <w:vAlign w:val="bottom"/>
            <w:hideMark/>
          </w:tcPr>
          <w:p w14:paraId="1E043620"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665" w:type="pct"/>
            <w:tcBorders>
              <w:top w:val="single" w:sz="4" w:space="0" w:color="auto"/>
              <w:left w:val="nil"/>
              <w:bottom w:val="single" w:sz="4" w:space="0" w:color="auto"/>
              <w:right w:val="single" w:sz="4" w:space="0" w:color="auto"/>
            </w:tcBorders>
            <w:noWrap/>
            <w:vAlign w:val="bottom"/>
            <w:hideMark/>
          </w:tcPr>
          <w:p w14:paraId="229D1982"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665" w:type="pct"/>
            <w:tcBorders>
              <w:top w:val="single" w:sz="4" w:space="0" w:color="auto"/>
              <w:left w:val="nil"/>
              <w:bottom w:val="single" w:sz="4" w:space="0" w:color="auto"/>
              <w:right w:val="single" w:sz="4" w:space="0" w:color="auto"/>
            </w:tcBorders>
            <w:noWrap/>
            <w:vAlign w:val="bottom"/>
            <w:hideMark/>
          </w:tcPr>
          <w:p w14:paraId="7FE84652"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817" w:type="pct"/>
            <w:tcBorders>
              <w:top w:val="single" w:sz="4" w:space="0" w:color="auto"/>
              <w:left w:val="nil"/>
              <w:bottom w:val="single" w:sz="4" w:space="0" w:color="auto"/>
              <w:right w:val="single" w:sz="4" w:space="0" w:color="auto"/>
            </w:tcBorders>
            <w:noWrap/>
            <w:vAlign w:val="bottom"/>
            <w:hideMark/>
          </w:tcPr>
          <w:p w14:paraId="0CDEBD8A"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6D6BDFFD"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7B69051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83" w:type="pct"/>
            <w:tcBorders>
              <w:top w:val="nil"/>
              <w:left w:val="nil"/>
              <w:bottom w:val="single" w:sz="4" w:space="0" w:color="auto"/>
              <w:right w:val="single" w:sz="4" w:space="0" w:color="auto"/>
            </w:tcBorders>
            <w:noWrap/>
            <w:vAlign w:val="bottom"/>
            <w:hideMark/>
          </w:tcPr>
          <w:p w14:paraId="06F4DC7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312055,71</w:t>
            </w:r>
          </w:p>
        </w:tc>
        <w:tc>
          <w:tcPr>
            <w:tcW w:w="646" w:type="pct"/>
            <w:tcBorders>
              <w:top w:val="nil"/>
              <w:left w:val="nil"/>
              <w:bottom w:val="single" w:sz="4" w:space="0" w:color="auto"/>
              <w:right w:val="single" w:sz="4" w:space="0" w:color="auto"/>
            </w:tcBorders>
            <w:noWrap/>
            <w:vAlign w:val="bottom"/>
            <w:hideMark/>
          </w:tcPr>
          <w:p w14:paraId="7ABA48A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665" w:type="pct"/>
            <w:tcBorders>
              <w:top w:val="nil"/>
              <w:left w:val="nil"/>
              <w:bottom w:val="single" w:sz="4" w:space="0" w:color="auto"/>
              <w:right w:val="single" w:sz="4" w:space="0" w:color="auto"/>
            </w:tcBorders>
            <w:noWrap/>
            <w:vAlign w:val="bottom"/>
            <w:hideMark/>
          </w:tcPr>
          <w:p w14:paraId="5781E17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10066,31</w:t>
            </w:r>
          </w:p>
        </w:tc>
        <w:tc>
          <w:tcPr>
            <w:tcW w:w="665" w:type="pct"/>
            <w:tcBorders>
              <w:top w:val="nil"/>
              <w:left w:val="nil"/>
              <w:bottom w:val="single" w:sz="4" w:space="0" w:color="auto"/>
              <w:right w:val="single" w:sz="4" w:space="0" w:color="auto"/>
            </w:tcBorders>
            <w:noWrap/>
            <w:vAlign w:val="bottom"/>
            <w:hideMark/>
          </w:tcPr>
          <w:p w14:paraId="2CB3986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4,38</w:t>
            </w:r>
          </w:p>
        </w:tc>
        <w:tc>
          <w:tcPr>
            <w:tcW w:w="665" w:type="pct"/>
            <w:tcBorders>
              <w:top w:val="nil"/>
              <w:left w:val="nil"/>
              <w:bottom w:val="single" w:sz="4" w:space="0" w:color="auto"/>
              <w:right w:val="single" w:sz="4" w:space="0" w:color="auto"/>
            </w:tcBorders>
            <w:noWrap/>
            <w:vAlign w:val="bottom"/>
            <w:hideMark/>
          </w:tcPr>
          <w:p w14:paraId="00EB73A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63C0904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39,36</w:t>
            </w:r>
          </w:p>
        </w:tc>
      </w:tr>
      <w:tr w:rsidR="00C82BCC" w14:paraId="0A349B9F"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5E7CDD4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Provincia</w:t>
            </w:r>
          </w:p>
        </w:tc>
        <w:tc>
          <w:tcPr>
            <w:tcW w:w="683" w:type="pct"/>
            <w:tcBorders>
              <w:top w:val="nil"/>
              <w:left w:val="nil"/>
              <w:bottom w:val="single" w:sz="4" w:space="0" w:color="auto"/>
              <w:right w:val="single" w:sz="4" w:space="0" w:color="auto"/>
            </w:tcBorders>
            <w:noWrap/>
            <w:vAlign w:val="bottom"/>
            <w:hideMark/>
          </w:tcPr>
          <w:p w14:paraId="7742BE7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89876,34</w:t>
            </w:r>
          </w:p>
        </w:tc>
        <w:tc>
          <w:tcPr>
            <w:tcW w:w="646" w:type="pct"/>
            <w:tcBorders>
              <w:top w:val="nil"/>
              <w:left w:val="nil"/>
              <w:bottom w:val="single" w:sz="4" w:space="0" w:color="auto"/>
              <w:right w:val="single" w:sz="4" w:space="0" w:color="auto"/>
            </w:tcBorders>
            <w:noWrap/>
            <w:vAlign w:val="bottom"/>
            <w:hideMark/>
          </w:tcPr>
          <w:p w14:paraId="5692DAB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65" w:type="pct"/>
            <w:tcBorders>
              <w:top w:val="nil"/>
              <w:left w:val="nil"/>
              <w:bottom w:val="single" w:sz="4" w:space="0" w:color="auto"/>
              <w:right w:val="single" w:sz="4" w:space="0" w:color="auto"/>
            </w:tcBorders>
            <w:noWrap/>
            <w:vAlign w:val="bottom"/>
            <w:hideMark/>
          </w:tcPr>
          <w:p w14:paraId="5ADD6A8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44938,17</w:t>
            </w:r>
          </w:p>
        </w:tc>
        <w:tc>
          <w:tcPr>
            <w:tcW w:w="665" w:type="pct"/>
            <w:tcBorders>
              <w:top w:val="nil"/>
              <w:left w:val="nil"/>
              <w:bottom w:val="single" w:sz="4" w:space="0" w:color="auto"/>
              <w:right w:val="single" w:sz="4" w:space="0" w:color="auto"/>
            </w:tcBorders>
            <w:noWrap/>
            <w:vAlign w:val="bottom"/>
            <w:hideMark/>
          </w:tcPr>
          <w:p w14:paraId="7B4CCB4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19,53</w:t>
            </w:r>
          </w:p>
        </w:tc>
        <w:tc>
          <w:tcPr>
            <w:tcW w:w="665" w:type="pct"/>
            <w:tcBorders>
              <w:top w:val="nil"/>
              <w:left w:val="nil"/>
              <w:bottom w:val="single" w:sz="4" w:space="0" w:color="auto"/>
              <w:right w:val="single" w:sz="4" w:space="0" w:color="auto"/>
            </w:tcBorders>
            <w:noWrap/>
            <w:vAlign w:val="bottom"/>
            <w:hideMark/>
          </w:tcPr>
          <w:p w14:paraId="4C1E736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473CFFF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11,34</w:t>
            </w:r>
          </w:p>
        </w:tc>
      </w:tr>
      <w:tr w:rsidR="00C82BCC" w14:paraId="4F962705"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1F42E40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83" w:type="pct"/>
            <w:tcBorders>
              <w:top w:val="nil"/>
              <w:left w:val="nil"/>
              <w:bottom w:val="single" w:sz="4" w:space="0" w:color="auto"/>
              <w:right w:val="single" w:sz="4" w:space="0" w:color="auto"/>
            </w:tcBorders>
            <w:noWrap/>
            <w:vAlign w:val="bottom"/>
            <w:hideMark/>
          </w:tcPr>
          <w:p w14:paraId="64329C0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104077,71</w:t>
            </w:r>
          </w:p>
        </w:tc>
        <w:tc>
          <w:tcPr>
            <w:tcW w:w="646" w:type="pct"/>
            <w:tcBorders>
              <w:top w:val="nil"/>
              <w:left w:val="nil"/>
              <w:bottom w:val="single" w:sz="4" w:space="0" w:color="auto"/>
              <w:right w:val="single" w:sz="4" w:space="0" w:color="auto"/>
            </w:tcBorders>
            <w:noWrap/>
            <w:vAlign w:val="bottom"/>
            <w:hideMark/>
          </w:tcPr>
          <w:p w14:paraId="0498E7A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w:t>
            </w:r>
          </w:p>
        </w:tc>
        <w:tc>
          <w:tcPr>
            <w:tcW w:w="665" w:type="pct"/>
            <w:tcBorders>
              <w:top w:val="nil"/>
              <w:left w:val="nil"/>
              <w:bottom w:val="single" w:sz="4" w:space="0" w:color="auto"/>
              <w:right w:val="single" w:sz="4" w:space="0" w:color="auto"/>
            </w:tcBorders>
            <w:noWrap/>
            <w:vAlign w:val="bottom"/>
            <w:hideMark/>
          </w:tcPr>
          <w:p w14:paraId="78FBB81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11564,19</w:t>
            </w:r>
          </w:p>
        </w:tc>
        <w:tc>
          <w:tcPr>
            <w:tcW w:w="665" w:type="pct"/>
            <w:tcBorders>
              <w:top w:val="nil"/>
              <w:left w:val="nil"/>
              <w:bottom w:val="single" w:sz="4" w:space="0" w:color="auto"/>
              <w:right w:val="single" w:sz="4" w:space="0" w:color="auto"/>
            </w:tcBorders>
            <w:noWrap/>
            <w:vAlign w:val="bottom"/>
            <w:hideMark/>
          </w:tcPr>
          <w:p w14:paraId="6BD28D6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5,03</w:t>
            </w:r>
          </w:p>
        </w:tc>
        <w:tc>
          <w:tcPr>
            <w:tcW w:w="665" w:type="pct"/>
            <w:tcBorders>
              <w:top w:val="nil"/>
              <w:left w:val="nil"/>
              <w:bottom w:val="single" w:sz="4" w:space="0" w:color="auto"/>
              <w:right w:val="single" w:sz="4" w:space="0" w:color="auto"/>
            </w:tcBorders>
            <w:noWrap/>
            <w:vAlign w:val="bottom"/>
            <w:hideMark/>
          </w:tcPr>
          <w:p w14:paraId="07872E5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17" w:type="pct"/>
            <w:tcBorders>
              <w:top w:val="nil"/>
              <w:left w:val="nil"/>
              <w:bottom w:val="single" w:sz="4" w:space="0" w:color="auto"/>
              <w:right w:val="single" w:sz="4" w:space="0" w:color="auto"/>
            </w:tcBorders>
            <w:noWrap/>
            <w:vAlign w:val="bottom"/>
            <w:hideMark/>
          </w:tcPr>
          <w:p w14:paraId="6809809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13,13</w:t>
            </w:r>
          </w:p>
        </w:tc>
      </w:tr>
      <w:tr w:rsidR="00C82BCC" w14:paraId="42DB63FC"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4E63DDA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83" w:type="pct"/>
            <w:tcBorders>
              <w:top w:val="nil"/>
              <w:left w:val="nil"/>
              <w:bottom w:val="single" w:sz="4" w:space="0" w:color="auto"/>
              <w:right w:val="single" w:sz="4" w:space="0" w:color="auto"/>
            </w:tcBorders>
            <w:noWrap/>
            <w:vAlign w:val="bottom"/>
            <w:hideMark/>
          </w:tcPr>
          <w:p w14:paraId="683C478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26765,45</w:t>
            </w:r>
          </w:p>
        </w:tc>
        <w:tc>
          <w:tcPr>
            <w:tcW w:w="646" w:type="pct"/>
            <w:tcBorders>
              <w:top w:val="nil"/>
              <w:left w:val="nil"/>
              <w:bottom w:val="single" w:sz="4" w:space="0" w:color="auto"/>
              <w:right w:val="single" w:sz="4" w:space="0" w:color="auto"/>
            </w:tcBorders>
            <w:noWrap/>
            <w:vAlign w:val="bottom"/>
            <w:hideMark/>
          </w:tcPr>
          <w:p w14:paraId="6B90244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65" w:type="pct"/>
            <w:tcBorders>
              <w:top w:val="nil"/>
              <w:left w:val="nil"/>
              <w:bottom w:val="single" w:sz="4" w:space="0" w:color="auto"/>
              <w:right w:val="single" w:sz="4" w:space="0" w:color="auto"/>
            </w:tcBorders>
            <w:noWrap/>
            <w:vAlign w:val="bottom"/>
            <w:hideMark/>
          </w:tcPr>
          <w:p w14:paraId="13CBF69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4460,91</w:t>
            </w:r>
          </w:p>
        </w:tc>
        <w:tc>
          <w:tcPr>
            <w:tcW w:w="665" w:type="pct"/>
            <w:tcBorders>
              <w:top w:val="nil"/>
              <w:left w:val="nil"/>
              <w:bottom w:val="single" w:sz="4" w:space="0" w:color="auto"/>
              <w:right w:val="single" w:sz="4" w:space="0" w:color="auto"/>
            </w:tcBorders>
            <w:noWrap/>
            <w:vAlign w:val="bottom"/>
            <w:hideMark/>
          </w:tcPr>
          <w:p w14:paraId="12C0714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1,94</w:t>
            </w:r>
          </w:p>
        </w:tc>
        <w:tc>
          <w:tcPr>
            <w:tcW w:w="665" w:type="pct"/>
            <w:tcBorders>
              <w:top w:val="nil"/>
              <w:left w:val="nil"/>
              <w:bottom w:val="single" w:sz="4" w:space="0" w:color="auto"/>
              <w:right w:val="single" w:sz="4" w:space="0" w:color="auto"/>
            </w:tcBorders>
            <w:noWrap/>
            <w:vAlign w:val="bottom"/>
            <w:hideMark/>
          </w:tcPr>
          <w:p w14:paraId="7BC56F0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0,076</w:t>
            </w:r>
          </w:p>
        </w:tc>
        <w:tc>
          <w:tcPr>
            <w:tcW w:w="817" w:type="pct"/>
            <w:tcBorders>
              <w:top w:val="nil"/>
              <w:left w:val="nil"/>
              <w:bottom w:val="single" w:sz="4" w:space="0" w:color="auto"/>
              <w:right w:val="single" w:sz="4" w:space="0" w:color="auto"/>
            </w:tcBorders>
            <w:noWrap/>
            <w:vAlign w:val="bottom"/>
            <w:hideMark/>
          </w:tcPr>
          <w:p w14:paraId="6041440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3,38</w:t>
            </w:r>
          </w:p>
        </w:tc>
      </w:tr>
      <w:tr w:rsidR="00C82BCC" w14:paraId="6DB76780"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7597912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83" w:type="pct"/>
            <w:tcBorders>
              <w:top w:val="nil"/>
              <w:left w:val="nil"/>
              <w:bottom w:val="single" w:sz="4" w:space="0" w:color="auto"/>
              <w:right w:val="single" w:sz="4" w:space="0" w:color="auto"/>
            </w:tcBorders>
            <w:noWrap/>
            <w:vAlign w:val="bottom"/>
            <w:hideMark/>
          </w:tcPr>
          <w:p w14:paraId="52A8D13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56215,42</w:t>
            </w:r>
          </w:p>
        </w:tc>
        <w:tc>
          <w:tcPr>
            <w:tcW w:w="646" w:type="pct"/>
            <w:tcBorders>
              <w:top w:val="nil"/>
              <w:left w:val="nil"/>
              <w:bottom w:val="single" w:sz="4" w:space="0" w:color="auto"/>
              <w:right w:val="single" w:sz="4" w:space="0" w:color="auto"/>
            </w:tcBorders>
            <w:noWrap/>
            <w:vAlign w:val="bottom"/>
            <w:hideMark/>
          </w:tcPr>
          <w:p w14:paraId="316E5C6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65" w:type="pct"/>
            <w:tcBorders>
              <w:top w:val="nil"/>
              <w:left w:val="nil"/>
              <w:bottom w:val="single" w:sz="4" w:space="0" w:color="auto"/>
              <w:right w:val="single" w:sz="4" w:space="0" w:color="auto"/>
            </w:tcBorders>
            <w:noWrap/>
            <w:vAlign w:val="bottom"/>
            <w:hideMark/>
          </w:tcPr>
          <w:p w14:paraId="71DAE0A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9369,24</w:t>
            </w:r>
          </w:p>
        </w:tc>
        <w:tc>
          <w:tcPr>
            <w:tcW w:w="665" w:type="pct"/>
            <w:tcBorders>
              <w:top w:val="nil"/>
              <w:left w:val="nil"/>
              <w:bottom w:val="single" w:sz="4" w:space="0" w:color="auto"/>
              <w:right w:val="single" w:sz="4" w:space="0" w:color="auto"/>
            </w:tcBorders>
            <w:noWrap/>
            <w:vAlign w:val="bottom"/>
            <w:hideMark/>
          </w:tcPr>
          <w:p w14:paraId="74EA858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4,07</w:t>
            </w:r>
          </w:p>
        </w:tc>
        <w:tc>
          <w:tcPr>
            <w:tcW w:w="665" w:type="pct"/>
            <w:tcBorders>
              <w:top w:val="nil"/>
              <w:left w:val="nil"/>
              <w:bottom w:val="single" w:sz="4" w:space="0" w:color="auto"/>
              <w:right w:val="single" w:sz="4" w:space="0" w:color="auto"/>
            </w:tcBorders>
            <w:noWrap/>
            <w:vAlign w:val="bottom"/>
            <w:hideMark/>
          </w:tcPr>
          <w:p w14:paraId="64121BF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0,0007</w:t>
            </w:r>
          </w:p>
        </w:tc>
        <w:tc>
          <w:tcPr>
            <w:tcW w:w="817" w:type="pct"/>
            <w:tcBorders>
              <w:top w:val="nil"/>
              <w:left w:val="nil"/>
              <w:bottom w:val="single" w:sz="4" w:space="0" w:color="auto"/>
              <w:right w:val="single" w:sz="4" w:space="0" w:color="auto"/>
            </w:tcBorders>
            <w:noWrap/>
            <w:vAlign w:val="bottom"/>
            <w:hideMark/>
          </w:tcPr>
          <w:p w14:paraId="25C7669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7,09</w:t>
            </w:r>
          </w:p>
        </w:tc>
      </w:tr>
      <w:tr w:rsidR="00C82BCC" w14:paraId="30030416"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300A7FA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83" w:type="pct"/>
            <w:tcBorders>
              <w:top w:val="nil"/>
              <w:left w:val="nil"/>
              <w:bottom w:val="single" w:sz="4" w:space="0" w:color="auto"/>
              <w:right w:val="single" w:sz="4" w:space="0" w:color="auto"/>
            </w:tcBorders>
            <w:noWrap/>
            <w:vAlign w:val="bottom"/>
            <w:hideMark/>
          </w:tcPr>
          <w:p w14:paraId="1DCF0D2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30047,93</w:t>
            </w:r>
          </w:p>
        </w:tc>
        <w:tc>
          <w:tcPr>
            <w:tcW w:w="646" w:type="pct"/>
            <w:tcBorders>
              <w:top w:val="nil"/>
              <w:left w:val="nil"/>
              <w:bottom w:val="single" w:sz="4" w:space="0" w:color="auto"/>
              <w:right w:val="single" w:sz="4" w:space="0" w:color="auto"/>
            </w:tcBorders>
            <w:noWrap/>
            <w:vAlign w:val="bottom"/>
            <w:hideMark/>
          </w:tcPr>
          <w:p w14:paraId="2B380D2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65" w:type="pct"/>
            <w:tcBorders>
              <w:top w:val="nil"/>
              <w:left w:val="nil"/>
              <w:bottom w:val="single" w:sz="4" w:space="0" w:color="auto"/>
              <w:right w:val="single" w:sz="4" w:space="0" w:color="auto"/>
            </w:tcBorders>
            <w:noWrap/>
            <w:vAlign w:val="bottom"/>
            <w:hideMark/>
          </w:tcPr>
          <w:p w14:paraId="205C3F7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7511,98</w:t>
            </w:r>
          </w:p>
        </w:tc>
        <w:tc>
          <w:tcPr>
            <w:tcW w:w="665" w:type="pct"/>
            <w:tcBorders>
              <w:top w:val="nil"/>
              <w:left w:val="nil"/>
              <w:bottom w:val="single" w:sz="4" w:space="0" w:color="auto"/>
              <w:right w:val="single" w:sz="4" w:space="0" w:color="auto"/>
            </w:tcBorders>
            <w:noWrap/>
            <w:vAlign w:val="bottom"/>
            <w:hideMark/>
          </w:tcPr>
          <w:p w14:paraId="0DFAC27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3,27</w:t>
            </w:r>
          </w:p>
        </w:tc>
        <w:tc>
          <w:tcPr>
            <w:tcW w:w="665" w:type="pct"/>
            <w:tcBorders>
              <w:top w:val="nil"/>
              <w:left w:val="nil"/>
              <w:bottom w:val="single" w:sz="4" w:space="0" w:color="auto"/>
              <w:right w:val="single" w:sz="4" w:space="0" w:color="auto"/>
            </w:tcBorders>
            <w:noWrap/>
            <w:vAlign w:val="bottom"/>
            <w:hideMark/>
          </w:tcPr>
          <w:p w14:paraId="6802549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0,0127</w:t>
            </w:r>
          </w:p>
        </w:tc>
        <w:tc>
          <w:tcPr>
            <w:tcW w:w="817" w:type="pct"/>
            <w:tcBorders>
              <w:top w:val="nil"/>
              <w:left w:val="nil"/>
              <w:bottom w:val="single" w:sz="4" w:space="0" w:color="auto"/>
              <w:right w:val="single" w:sz="4" w:space="0" w:color="auto"/>
            </w:tcBorders>
            <w:noWrap/>
            <w:vAlign w:val="bottom"/>
            <w:hideMark/>
          </w:tcPr>
          <w:p w14:paraId="3C7357F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3,79</w:t>
            </w:r>
          </w:p>
        </w:tc>
      </w:tr>
      <w:tr w:rsidR="00C82BCC" w14:paraId="4A2B76B5"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7EC099E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683" w:type="pct"/>
            <w:tcBorders>
              <w:top w:val="nil"/>
              <w:left w:val="nil"/>
              <w:bottom w:val="single" w:sz="4" w:space="0" w:color="auto"/>
              <w:right w:val="single" w:sz="4" w:space="0" w:color="auto"/>
            </w:tcBorders>
            <w:noWrap/>
            <w:vAlign w:val="bottom"/>
            <w:hideMark/>
          </w:tcPr>
          <w:p w14:paraId="3DDD31E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5072,85</w:t>
            </w:r>
          </w:p>
        </w:tc>
        <w:tc>
          <w:tcPr>
            <w:tcW w:w="646" w:type="pct"/>
            <w:tcBorders>
              <w:top w:val="nil"/>
              <w:left w:val="nil"/>
              <w:bottom w:val="single" w:sz="4" w:space="0" w:color="auto"/>
              <w:right w:val="single" w:sz="4" w:space="0" w:color="auto"/>
            </w:tcBorders>
            <w:noWrap/>
            <w:vAlign w:val="bottom"/>
            <w:hideMark/>
          </w:tcPr>
          <w:p w14:paraId="69D1001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65" w:type="pct"/>
            <w:tcBorders>
              <w:top w:val="nil"/>
              <w:left w:val="nil"/>
              <w:bottom w:val="single" w:sz="4" w:space="0" w:color="auto"/>
              <w:right w:val="single" w:sz="4" w:space="0" w:color="auto"/>
            </w:tcBorders>
            <w:noWrap/>
            <w:vAlign w:val="bottom"/>
            <w:hideMark/>
          </w:tcPr>
          <w:p w14:paraId="11FCD4D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1268,21</w:t>
            </w:r>
          </w:p>
        </w:tc>
        <w:tc>
          <w:tcPr>
            <w:tcW w:w="665" w:type="pct"/>
            <w:tcBorders>
              <w:top w:val="nil"/>
              <w:left w:val="nil"/>
              <w:bottom w:val="single" w:sz="4" w:space="0" w:color="auto"/>
              <w:right w:val="single" w:sz="4" w:space="0" w:color="auto"/>
            </w:tcBorders>
            <w:noWrap/>
            <w:vAlign w:val="bottom"/>
            <w:hideMark/>
          </w:tcPr>
          <w:p w14:paraId="2B7DD9D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0,55</w:t>
            </w:r>
          </w:p>
        </w:tc>
        <w:tc>
          <w:tcPr>
            <w:tcW w:w="665" w:type="pct"/>
            <w:tcBorders>
              <w:top w:val="nil"/>
              <w:left w:val="nil"/>
              <w:bottom w:val="single" w:sz="4" w:space="0" w:color="auto"/>
              <w:right w:val="single" w:sz="4" w:space="0" w:color="auto"/>
            </w:tcBorders>
            <w:noWrap/>
            <w:vAlign w:val="bottom"/>
            <w:hideMark/>
          </w:tcPr>
          <w:p w14:paraId="161B5E4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0,6983</w:t>
            </w:r>
          </w:p>
        </w:tc>
        <w:tc>
          <w:tcPr>
            <w:tcW w:w="817" w:type="pct"/>
            <w:tcBorders>
              <w:top w:val="nil"/>
              <w:left w:val="nil"/>
              <w:bottom w:val="single" w:sz="4" w:space="0" w:color="auto"/>
              <w:right w:val="single" w:sz="4" w:space="0" w:color="auto"/>
            </w:tcBorders>
            <w:noWrap/>
            <w:vAlign w:val="bottom"/>
            <w:hideMark/>
          </w:tcPr>
          <w:p w14:paraId="32FDB59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0,64</w:t>
            </w:r>
          </w:p>
        </w:tc>
      </w:tr>
      <w:tr w:rsidR="00C82BCC" w14:paraId="79394C55"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0075E15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83" w:type="pct"/>
            <w:tcBorders>
              <w:top w:val="nil"/>
              <w:left w:val="nil"/>
              <w:bottom w:val="single" w:sz="4" w:space="0" w:color="auto"/>
              <w:right w:val="single" w:sz="4" w:space="0" w:color="auto"/>
            </w:tcBorders>
            <w:noWrap/>
            <w:vAlign w:val="bottom"/>
            <w:hideMark/>
          </w:tcPr>
          <w:p w14:paraId="4552631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480789,07</w:t>
            </w:r>
          </w:p>
        </w:tc>
        <w:tc>
          <w:tcPr>
            <w:tcW w:w="646" w:type="pct"/>
            <w:tcBorders>
              <w:top w:val="nil"/>
              <w:left w:val="nil"/>
              <w:bottom w:val="single" w:sz="4" w:space="0" w:color="auto"/>
              <w:right w:val="single" w:sz="4" w:space="0" w:color="auto"/>
            </w:tcBorders>
            <w:noWrap/>
            <w:vAlign w:val="bottom"/>
            <w:hideMark/>
          </w:tcPr>
          <w:p w14:paraId="04AFD10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209</w:t>
            </w:r>
          </w:p>
        </w:tc>
        <w:tc>
          <w:tcPr>
            <w:tcW w:w="665" w:type="pct"/>
            <w:tcBorders>
              <w:top w:val="nil"/>
              <w:left w:val="nil"/>
              <w:bottom w:val="single" w:sz="4" w:space="0" w:color="auto"/>
              <w:right w:val="single" w:sz="4" w:space="0" w:color="auto"/>
            </w:tcBorders>
            <w:noWrap/>
            <w:vAlign w:val="bottom"/>
            <w:hideMark/>
          </w:tcPr>
          <w:p w14:paraId="67F1F76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2300,43</w:t>
            </w:r>
          </w:p>
        </w:tc>
        <w:tc>
          <w:tcPr>
            <w:tcW w:w="665" w:type="pct"/>
            <w:tcBorders>
              <w:top w:val="nil"/>
              <w:left w:val="nil"/>
              <w:bottom w:val="single" w:sz="4" w:space="0" w:color="auto"/>
              <w:right w:val="single" w:sz="4" w:space="0" w:color="auto"/>
            </w:tcBorders>
            <w:noWrap/>
            <w:vAlign w:val="bottom"/>
            <w:hideMark/>
          </w:tcPr>
          <w:p w14:paraId="48ACA3F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5" w:type="pct"/>
            <w:tcBorders>
              <w:top w:val="nil"/>
              <w:left w:val="nil"/>
              <w:bottom w:val="single" w:sz="4" w:space="0" w:color="auto"/>
              <w:right w:val="single" w:sz="4" w:space="0" w:color="auto"/>
            </w:tcBorders>
            <w:noWrap/>
            <w:vAlign w:val="bottom"/>
            <w:hideMark/>
          </w:tcPr>
          <w:p w14:paraId="221B6FD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17" w:type="pct"/>
            <w:tcBorders>
              <w:top w:val="nil"/>
              <w:left w:val="nil"/>
              <w:bottom w:val="single" w:sz="4" w:space="0" w:color="auto"/>
              <w:right w:val="single" w:sz="4" w:space="0" w:color="auto"/>
            </w:tcBorders>
            <w:noWrap/>
            <w:vAlign w:val="bottom"/>
            <w:hideMark/>
          </w:tcPr>
          <w:p w14:paraId="119E193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60,64</w:t>
            </w:r>
          </w:p>
        </w:tc>
      </w:tr>
      <w:tr w:rsidR="00C82BCC" w14:paraId="053ACD08" w14:textId="77777777" w:rsidTr="008A6AF7">
        <w:trPr>
          <w:trHeight w:val="300"/>
        </w:trPr>
        <w:tc>
          <w:tcPr>
            <w:tcW w:w="860" w:type="pct"/>
            <w:tcBorders>
              <w:top w:val="nil"/>
              <w:left w:val="single" w:sz="4" w:space="0" w:color="auto"/>
              <w:bottom w:val="single" w:sz="4" w:space="0" w:color="auto"/>
              <w:right w:val="single" w:sz="4" w:space="0" w:color="auto"/>
            </w:tcBorders>
            <w:noWrap/>
            <w:vAlign w:val="bottom"/>
            <w:hideMark/>
          </w:tcPr>
          <w:p w14:paraId="2632496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83" w:type="pct"/>
            <w:tcBorders>
              <w:top w:val="nil"/>
              <w:left w:val="nil"/>
              <w:bottom w:val="single" w:sz="4" w:space="0" w:color="auto"/>
              <w:right w:val="single" w:sz="4" w:space="0" w:color="auto"/>
            </w:tcBorders>
            <w:noWrap/>
            <w:vAlign w:val="bottom"/>
            <w:hideMark/>
          </w:tcPr>
          <w:p w14:paraId="7237877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792844,77</w:t>
            </w:r>
          </w:p>
        </w:tc>
        <w:tc>
          <w:tcPr>
            <w:tcW w:w="646" w:type="pct"/>
            <w:tcBorders>
              <w:top w:val="nil"/>
              <w:left w:val="nil"/>
              <w:bottom w:val="single" w:sz="4" w:space="0" w:color="auto"/>
              <w:right w:val="single" w:sz="4" w:space="0" w:color="auto"/>
            </w:tcBorders>
            <w:noWrap/>
            <w:vAlign w:val="bottom"/>
            <w:hideMark/>
          </w:tcPr>
          <w:p w14:paraId="57554BF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240</w:t>
            </w:r>
          </w:p>
        </w:tc>
        <w:tc>
          <w:tcPr>
            <w:tcW w:w="665" w:type="pct"/>
            <w:tcBorders>
              <w:top w:val="nil"/>
              <w:left w:val="nil"/>
              <w:bottom w:val="single" w:sz="4" w:space="0" w:color="auto"/>
              <w:right w:val="single" w:sz="4" w:space="0" w:color="auto"/>
            </w:tcBorders>
            <w:noWrap/>
            <w:vAlign w:val="bottom"/>
            <w:hideMark/>
          </w:tcPr>
          <w:p w14:paraId="7E4FBA8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5" w:type="pct"/>
            <w:tcBorders>
              <w:top w:val="nil"/>
              <w:left w:val="nil"/>
              <w:bottom w:val="single" w:sz="4" w:space="0" w:color="auto"/>
              <w:right w:val="single" w:sz="4" w:space="0" w:color="auto"/>
            </w:tcBorders>
            <w:noWrap/>
            <w:vAlign w:val="bottom"/>
            <w:hideMark/>
          </w:tcPr>
          <w:p w14:paraId="53B507D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65" w:type="pct"/>
            <w:tcBorders>
              <w:top w:val="nil"/>
              <w:left w:val="nil"/>
              <w:bottom w:val="single" w:sz="4" w:space="0" w:color="auto"/>
              <w:right w:val="single" w:sz="4" w:space="0" w:color="auto"/>
            </w:tcBorders>
            <w:noWrap/>
            <w:vAlign w:val="bottom"/>
            <w:hideMark/>
          </w:tcPr>
          <w:p w14:paraId="62FBBCA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17" w:type="pct"/>
            <w:tcBorders>
              <w:top w:val="nil"/>
              <w:left w:val="nil"/>
              <w:bottom w:val="single" w:sz="4" w:space="0" w:color="auto"/>
              <w:right w:val="single" w:sz="4" w:space="0" w:color="auto"/>
            </w:tcBorders>
            <w:noWrap/>
            <w:vAlign w:val="bottom"/>
            <w:hideMark/>
          </w:tcPr>
          <w:p w14:paraId="6E81D0F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74BA2404" w14:textId="77777777" w:rsidR="00276893" w:rsidRDefault="00C82BCC" w:rsidP="00276893">
      <w:pPr>
        <w:autoSpaceDE w:val="0"/>
        <w:autoSpaceDN w:val="0"/>
        <w:adjustRightInd w:val="0"/>
        <w:spacing w:before="360" w:after="360" w:line="360" w:lineRule="auto"/>
        <w:rPr>
          <w:rFonts w:cs="Times New Roman"/>
          <w:bCs/>
          <w:szCs w:val="24"/>
        </w:rPr>
      </w:pPr>
      <w:r>
        <w:rPr>
          <w:rFonts w:cs="Times New Roman"/>
          <w:bCs/>
          <w:szCs w:val="24"/>
        </w:rPr>
        <w:t xml:space="preserve">El modelo estadístico establecido explica el 39,36 % de la variación observada en los datos; siendo el potasio 7,09 % y el nitrógeno el nutriente con más importancia que explica el 13,13 % de la variación observada. Un 60,64 % de la variación se les atribuyó a efectos aleatorios que el modelo no pudo explicar (error). La provincia y el azufre explicaron el 11,34 y 3,79 % de la </w:t>
      </w:r>
      <w:r>
        <w:rPr>
          <w:rFonts w:cs="Times New Roman"/>
          <w:szCs w:val="24"/>
        </w:rPr>
        <w:t xml:space="preserve">absorción total de potasio, </w:t>
      </w:r>
      <w:r>
        <w:rPr>
          <w:rFonts w:cs="Times New Roman"/>
          <w:bCs/>
          <w:szCs w:val="24"/>
        </w:rPr>
        <w:t>respectivamente. El resto de nutrientes explicaron menos del 5% de la absorción total</w:t>
      </w:r>
      <w:r>
        <w:rPr>
          <w:rFonts w:cs="Times New Roman"/>
          <w:szCs w:val="24"/>
        </w:rPr>
        <w:t xml:space="preserve"> de nitrógeno</w:t>
      </w:r>
      <w:r>
        <w:rPr>
          <w:rFonts w:cs="Times New Roman"/>
          <w:bCs/>
          <w:szCs w:val="24"/>
        </w:rPr>
        <w:t xml:space="preserve"> (</w:t>
      </w:r>
      <w:r w:rsidR="00D44F3A">
        <w:rPr>
          <w:rFonts w:cs="Times New Roman"/>
          <w:bCs/>
          <w:szCs w:val="24"/>
        </w:rPr>
        <w:t>Cuadro</w:t>
      </w:r>
      <w:r>
        <w:rPr>
          <w:rFonts w:cs="Times New Roman"/>
          <w:bCs/>
          <w:szCs w:val="24"/>
        </w:rPr>
        <w:t xml:space="preserve"> 16</w:t>
      </w:r>
      <w:r w:rsidR="0039325D">
        <w:rPr>
          <w:rFonts w:cs="Times New Roman"/>
          <w:bCs/>
          <w:szCs w:val="24"/>
        </w:rPr>
        <w:t>3</w:t>
      </w:r>
      <w:r>
        <w:rPr>
          <w:rFonts w:cs="Times New Roman"/>
          <w:bCs/>
          <w:szCs w:val="24"/>
        </w:rPr>
        <w:t xml:space="preserve">).  </w:t>
      </w:r>
    </w:p>
    <w:p w14:paraId="70560BBB" w14:textId="77777777" w:rsidR="00276893" w:rsidRDefault="00C82BCC" w:rsidP="00276893">
      <w:pPr>
        <w:autoSpaceDE w:val="0"/>
        <w:autoSpaceDN w:val="0"/>
        <w:adjustRightInd w:val="0"/>
        <w:spacing w:before="360" w:after="360" w:line="360" w:lineRule="auto"/>
        <w:rPr>
          <w:rFonts w:cs="Times New Roman"/>
          <w:bCs/>
          <w:szCs w:val="24"/>
        </w:rPr>
      </w:pPr>
      <w:r>
        <w:rPr>
          <w:rFonts w:cs="Times New Roman"/>
          <w:bCs/>
          <w:szCs w:val="24"/>
        </w:rPr>
        <w:t xml:space="preserve">En </w:t>
      </w:r>
      <w:r w:rsidR="00D44F3A">
        <w:rPr>
          <w:rFonts w:cs="Times New Roman"/>
          <w:bCs/>
          <w:szCs w:val="24"/>
        </w:rPr>
        <w:t>los cuadros</w:t>
      </w:r>
      <w:r>
        <w:rPr>
          <w:rFonts w:cs="Times New Roman"/>
          <w:bCs/>
          <w:szCs w:val="24"/>
        </w:rPr>
        <w:t xml:space="preserve"> </w:t>
      </w:r>
      <w:r w:rsidR="0026663B">
        <w:rPr>
          <w:rFonts w:cs="Times New Roman"/>
          <w:bCs/>
          <w:szCs w:val="24"/>
        </w:rPr>
        <w:t xml:space="preserve">siguientes </w:t>
      </w:r>
      <w:r>
        <w:rPr>
          <w:rFonts w:cs="Times New Roman"/>
          <w:bCs/>
          <w:szCs w:val="24"/>
        </w:rPr>
        <w:t>se presentan los promedios y el error estándar de a</w:t>
      </w:r>
      <w:r w:rsidR="001B6327">
        <w:rPr>
          <w:rFonts w:cs="Times New Roman"/>
          <w:bCs/>
          <w:szCs w:val="24"/>
        </w:rPr>
        <w:t>b</w:t>
      </w:r>
      <w:r>
        <w:rPr>
          <w:rFonts w:cs="Times New Roman"/>
          <w:bCs/>
          <w:szCs w:val="24"/>
        </w:rPr>
        <w:t xml:space="preserve">sorción de potasio por efecto de las localidades (provincia) y los niveles de </w:t>
      </w:r>
      <w:r>
        <w:rPr>
          <w:rFonts w:cs="Times New Roman"/>
          <w:bCs/>
          <w:szCs w:val="24"/>
        </w:rPr>
        <w:lastRenderedPageBreak/>
        <w:t xml:space="preserve">nitrógeno, fósforo, potasio, azufre, magnesio con su respectiva prueba de Lsd Fisher (alfa=0,05). </w:t>
      </w:r>
      <w:bookmarkStart w:id="2140" w:name="_Toc79314155"/>
    </w:p>
    <w:p w14:paraId="0F292A5E" w14:textId="0226C73D" w:rsidR="008A6AF7" w:rsidRPr="00276893" w:rsidRDefault="008A6AF7" w:rsidP="00276893">
      <w:pPr>
        <w:autoSpaceDE w:val="0"/>
        <w:autoSpaceDN w:val="0"/>
        <w:adjustRightInd w:val="0"/>
        <w:spacing w:before="360" w:after="0" w:line="360" w:lineRule="auto"/>
        <w:rPr>
          <w:rFonts w:cs="Times New Roman"/>
          <w:szCs w:val="24"/>
          <w:u w:val="single"/>
        </w:rPr>
      </w:pPr>
      <w:r w:rsidRPr="008A6AF7">
        <w:rPr>
          <w:rFonts w:cs="Times New Roman"/>
          <w:b/>
          <w:bCs/>
          <w:szCs w:val="24"/>
        </w:rPr>
        <w:t xml:space="preserve">Cuadro </w:t>
      </w:r>
      <w:r w:rsidRPr="008A6AF7">
        <w:rPr>
          <w:rFonts w:cs="Times New Roman"/>
          <w:b/>
          <w:bCs/>
          <w:i/>
          <w:iCs/>
          <w:szCs w:val="24"/>
        </w:rPr>
        <w:fldChar w:fldCharType="begin"/>
      </w:r>
      <w:r w:rsidRPr="008A6AF7">
        <w:rPr>
          <w:rFonts w:cs="Times New Roman"/>
          <w:b/>
          <w:bCs/>
          <w:szCs w:val="24"/>
        </w:rPr>
        <w:instrText xml:space="preserve"> SEQ Cuadro \* ARABIC </w:instrText>
      </w:r>
      <w:r w:rsidRPr="008A6AF7">
        <w:rPr>
          <w:rFonts w:cs="Times New Roman"/>
          <w:b/>
          <w:bCs/>
          <w:i/>
          <w:iCs/>
          <w:szCs w:val="24"/>
        </w:rPr>
        <w:fldChar w:fldCharType="separate"/>
      </w:r>
      <w:r w:rsidR="000D1F55">
        <w:rPr>
          <w:rFonts w:cs="Times New Roman"/>
          <w:b/>
          <w:bCs/>
          <w:noProof/>
          <w:szCs w:val="24"/>
        </w:rPr>
        <w:t>163</w:t>
      </w:r>
      <w:r w:rsidRPr="008A6AF7">
        <w:rPr>
          <w:rFonts w:cs="Times New Roman"/>
          <w:b/>
          <w:bCs/>
          <w:i/>
          <w:iCs/>
          <w:szCs w:val="24"/>
        </w:rPr>
        <w:fldChar w:fldCharType="end"/>
      </w:r>
      <w:r w:rsidRPr="008A6AF7">
        <w:rPr>
          <w:rFonts w:cs="Times New Roman"/>
          <w:b/>
          <w:bCs/>
          <w:szCs w:val="24"/>
        </w:rPr>
        <w:t xml:space="preserve">. </w:t>
      </w:r>
      <w:r w:rsidRPr="008A6AF7">
        <w:rPr>
          <w:rFonts w:cs="Times New Roman"/>
          <w:bCs/>
          <w:szCs w:val="24"/>
        </w:rPr>
        <w:t>Absorción total de potasio en plantas de maíz suave, evaluado en las provincias de Bolívar, Chimborazo, Imbabura 2006-2015.</w:t>
      </w:r>
      <w:bookmarkEnd w:id="2140"/>
    </w:p>
    <w:tbl>
      <w:tblPr>
        <w:tblW w:w="7540" w:type="dxa"/>
        <w:jc w:val="center"/>
        <w:tblCellMar>
          <w:left w:w="70" w:type="dxa"/>
          <w:right w:w="70" w:type="dxa"/>
        </w:tblCellMar>
        <w:tblLook w:val="04A0" w:firstRow="1" w:lastRow="0" w:firstColumn="1" w:lastColumn="0" w:noHBand="0" w:noVBand="1"/>
      </w:tblPr>
      <w:tblGrid>
        <w:gridCol w:w="1540"/>
        <w:gridCol w:w="1200"/>
        <w:gridCol w:w="799"/>
        <w:gridCol w:w="1843"/>
        <w:gridCol w:w="958"/>
        <w:gridCol w:w="1200"/>
      </w:tblGrid>
      <w:tr w:rsidR="00C82BCC" w14:paraId="6A925914" w14:textId="77777777" w:rsidTr="00D44F3A">
        <w:trPr>
          <w:trHeight w:val="300"/>
          <w:jc w:val="center"/>
        </w:trPr>
        <w:tc>
          <w:tcPr>
            <w:tcW w:w="1540" w:type="dxa"/>
            <w:tcBorders>
              <w:top w:val="single" w:sz="4" w:space="0" w:color="auto"/>
              <w:left w:val="single" w:sz="4" w:space="0" w:color="auto"/>
              <w:bottom w:val="single" w:sz="4" w:space="0" w:color="auto"/>
              <w:right w:val="single" w:sz="4" w:space="0" w:color="auto"/>
            </w:tcBorders>
            <w:noWrap/>
            <w:vAlign w:val="bottom"/>
            <w:hideMark/>
          </w:tcPr>
          <w:p w14:paraId="145BAD3C"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Provincia </w:t>
            </w:r>
          </w:p>
        </w:tc>
        <w:tc>
          <w:tcPr>
            <w:tcW w:w="1200" w:type="dxa"/>
            <w:tcBorders>
              <w:top w:val="single" w:sz="4" w:space="0" w:color="auto"/>
              <w:left w:val="nil"/>
              <w:bottom w:val="single" w:sz="4" w:space="0" w:color="auto"/>
              <w:right w:val="single" w:sz="4" w:space="0" w:color="auto"/>
            </w:tcBorders>
            <w:noWrap/>
            <w:vAlign w:val="bottom"/>
            <w:hideMark/>
          </w:tcPr>
          <w:p w14:paraId="1C11A061"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99" w:type="dxa"/>
            <w:tcBorders>
              <w:top w:val="single" w:sz="4" w:space="0" w:color="auto"/>
              <w:left w:val="nil"/>
              <w:bottom w:val="single" w:sz="4" w:space="0" w:color="auto"/>
              <w:right w:val="single" w:sz="4" w:space="0" w:color="auto"/>
            </w:tcBorders>
            <w:noWrap/>
            <w:vAlign w:val="bottom"/>
            <w:hideMark/>
          </w:tcPr>
          <w:p w14:paraId="6B426AF3"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43" w:type="dxa"/>
            <w:tcBorders>
              <w:top w:val="single" w:sz="4" w:space="0" w:color="auto"/>
              <w:left w:val="nil"/>
              <w:bottom w:val="single" w:sz="4" w:space="0" w:color="auto"/>
              <w:right w:val="single" w:sz="4" w:space="0" w:color="auto"/>
            </w:tcBorders>
            <w:noWrap/>
            <w:vAlign w:val="bottom"/>
            <w:hideMark/>
          </w:tcPr>
          <w:p w14:paraId="6E0DD194"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958" w:type="dxa"/>
            <w:tcBorders>
              <w:top w:val="single" w:sz="4" w:space="0" w:color="auto"/>
              <w:left w:val="single" w:sz="4" w:space="0" w:color="auto"/>
              <w:bottom w:val="single" w:sz="4" w:space="0" w:color="auto"/>
              <w:right w:val="nil"/>
            </w:tcBorders>
            <w:noWrap/>
            <w:vAlign w:val="bottom"/>
            <w:hideMark/>
          </w:tcPr>
          <w:p w14:paraId="232E0AC9" w14:textId="77777777" w:rsidR="00C82BCC" w:rsidRDefault="00C82BCC" w:rsidP="00276893">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386089C7" w14:textId="77777777" w:rsidR="00C82BCC" w:rsidRDefault="00C82BCC" w:rsidP="00276893">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30816F15" w14:textId="77777777" w:rsidTr="00D44F3A">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0B70408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Chimborazo</w:t>
            </w:r>
          </w:p>
        </w:tc>
        <w:tc>
          <w:tcPr>
            <w:tcW w:w="1200" w:type="dxa"/>
            <w:tcBorders>
              <w:top w:val="nil"/>
              <w:left w:val="nil"/>
              <w:bottom w:val="single" w:sz="4" w:space="0" w:color="auto"/>
              <w:right w:val="single" w:sz="4" w:space="0" w:color="auto"/>
            </w:tcBorders>
            <w:noWrap/>
            <w:vAlign w:val="bottom"/>
            <w:hideMark/>
          </w:tcPr>
          <w:p w14:paraId="6C68B3A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92,74</w:t>
            </w:r>
          </w:p>
        </w:tc>
        <w:tc>
          <w:tcPr>
            <w:tcW w:w="799" w:type="dxa"/>
            <w:tcBorders>
              <w:top w:val="nil"/>
              <w:left w:val="nil"/>
              <w:bottom w:val="single" w:sz="4" w:space="0" w:color="auto"/>
              <w:right w:val="single" w:sz="4" w:space="0" w:color="auto"/>
            </w:tcBorders>
            <w:noWrap/>
            <w:vAlign w:val="bottom"/>
            <w:hideMark/>
          </w:tcPr>
          <w:p w14:paraId="07C1702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w:t>
            </w:r>
          </w:p>
        </w:tc>
        <w:tc>
          <w:tcPr>
            <w:tcW w:w="1843" w:type="dxa"/>
            <w:tcBorders>
              <w:top w:val="nil"/>
              <w:left w:val="nil"/>
              <w:bottom w:val="single" w:sz="4" w:space="0" w:color="auto"/>
              <w:right w:val="single" w:sz="4" w:space="0" w:color="auto"/>
            </w:tcBorders>
            <w:noWrap/>
            <w:vAlign w:val="bottom"/>
            <w:hideMark/>
          </w:tcPr>
          <w:p w14:paraId="22F94C1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958" w:type="dxa"/>
            <w:tcBorders>
              <w:top w:val="single" w:sz="4" w:space="0" w:color="auto"/>
              <w:left w:val="nil"/>
              <w:bottom w:val="single" w:sz="4" w:space="0" w:color="auto"/>
              <w:right w:val="single" w:sz="4" w:space="0" w:color="auto"/>
            </w:tcBorders>
            <w:noWrap/>
            <w:vAlign w:val="bottom"/>
            <w:hideMark/>
          </w:tcPr>
          <w:p w14:paraId="50E8A46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07F72CE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4973996" w14:textId="77777777" w:rsidTr="00D44F3A">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708F4D12" w14:textId="452E83A5" w:rsidR="00C82BCC" w:rsidRDefault="005367D2"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Bolívar</w:t>
            </w:r>
            <w:r w:rsidR="00C82BCC">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448CA09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134,19</w:t>
            </w:r>
          </w:p>
        </w:tc>
        <w:tc>
          <w:tcPr>
            <w:tcW w:w="799" w:type="dxa"/>
            <w:tcBorders>
              <w:top w:val="nil"/>
              <w:left w:val="nil"/>
              <w:bottom w:val="single" w:sz="4" w:space="0" w:color="auto"/>
              <w:right w:val="single" w:sz="4" w:space="0" w:color="auto"/>
            </w:tcBorders>
            <w:noWrap/>
            <w:vAlign w:val="bottom"/>
            <w:hideMark/>
          </w:tcPr>
          <w:p w14:paraId="61F91D1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w:t>
            </w:r>
          </w:p>
        </w:tc>
        <w:tc>
          <w:tcPr>
            <w:tcW w:w="1843" w:type="dxa"/>
            <w:tcBorders>
              <w:top w:val="nil"/>
              <w:left w:val="nil"/>
              <w:bottom w:val="single" w:sz="4" w:space="0" w:color="auto"/>
              <w:right w:val="single" w:sz="4" w:space="0" w:color="auto"/>
            </w:tcBorders>
            <w:noWrap/>
            <w:vAlign w:val="bottom"/>
            <w:hideMark/>
          </w:tcPr>
          <w:p w14:paraId="2CDEC91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6,56</w:t>
            </w:r>
          </w:p>
        </w:tc>
        <w:tc>
          <w:tcPr>
            <w:tcW w:w="958" w:type="dxa"/>
            <w:tcBorders>
              <w:top w:val="nil"/>
              <w:left w:val="nil"/>
              <w:bottom w:val="single" w:sz="4" w:space="0" w:color="auto"/>
              <w:right w:val="single" w:sz="4" w:space="0" w:color="auto"/>
            </w:tcBorders>
            <w:noWrap/>
            <w:vAlign w:val="bottom"/>
            <w:hideMark/>
          </w:tcPr>
          <w:p w14:paraId="79D52BE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02013D3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20F458B1" w14:textId="77777777" w:rsidTr="00D44F3A">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3888DC9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Imbabura  </w:t>
            </w:r>
          </w:p>
        </w:tc>
        <w:tc>
          <w:tcPr>
            <w:tcW w:w="1200" w:type="dxa"/>
            <w:tcBorders>
              <w:top w:val="nil"/>
              <w:left w:val="nil"/>
              <w:bottom w:val="single" w:sz="4" w:space="0" w:color="auto"/>
              <w:right w:val="single" w:sz="4" w:space="0" w:color="auto"/>
            </w:tcBorders>
            <w:noWrap/>
            <w:vAlign w:val="bottom"/>
            <w:hideMark/>
          </w:tcPr>
          <w:p w14:paraId="7583D7C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135,44</w:t>
            </w:r>
          </w:p>
        </w:tc>
        <w:tc>
          <w:tcPr>
            <w:tcW w:w="799" w:type="dxa"/>
            <w:tcBorders>
              <w:top w:val="nil"/>
              <w:left w:val="nil"/>
              <w:bottom w:val="single" w:sz="4" w:space="0" w:color="auto"/>
              <w:right w:val="single" w:sz="4" w:space="0" w:color="auto"/>
            </w:tcBorders>
            <w:noWrap/>
            <w:vAlign w:val="bottom"/>
            <w:hideMark/>
          </w:tcPr>
          <w:p w14:paraId="5DF8CD2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w:t>
            </w:r>
          </w:p>
        </w:tc>
        <w:tc>
          <w:tcPr>
            <w:tcW w:w="1843" w:type="dxa"/>
            <w:tcBorders>
              <w:top w:val="nil"/>
              <w:left w:val="nil"/>
              <w:bottom w:val="single" w:sz="4" w:space="0" w:color="auto"/>
              <w:right w:val="single" w:sz="4" w:space="0" w:color="auto"/>
            </w:tcBorders>
            <w:noWrap/>
            <w:vAlign w:val="bottom"/>
            <w:hideMark/>
          </w:tcPr>
          <w:p w14:paraId="2CE3E48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6,32</w:t>
            </w:r>
          </w:p>
        </w:tc>
        <w:tc>
          <w:tcPr>
            <w:tcW w:w="958" w:type="dxa"/>
            <w:tcBorders>
              <w:top w:val="nil"/>
              <w:left w:val="nil"/>
              <w:bottom w:val="single" w:sz="4" w:space="0" w:color="auto"/>
              <w:right w:val="single" w:sz="4" w:space="0" w:color="auto"/>
            </w:tcBorders>
            <w:noWrap/>
            <w:vAlign w:val="bottom"/>
            <w:hideMark/>
          </w:tcPr>
          <w:p w14:paraId="3DC2FD3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7C77F4B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58FB3EF6" w14:textId="77777777" w:rsidR="00C82BCC" w:rsidRDefault="00C82BCC" w:rsidP="00C82BCC">
      <w:pPr>
        <w:autoSpaceDE w:val="0"/>
        <w:autoSpaceDN w:val="0"/>
        <w:adjustRightInd w:val="0"/>
        <w:spacing w:after="0" w:line="360" w:lineRule="auto"/>
        <w:rPr>
          <w:rFonts w:cs="Times New Roman"/>
          <w:szCs w:val="24"/>
        </w:rPr>
      </w:pPr>
      <w:r>
        <w:rPr>
          <w:rFonts w:cs="Times New Roman"/>
          <w:szCs w:val="24"/>
        </w:rPr>
        <w:t>Medias con una letra común no son significativamente diferentes (p &gt; 0,05)</w:t>
      </w:r>
    </w:p>
    <w:p w14:paraId="797A9DCE" w14:textId="6733E1DD" w:rsidR="008A6AF7" w:rsidRPr="008A6AF7" w:rsidRDefault="008A6AF7" w:rsidP="00276893">
      <w:pPr>
        <w:pStyle w:val="Descripcin"/>
        <w:keepNext/>
        <w:spacing w:before="360"/>
        <w:rPr>
          <w:rFonts w:cs="Times New Roman"/>
          <w:i w:val="0"/>
          <w:iCs w:val="0"/>
          <w:color w:val="auto"/>
          <w:sz w:val="24"/>
          <w:szCs w:val="24"/>
          <w:lang w:eastAsia="en-US"/>
        </w:rPr>
      </w:pPr>
      <w:bookmarkStart w:id="2141" w:name="_Toc79314156"/>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164</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 xml:space="preserve">. </w:t>
      </w:r>
      <w:r w:rsidRPr="008A6AF7">
        <w:rPr>
          <w:rFonts w:cs="Times New Roman"/>
          <w:i w:val="0"/>
          <w:iCs w:val="0"/>
          <w:color w:val="auto"/>
          <w:sz w:val="24"/>
          <w:szCs w:val="24"/>
          <w:lang w:eastAsia="en-US"/>
        </w:rPr>
        <w:t xml:space="preserve"> Absorción total de potasio en plantas de maíz suave para diversas dosis de nitrógeno evaluado en las provincias de Bolívar, Chimborazo, Imbabura 2006-2015.</w:t>
      </w:r>
      <w:bookmarkEnd w:id="2141"/>
    </w:p>
    <w:tbl>
      <w:tblPr>
        <w:tblW w:w="7927" w:type="dxa"/>
        <w:tblCellMar>
          <w:left w:w="70" w:type="dxa"/>
          <w:right w:w="70" w:type="dxa"/>
        </w:tblCellMar>
        <w:tblLook w:val="04A0" w:firstRow="1" w:lastRow="0" w:firstColumn="1" w:lastColumn="0" w:noHBand="0" w:noVBand="1"/>
      </w:tblPr>
      <w:tblGrid>
        <w:gridCol w:w="2117"/>
        <w:gridCol w:w="1045"/>
        <w:gridCol w:w="771"/>
        <w:gridCol w:w="1874"/>
        <w:gridCol w:w="965"/>
        <w:gridCol w:w="1155"/>
      </w:tblGrid>
      <w:tr w:rsidR="00C82BCC" w14:paraId="3BDE35E3" w14:textId="77777777" w:rsidTr="00C82BCC">
        <w:trPr>
          <w:trHeight w:val="300"/>
        </w:trPr>
        <w:tc>
          <w:tcPr>
            <w:tcW w:w="2117" w:type="dxa"/>
            <w:tcBorders>
              <w:top w:val="single" w:sz="4" w:space="0" w:color="auto"/>
              <w:left w:val="single" w:sz="4" w:space="0" w:color="auto"/>
              <w:bottom w:val="single" w:sz="4" w:space="0" w:color="auto"/>
              <w:right w:val="single" w:sz="4" w:space="0" w:color="auto"/>
            </w:tcBorders>
            <w:noWrap/>
            <w:vAlign w:val="bottom"/>
            <w:hideMark/>
          </w:tcPr>
          <w:p w14:paraId="7174D02C"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045" w:type="dxa"/>
            <w:tcBorders>
              <w:top w:val="single" w:sz="4" w:space="0" w:color="auto"/>
              <w:left w:val="nil"/>
              <w:bottom w:val="single" w:sz="4" w:space="0" w:color="auto"/>
              <w:right w:val="single" w:sz="4" w:space="0" w:color="auto"/>
            </w:tcBorders>
            <w:noWrap/>
            <w:vAlign w:val="bottom"/>
            <w:hideMark/>
          </w:tcPr>
          <w:p w14:paraId="2963141C"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71" w:type="dxa"/>
            <w:tcBorders>
              <w:top w:val="single" w:sz="4" w:space="0" w:color="auto"/>
              <w:left w:val="nil"/>
              <w:bottom w:val="single" w:sz="4" w:space="0" w:color="auto"/>
              <w:right w:val="single" w:sz="4" w:space="0" w:color="auto"/>
            </w:tcBorders>
            <w:noWrap/>
            <w:vAlign w:val="bottom"/>
            <w:hideMark/>
          </w:tcPr>
          <w:p w14:paraId="59072DD8"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74" w:type="dxa"/>
            <w:tcBorders>
              <w:top w:val="single" w:sz="4" w:space="0" w:color="auto"/>
              <w:left w:val="nil"/>
              <w:bottom w:val="single" w:sz="4" w:space="0" w:color="auto"/>
              <w:right w:val="single" w:sz="4" w:space="0" w:color="auto"/>
            </w:tcBorders>
            <w:noWrap/>
            <w:vAlign w:val="bottom"/>
            <w:hideMark/>
          </w:tcPr>
          <w:p w14:paraId="03768FBD"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965" w:type="dxa"/>
            <w:tcBorders>
              <w:top w:val="single" w:sz="4" w:space="0" w:color="auto"/>
              <w:left w:val="single" w:sz="4" w:space="0" w:color="auto"/>
              <w:bottom w:val="single" w:sz="4" w:space="0" w:color="auto"/>
              <w:right w:val="nil"/>
            </w:tcBorders>
            <w:noWrap/>
            <w:vAlign w:val="bottom"/>
            <w:hideMark/>
          </w:tcPr>
          <w:p w14:paraId="7674F815" w14:textId="77777777" w:rsidR="00C82BCC" w:rsidRDefault="00C82BCC" w:rsidP="00276893">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155" w:type="dxa"/>
            <w:tcBorders>
              <w:top w:val="single" w:sz="4" w:space="0" w:color="auto"/>
              <w:left w:val="nil"/>
              <w:bottom w:val="single" w:sz="4" w:space="0" w:color="auto"/>
              <w:right w:val="single" w:sz="4" w:space="0" w:color="auto"/>
            </w:tcBorders>
            <w:noWrap/>
            <w:vAlign w:val="bottom"/>
            <w:hideMark/>
          </w:tcPr>
          <w:p w14:paraId="005E4734" w14:textId="77777777" w:rsidR="00C82BCC" w:rsidRDefault="00C82BCC" w:rsidP="00276893">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2996C226"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56C60E7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1045" w:type="dxa"/>
            <w:tcBorders>
              <w:top w:val="nil"/>
              <w:left w:val="nil"/>
              <w:bottom w:val="single" w:sz="4" w:space="0" w:color="auto"/>
              <w:right w:val="single" w:sz="4" w:space="0" w:color="auto"/>
            </w:tcBorders>
            <w:noWrap/>
            <w:vAlign w:val="bottom"/>
            <w:hideMark/>
          </w:tcPr>
          <w:p w14:paraId="0725107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66,09</w:t>
            </w:r>
          </w:p>
        </w:tc>
        <w:tc>
          <w:tcPr>
            <w:tcW w:w="771" w:type="dxa"/>
            <w:tcBorders>
              <w:top w:val="nil"/>
              <w:left w:val="nil"/>
              <w:bottom w:val="single" w:sz="4" w:space="0" w:color="auto"/>
              <w:right w:val="single" w:sz="4" w:space="0" w:color="auto"/>
            </w:tcBorders>
            <w:noWrap/>
            <w:vAlign w:val="bottom"/>
            <w:hideMark/>
          </w:tcPr>
          <w:p w14:paraId="33F68CE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4" w:type="dxa"/>
            <w:tcBorders>
              <w:top w:val="nil"/>
              <w:left w:val="nil"/>
              <w:bottom w:val="single" w:sz="4" w:space="0" w:color="auto"/>
              <w:right w:val="single" w:sz="4" w:space="0" w:color="auto"/>
            </w:tcBorders>
            <w:noWrap/>
            <w:vAlign w:val="bottom"/>
            <w:hideMark/>
          </w:tcPr>
          <w:p w14:paraId="1487B58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48,19</w:t>
            </w:r>
          </w:p>
        </w:tc>
        <w:tc>
          <w:tcPr>
            <w:tcW w:w="965" w:type="dxa"/>
            <w:tcBorders>
              <w:top w:val="single" w:sz="4" w:space="0" w:color="auto"/>
              <w:left w:val="nil"/>
              <w:bottom w:val="single" w:sz="4" w:space="0" w:color="auto"/>
              <w:right w:val="single" w:sz="4" w:space="0" w:color="auto"/>
            </w:tcBorders>
            <w:noWrap/>
            <w:vAlign w:val="bottom"/>
            <w:hideMark/>
          </w:tcPr>
          <w:p w14:paraId="354B1C4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single" w:sz="4" w:space="0" w:color="auto"/>
              <w:left w:val="nil"/>
              <w:bottom w:val="single" w:sz="4" w:space="0" w:color="auto"/>
              <w:right w:val="single" w:sz="4" w:space="0" w:color="auto"/>
            </w:tcBorders>
            <w:noWrap/>
            <w:vAlign w:val="bottom"/>
            <w:hideMark/>
          </w:tcPr>
          <w:p w14:paraId="1D88F11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1A07E96"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17A2F2C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045" w:type="dxa"/>
            <w:tcBorders>
              <w:top w:val="nil"/>
              <w:left w:val="nil"/>
              <w:bottom w:val="single" w:sz="4" w:space="0" w:color="auto"/>
              <w:right w:val="single" w:sz="4" w:space="0" w:color="auto"/>
            </w:tcBorders>
            <w:noWrap/>
            <w:vAlign w:val="bottom"/>
            <w:hideMark/>
          </w:tcPr>
          <w:p w14:paraId="6147FD3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85,13</w:t>
            </w:r>
          </w:p>
        </w:tc>
        <w:tc>
          <w:tcPr>
            <w:tcW w:w="771" w:type="dxa"/>
            <w:tcBorders>
              <w:top w:val="nil"/>
              <w:left w:val="nil"/>
              <w:bottom w:val="single" w:sz="4" w:space="0" w:color="auto"/>
              <w:right w:val="single" w:sz="4" w:space="0" w:color="auto"/>
            </w:tcBorders>
            <w:noWrap/>
            <w:vAlign w:val="bottom"/>
            <w:hideMark/>
          </w:tcPr>
          <w:p w14:paraId="21C98FF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74</w:t>
            </w:r>
          </w:p>
        </w:tc>
        <w:tc>
          <w:tcPr>
            <w:tcW w:w="1874" w:type="dxa"/>
            <w:tcBorders>
              <w:top w:val="nil"/>
              <w:left w:val="nil"/>
              <w:bottom w:val="single" w:sz="4" w:space="0" w:color="auto"/>
              <w:right w:val="single" w:sz="4" w:space="0" w:color="auto"/>
            </w:tcBorders>
            <w:noWrap/>
            <w:vAlign w:val="bottom"/>
            <w:hideMark/>
          </w:tcPr>
          <w:p w14:paraId="4CA54CB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6,07</w:t>
            </w:r>
          </w:p>
        </w:tc>
        <w:tc>
          <w:tcPr>
            <w:tcW w:w="965" w:type="dxa"/>
            <w:tcBorders>
              <w:top w:val="nil"/>
              <w:left w:val="nil"/>
              <w:bottom w:val="single" w:sz="4" w:space="0" w:color="auto"/>
              <w:right w:val="single" w:sz="4" w:space="0" w:color="auto"/>
            </w:tcBorders>
            <w:noWrap/>
            <w:vAlign w:val="bottom"/>
            <w:hideMark/>
          </w:tcPr>
          <w:p w14:paraId="7C7D4C6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nil"/>
              <w:left w:val="nil"/>
              <w:bottom w:val="single" w:sz="4" w:space="0" w:color="auto"/>
              <w:right w:val="single" w:sz="4" w:space="0" w:color="auto"/>
            </w:tcBorders>
            <w:noWrap/>
            <w:vAlign w:val="bottom"/>
            <w:hideMark/>
          </w:tcPr>
          <w:p w14:paraId="6DE97E5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CB850A2"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7525162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1045" w:type="dxa"/>
            <w:tcBorders>
              <w:top w:val="nil"/>
              <w:left w:val="nil"/>
              <w:bottom w:val="single" w:sz="4" w:space="0" w:color="auto"/>
              <w:right w:val="single" w:sz="4" w:space="0" w:color="auto"/>
            </w:tcBorders>
            <w:noWrap/>
            <w:vAlign w:val="bottom"/>
            <w:hideMark/>
          </w:tcPr>
          <w:p w14:paraId="2ACF07C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100,17</w:t>
            </w:r>
          </w:p>
        </w:tc>
        <w:tc>
          <w:tcPr>
            <w:tcW w:w="771" w:type="dxa"/>
            <w:tcBorders>
              <w:top w:val="nil"/>
              <w:left w:val="nil"/>
              <w:bottom w:val="single" w:sz="4" w:space="0" w:color="auto"/>
              <w:right w:val="single" w:sz="4" w:space="0" w:color="auto"/>
            </w:tcBorders>
            <w:noWrap/>
            <w:vAlign w:val="bottom"/>
            <w:hideMark/>
          </w:tcPr>
          <w:p w14:paraId="636AD0E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4" w:type="dxa"/>
            <w:tcBorders>
              <w:top w:val="nil"/>
              <w:left w:val="nil"/>
              <w:bottom w:val="single" w:sz="4" w:space="0" w:color="auto"/>
              <w:right w:val="single" w:sz="4" w:space="0" w:color="auto"/>
            </w:tcBorders>
            <w:noWrap/>
            <w:vAlign w:val="bottom"/>
            <w:hideMark/>
          </w:tcPr>
          <w:p w14:paraId="13DC5BA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48,19</w:t>
            </w:r>
          </w:p>
        </w:tc>
        <w:tc>
          <w:tcPr>
            <w:tcW w:w="965" w:type="dxa"/>
            <w:tcBorders>
              <w:top w:val="nil"/>
              <w:left w:val="nil"/>
              <w:bottom w:val="single" w:sz="4" w:space="0" w:color="auto"/>
              <w:right w:val="single" w:sz="4" w:space="0" w:color="auto"/>
            </w:tcBorders>
            <w:noWrap/>
            <w:vAlign w:val="bottom"/>
            <w:hideMark/>
          </w:tcPr>
          <w:p w14:paraId="07B4B83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nil"/>
              <w:left w:val="nil"/>
              <w:bottom w:val="single" w:sz="4" w:space="0" w:color="auto"/>
              <w:right w:val="single" w:sz="4" w:space="0" w:color="auto"/>
            </w:tcBorders>
            <w:noWrap/>
            <w:vAlign w:val="bottom"/>
            <w:hideMark/>
          </w:tcPr>
          <w:p w14:paraId="3B0BBF5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4C656A31"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55FA437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1045" w:type="dxa"/>
            <w:tcBorders>
              <w:top w:val="nil"/>
              <w:left w:val="nil"/>
              <w:bottom w:val="single" w:sz="4" w:space="0" w:color="auto"/>
              <w:right w:val="single" w:sz="4" w:space="0" w:color="auto"/>
            </w:tcBorders>
            <w:noWrap/>
            <w:vAlign w:val="bottom"/>
            <w:hideMark/>
          </w:tcPr>
          <w:p w14:paraId="7CFC478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118,46</w:t>
            </w:r>
          </w:p>
        </w:tc>
        <w:tc>
          <w:tcPr>
            <w:tcW w:w="771" w:type="dxa"/>
            <w:tcBorders>
              <w:top w:val="nil"/>
              <w:left w:val="nil"/>
              <w:bottom w:val="single" w:sz="4" w:space="0" w:color="auto"/>
              <w:right w:val="single" w:sz="4" w:space="0" w:color="auto"/>
            </w:tcBorders>
            <w:noWrap/>
            <w:vAlign w:val="bottom"/>
            <w:hideMark/>
          </w:tcPr>
          <w:p w14:paraId="7550476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w:t>
            </w:r>
          </w:p>
        </w:tc>
        <w:tc>
          <w:tcPr>
            <w:tcW w:w="1874" w:type="dxa"/>
            <w:tcBorders>
              <w:top w:val="nil"/>
              <w:left w:val="nil"/>
              <w:bottom w:val="single" w:sz="4" w:space="0" w:color="auto"/>
              <w:right w:val="single" w:sz="4" w:space="0" w:color="auto"/>
            </w:tcBorders>
            <w:noWrap/>
            <w:vAlign w:val="bottom"/>
            <w:hideMark/>
          </w:tcPr>
          <w:p w14:paraId="23D019F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9,09</w:t>
            </w:r>
          </w:p>
        </w:tc>
        <w:tc>
          <w:tcPr>
            <w:tcW w:w="965" w:type="dxa"/>
            <w:tcBorders>
              <w:top w:val="nil"/>
              <w:left w:val="nil"/>
              <w:bottom w:val="single" w:sz="4" w:space="0" w:color="auto"/>
              <w:right w:val="single" w:sz="4" w:space="0" w:color="auto"/>
            </w:tcBorders>
            <w:noWrap/>
            <w:vAlign w:val="bottom"/>
            <w:hideMark/>
          </w:tcPr>
          <w:p w14:paraId="01806FE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nil"/>
              <w:left w:val="nil"/>
              <w:bottom w:val="single" w:sz="4" w:space="0" w:color="auto"/>
              <w:right w:val="single" w:sz="4" w:space="0" w:color="auto"/>
            </w:tcBorders>
            <w:noWrap/>
            <w:vAlign w:val="bottom"/>
            <w:hideMark/>
          </w:tcPr>
          <w:p w14:paraId="37517E4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1BEA305B"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69A7B24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140</w:t>
            </w:r>
          </w:p>
        </w:tc>
        <w:tc>
          <w:tcPr>
            <w:tcW w:w="1045" w:type="dxa"/>
            <w:tcBorders>
              <w:top w:val="nil"/>
              <w:left w:val="nil"/>
              <w:bottom w:val="single" w:sz="4" w:space="0" w:color="auto"/>
              <w:right w:val="single" w:sz="4" w:space="0" w:color="auto"/>
            </w:tcBorders>
            <w:noWrap/>
            <w:vAlign w:val="bottom"/>
            <w:hideMark/>
          </w:tcPr>
          <w:p w14:paraId="616FAE9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120,41</w:t>
            </w:r>
          </w:p>
        </w:tc>
        <w:tc>
          <w:tcPr>
            <w:tcW w:w="771" w:type="dxa"/>
            <w:tcBorders>
              <w:top w:val="nil"/>
              <w:left w:val="nil"/>
              <w:bottom w:val="single" w:sz="4" w:space="0" w:color="auto"/>
              <w:right w:val="single" w:sz="4" w:space="0" w:color="auto"/>
            </w:tcBorders>
            <w:noWrap/>
            <w:vAlign w:val="bottom"/>
            <w:hideMark/>
          </w:tcPr>
          <w:p w14:paraId="14893A9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874" w:type="dxa"/>
            <w:tcBorders>
              <w:top w:val="nil"/>
              <w:left w:val="nil"/>
              <w:bottom w:val="single" w:sz="4" w:space="0" w:color="auto"/>
              <w:right w:val="single" w:sz="4" w:space="0" w:color="auto"/>
            </w:tcBorders>
            <w:noWrap/>
            <w:vAlign w:val="bottom"/>
            <w:hideMark/>
          </w:tcPr>
          <w:p w14:paraId="6F9A3A2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8,77</w:t>
            </w:r>
          </w:p>
        </w:tc>
        <w:tc>
          <w:tcPr>
            <w:tcW w:w="965" w:type="dxa"/>
            <w:tcBorders>
              <w:top w:val="nil"/>
              <w:left w:val="nil"/>
              <w:bottom w:val="single" w:sz="4" w:space="0" w:color="auto"/>
              <w:right w:val="single" w:sz="4" w:space="0" w:color="auto"/>
            </w:tcBorders>
            <w:noWrap/>
            <w:vAlign w:val="bottom"/>
            <w:hideMark/>
          </w:tcPr>
          <w:p w14:paraId="0AB5CEF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nil"/>
              <w:left w:val="nil"/>
              <w:bottom w:val="single" w:sz="4" w:space="0" w:color="auto"/>
              <w:right w:val="single" w:sz="4" w:space="0" w:color="auto"/>
            </w:tcBorders>
            <w:noWrap/>
            <w:vAlign w:val="bottom"/>
            <w:hideMark/>
          </w:tcPr>
          <w:p w14:paraId="7BD0FF9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3511EB2F"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024DC72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1045" w:type="dxa"/>
            <w:tcBorders>
              <w:top w:val="nil"/>
              <w:left w:val="nil"/>
              <w:bottom w:val="single" w:sz="4" w:space="0" w:color="auto"/>
              <w:right w:val="single" w:sz="4" w:space="0" w:color="auto"/>
            </w:tcBorders>
            <w:noWrap/>
            <w:vAlign w:val="bottom"/>
            <w:hideMark/>
          </w:tcPr>
          <w:p w14:paraId="7CDD466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128,91</w:t>
            </w:r>
          </w:p>
        </w:tc>
        <w:tc>
          <w:tcPr>
            <w:tcW w:w="771" w:type="dxa"/>
            <w:tcBorders>
              <w:top w:val="nil"/>
              <w:left w:val="nil"/>
              <w:bottom w:val="single" w:sz="4" w:space="0" w:color="auto"/>
              <w:right w:val="single" w:sz="4" w:space="0" w:color="auto"/>
            </w:tcBorders>
            <w:noWrap/>
            <w:vAlign w:val="bottom"/>
            <w:hideMark/>
          </w:tcPr>
          <w:p w14:paraId="4FE2E29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874" w:type="dxa"/>
            <w:tcBorders>
              <w:top w:val="nil"/>
              <w:left w:val="nil"/>
              <w:bottom w:val="single" w:sz="4" w:space="0" w:color="auto"/>
              <w:right w:val="single" w:sz="4" w:space="0" w:color="auto"/>
            </w:tcBorders>
            <w:noWrap/>
            <w:vAlign w:val="bottom"/>
            <w:hideMark/>
          </w:tcPr>
          <w:p w14:paraId="4E1ABCE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24,7</w:t>
            </w:r>
          </w:p>
        </w:tc>
        <w:tc>
          <w:tcPr>
            <w:tcW w:w="965" w:type="dxa"/>
            <w:tcBorders>
              <w:top w:val="nil"/>
              <w:left w:val="nil"/>
              <w:bottom w:val="single" w:sz="4" w:space="0" w:color="auto"/>
              <w:right w:val="single" w:sz="4" w:space="0" w:color="auto"/>
            </w:tcBorders>
            <w:noWrap/>
            <w:vAlign w:val="bottom"/>
            <w:hideMark/>
          </w:tcPr>
          <w:p w14:paraId="72CDB6C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nil"/>
              <w:left w:val="nil"/>
              <w:bottom w:val="single" w:sz="4" w:space="0" w:color="auto"/>
              <w:right w:val="single" w:sz="4" w:space="0" w:color="auto"/>
            </w:tcBorders>
            <w:noWrap/>
            <w:vAlign w:val="bottom"/>
            <w:hideMark/>
          </w:tcPr>
          <w:p w14:paraId="58EA718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652E9914"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0B784B2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1045" w:type="dxa"/>
            <w:tcBorders>
              <w:top w:val="nil"/>
              <w:left w:val="nil"/>
              <w:bottom w:val="single" w:sz="4" w:space="0" w:color="auto"/>
              <w:right w:val="single" w:sz="4" w:space="0" w:color="auto"/>
            </w:tcBorders>
            <w:noWrap/>
            <w:vAlign w:val="bottom"/>
            <w:hideMark/>
          </w:tcPr>
          <w:p w14:paraId="20E90D2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133,08</w:t>
            </w:r>
          </w:p>
        </w:tc>
        <w:tc>
          <w:tcPr>
            <w:tcW w:w="771" w:type="dxa"/>
            <w:tcBorders>
              <w:top w:val="nil"/>
              <w:left w:val="nil"/>
              <w:bottom w:val="single" w:sz="4" w:space="0" w:color="auto"/>
              <w:right w:val="single" w:sz="4" w:space="0" w:color="auto"/>
            </w:tcBorders>
            <w:noWrap/>
            <w:vAlign w:val="bottom"/>
            <w:hideMark/>
          </w:tcPr>
          <w:p w14:paraId="27A9C0F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78</w:t>
            </w:r>
          </w:p>
        </w:tc>
        <w:tc>
          <w:tcPr>
            <w:tcW w:w="1874" w:type="dxa"/>
            <w:tcBorders>
              <w:top w:val="nil"/>
              <w:left w:val="nil"/>
              <w:bottom w:val="single" w:sz="4" w:space="0" w:color="auto"/>
              <w:right w:val="single" w:sz="4" w:space="0" w:color="auto"/>
            </w:tcBorders>
            <w:noWrap/>
            <w:vAlign w:val="bottom"/>
            <w:hideMark/>
          </w:tcPr>
          <w:p w14:paraId="365DC2D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6,32</w:t>
            </w:r>
          </w:p>
        </w:tc>
        <w:tc>
          <w:tcPr>
            <w:tcW w:w="965" w:type="dxa"/>
            <w:tcBorders>
              <w:top w:val="nil"/>
              <w:left w:val="nil"/>
              <w:bottom w:val="single" w:sz="4" w:space="0" w:color="auto"/>
              <w:right w:val="single" w:sz="4" w:space="0" w:color="auto"/>
            </w:tcBorders>
            <w:noWrap/>
            <w:vAlign w:val="bottom"/>
            <w:hideMark/>
          </w:tcPr>
          <w:p w14:paraId="4608818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nil"/>
              <w:left w:val="nil"/>
              <w:bottom w:val="single" w:sz="4" w:space="0" w:color="auto"/>
              <w:right w:val="single" w:sz="4" w:space="0" w:color="auto"/>
            </w:tcBorders>
            <w:noWrap/>
            <w:vAlign w:val="bottom"/>
            <w:hideMark/>
          </w:tcPr>
          <w:p w14:paraId="4F5E069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55F053C2"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47B37B2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1045" w:type="dxa"/>
            <w:tcBorders>
              <w:top w:val="nil"/>
              <w:left w:val="nil"/>
              <w:bottom w:val="single" w:sz="4" w:space="0" w:color="auto"/>
              <w:right w:val="single" w:sz="4" w:space="0" w:color="auto"/>
            </w:tcBorders>
            <w:noWrap/>
            <w:vAlign w:val="bottom"/>
            <w:hideMark/>
          </w:tcPr>
          <w:p w14:paraId="4B87FCF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133,87</w:t>
            </w:r>
          </w:p>
        </w:tc>
        <w:tc>
          <w:tcPr>
            <w:tcW w:w="771" w:type="dxa"/>
            <w:tcBorders>
              <w:top w:val="nil"/>
              <w:left w:val="nil"/>
              <w:bottom w:val="single" w:sz="4" w:space="0" w:color="auto"/>
              <w:right w:val="single" w:sz="4" w:space="0" w:color="auto"/>
            </w:tcBorders>
            <w:noWrap/>
            <w:vAlign w:val="bottom"/>
            <w:hideMark/>
          </w:tcPr>
          <w:p w14:paraId="3B00E80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874" w:type="dxa"/>
            <w:tcBorders>
              <w:top w:val="nil"/>
              <w:left w:val="nil"/>
              <w:bottom w:val="single" w:sz="4" w:space="0" w:color="auto"/>
              <w:right w:val="single" w:sz="4" w:space="0" w:color="auto"/>
            </w:tcBorders>
            <w:noWrap/>
            <w:vAlign w:val="bottom"/>
            <w:hideMark/>
          </w:tcPr>
          <w:p w14:paraId="2CD2FD6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24,34</w:t>
            </w:r>
          </w:p>
        </w:tc>
        <w:tc>
          <w:tcPr>
            <w:tcW w:w="965" w:type="dxa"/>
            <w:tcBorders>
              <w:top w:val="nil"/>
              <w:left w:val="nil"/>
              <w:bottom w:val="single" w:sz="4" w:space="0" w:color="auto"/>
              <w:right w:val="single" w:sz="4" w:space="0" w:color="auto"/>
            </w:tcBorders>
            <w:noWrap/>
            <w:vAlign w:val="bottom"/>
            <w:hideMark/>
          </w:tcPr>
          <w:p w14:paraId="355071F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nil"/>
              <w:left w:val="nil"/>
              <w:bottom w:val="single" w:sz="4" w:space="0" w:color="auto"/>
              <w:right w:val="single" w:sz="4" w:space="0" w:color="auto"/>
            </w:tcBorders>
            <w:noWrap/>
            <w:vAlign w:val="bottom"/>
            <w:hideMark/>
          </w:tcPr>
          <w:p w14:paraId="6A3031B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76E1D25E"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7FCA133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045" w:type="dxa"/>
            <w:tcBorders>
              <w:top w:val="nil"/>
              <w:left w:val="nil"/>
              <w:bottom w:val="single" w:sz="4" w:space="0" w:color="auto"/>
              <w:right w:val="single" w:sz="4" w:space="0" w:color="auto"/>
            </w:tcBorders>
            <w:noWrap/>
            <w:vAlign w:val="bottom"/>
            <w:hideMark/>
          </w:tcPr>
          <w:p w14:paraId="0650FC3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140,3</w:t>
            </w:r>
          </w:p>
        </w:tc>
        <w:tc>
          <w:tcPr>
            <w:tcW w:w="771" w:type="dxa"/>
            <w:tcBorders>
              <w:top w:val="nil"/>
              <w:left w:val="nil"/>
              <w:bottom w:val="single" w:sz="4" w:space="0" w:color="auto"/>
              <w:right w:val="single" w:sz="4" w:space="0" w:color="auto"/>
            </w:tcBorders>
            <w:noWrap/>
            <w:vAlign w:val="bottom"/>
            <w:hideMark/>
          </w:tcPr>
          <w:p w14:paraId="6BE91AA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74" w:type="dxa"/>
            <w:tcBorders>
              <w:top w:val="nil"/>
              <w:left w:val="nil"/>
              <w:bottom w:val="single" w:sz="4" w:space="0" w:color="auto"/>
              <w:right w:val="single" w:sz="4" w:space="0" w:color="auto"/>
            </w:tcBorders>
            <w:noWrap/>
            <w:vAlign w:val="bottom"/>
            <w:hideMark/>
          </w:tcPr>
          <w:p w14:paraId="68B073D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48,19</w:t>
            </w:r>
          </w:p>
        </w:tc>
        <w:tc>
          <w:tcPr>
            <w:tcW w:w="965" w:type="dxa"/>
            <w:tcBorders>
              <w:top w:val="nil"/>
              <w:left w:val="nil"/>
              <w:bottom w:val="single" w:sz="4" w:space="0" w:color="auto"/>
              <w:right w:val="single" w:sz="4" w:space="0" w:color="auto"/>
            </w:tcBorders>
            <w:noWrap/>
            <w:vAlign w:val="bottom"/>
            <w:hideMark/>
          </w:tcPr>
          <w:p w14:paraId="54593D5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5" w:type="dxa"/>
            <w:tcBorders>
              <w:top w:val="nil"/>
              <w:left w:val="nil"/>
              <w:bottom w:val="single" w:sz="4" w:space="0" w:color="auto"/>
              <w:right w:val="single" w:sz="4" w:space="0" w:color="auto"/>
            </w:tcBorders>
            <w:noWrap/>
            <w:vAlign w:val="bottom"/>
            <w:hideMark/>
          </w:tcPr>
          <w:p w14:paraId="7E93604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6C79ACD7" w14:textId="77777777" w:rsidTr="00C82BCC">
        <w:trPr>
          <w:trHeight w:val="300"/>
        </w:trPr>
        <w:tc>
          <w:tcPr>
            <w:tcW w:w="2117" w:type="dxa"/>
            <w:tcBorders>
              <w:top w:val="nil"/>
              <w:left w:val="single" w:sz="4" w:space="0" w:color="auto"/>
              <w:bottom w:val="single" w:sz="4" w:space="0" w:color="auto"/>
              <w:right w:val="single" w:sz="4" w:space="0" w:color="auto"/>
            </w:tcBorders>
            <w:noWrap/>
            <w:vAlign w:val="bottom"/>
            <w:hideMark/>
          </w:tcPr>
          <w:p w14:paraId="5050581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045" w:type="dxa"/>
            <w:tcBorders>
              <w:top w:val="nil"/>
              <w:left w:val="nil"/>
              <w:bottom w:val="single" w:sz="4" w:space="0" w:color="auto"/>
              <w:right w:val="single" w:sz="4" w:space="0" w:color="auto"/>
            </w:tcBorders>
            <w:noWrap/>
            <w:vAlign w:val="bottom"/>
            <w:hideMark/>
          </w:tcPr>
          <w:p w14:paraId="3550FCA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171,27</w:t>
            </w:r>
          </w:p>
        </w:tc>
        <w:tc>
          <w:tcPr>
            <w:tcW w:w="771" w:type="dxa"/>
            <w:tcBorders>
              <w:top w:val="nil"/>
              <w:left w:val="nil"/>
              <w:bottom w:val="single" w:sz="4" w:space="0" w:color="auto"/>
              <w:right w:val="single" w:sz="4" w:space="0" w:color="auto"/>
            </w:tcBorders>
            <w:noWrap/>
            <w:vAlign w:val="bottom"/>
            <w:hideMark/>
          </w:tcPr>
          <w:p w14:paraId="7EFA056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874" w:type="dxa"/>
            <w:tcBorders>
              <w:top w:val="nil"/>
              <w:left w:val="nil"/>
              <w:bottom w:val="single" w:sz="4" w:space="0" w:color="auto"/>
              <w:right w:val="single" w:sz="4" w:space="0" w:color="auto"/>
            </w:tcBorders>
            <w:noWrap/>
            <w:vAlign w:val="bottom"/>
            <w:hideMark/>
          </w:tcPr>
          <w:p w14:paraId="58AF60F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16,56</w:t>
            </w:r>
          </w:p>
        </w:tc>
        <w:tc>
          <w:tcPr>
            <w:tcW w:w="965" w:type="dxa"/>
            <w:tcBorders>
              <w:top w:val="nil"/>
              <w:left w:val="nil"/>
              <w:bottom w:val="single" w:sz="4" w:space="0" w:color="auto"/>
              <w:right w:val="single" w:sz="4" w:space="0" w:color="auto"/>
            </w:tcBorders>
            <w:noWrap/>
            <w:vAlign w:val="bottom"/>
            <w:hideMark/>
          </w:tcPr>
          <w:p w14:paraId="5B26F3D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55" w:type="dxa"/>
            <w:tcBorders>
              <w:top w:val="nil"/>
              <w:left w:val="nil"/>
              <w:bottom w:val="single" w:sz="4" w:space="0" w:color="auto"/>
              <w:right w:val="single" w:sz="4" w:space="0" w:color="auto"/>
            </w:tcBorders>
            <w:noWrap/>
            <w:vAlign w:val="bottom"/>
            <w:hideMark/>
          </w:tcPr>
          <w:p w14:paraId="006637D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1D1BDE8E" w14:textId="1312DFCF" w:rsidR="008A6AF7" w:rsidRPr="008A6AF7" w:rsidRDefault="008A6AF7" w:rsidP="00276893">
      <w:pPr>
        <w:pStyle w:val="Descripcin"/>
        <w:keepNext/>
        <w:spacing w:before="360"/>
        <w:rPr>
          <w:rFonts w:eastAsiaTheme="majorEastAsia" w:cs="Times New Roman"/>
          <w:i w:val="0"/>
          <w:iCs w:val="0"/>
          <w:color w:val="auto"/>
          <w:sz w:val="24"/>
          <w:szCs w:val="28"/>
          <w:lang w:val="es-ES" w:eastAsia="en-US"/>
        </w:rPr>
      </w:pPr>
      <w:bookmarkStart w:id="2142" w:name="_Toc79314157"/>
      <w:bookmarkStart w:id="2143" w:name="_Toc72706428"/>
      <w:bookmarkStart w:id="2144" w:name="_Toc72741378"/>
      <w:bookmarkStart w:id="2145" w:name="_Toc72742176"/>
      <w:r w:rsidRPr="008A6AF7">
        <w:rPr>
          <w:rFonts w:eastAsiaTheme="majorEastAsia" w:cs="Times New Roman"/>
          <w:b/>
          <w:i w:val="0"/>
          <w:iCs w:val="0"/>
          <w:color w:val="auto"/>
          <w:sz w:val="24"/>
          <w:szCs w:val="28"/>
          <w:lang w:val="es-ES" w:eastAsia="en-US"/>
        </w:rPr>
        <w:t xml:space="preserve">Cuadro </w:t>
      </w:r>
      <w:r w:rsidRPr="008A6AF7">
        <w:rPr>
          <w:rFonts w:eastAsiaTheme="majorEastAsia" w:cs="Times New Roman"/>
          <w:b/>
          <w:i w:val="0"/>
          <w:iCs w:val="0"/>
          <w:color w:val="auto"/>
          <w:sz w:val="24"/>
          <w:szCs w:val="28"/>
          <w:lang w:val="es-ES" w:eastAsia="en-US"/>
        </w:rPr>
        <w:fldChar w:fldCharType="begin"/>
      </w:r>
      <w:r w:rsidRPr="008A6AF7">
        <w:rPr>
          <w:rFonts w:eastAsiaTheme="majorEastAsia" w:cs="Times New Roman"/>
          <w:b/>
          <w:i w:val="0"/>
          <w:iCs w:val="0"/>
          <w:color w:val="auto"/>
          <w:sz w:val="24"/>
          <w:szCs w:val="28"/>
          <w:lang w:val="es-ES" w:eastAsia="en-US"/>
        </w:rPr>
        <w:instrText xml:space="preserve"> SEQ Cuadro \* ARABIC </w:instrText>
      </w:r>
      <w:r w:rsidRPr="008A6AF7">
        <w:rPr>
          <w:rFonts w:eastAsiaTheme="majorEastAsia" w:cs="Times New Roman"/>
          <w:b/>
          <w:i w:val="0"/>
          <w:iCs w:val="0"/>
          <w:color w:val="auto"/>
          <w:sz w:val="24"/>
          <w:szCs w:val="28"/>
          <w:lang w:val="es-ES" w:eastAsia="en-US"/>
        </w:rPr>
        <w:fldChar w:fldCharType="separate"/>
      </w:r>
      <w:r w:rsidR="000D1F55">
        <w:rPr>
          <w:rFonts w:eastAsiaTheme="majorEastAsia" w:cs="Times New Roman"/>
          <w:b/>
          <w:i w:val="0"/>
          <w:iCs w:val="0"/>
          <w:noProof/>
          <w:color w:val="auto"/>
          <w:sz w:val="24"/>
          <w:szCs w:val="28"/>
          <w:lang w:val="es-ES" w:eastAsia="en-US"/>
        </w:rPr>
        <w:t>165</w:t>
      </w:r>
      <w:r w:rsidRPr="008A6AF7">
        <w:rPr>
          <w:rFonts w:eastAsiaTheme="majorEastAsia" w:cs="Times New Roman"/>
          <w:b/>
          <w:i w:val="0"/>
          <w:iCs w:val="0"/>
          <w:color w:val="auto"/>
          <w:sz w:val="24"/>
          <w:szCs w:val="28"/>
          <w:lang w:val="es-ES" w:eastAsia="en-US"/>
        </w:rPr>
        <w:fldChar w:fldCharType="end"/>
      </w:r>
      <w:r w:rsidRPr="008A6AF7">
        <w:rPr>
          <w:rFonts w:eastAsiaTheme="majorEastAsia" w:cs="Times New Roman"/>
          <w:b/>
          <w:i w:val="0"/>
          <w:iCs w:val="0"/>
          <w:color w:val="auto"/>
          <w:sz w:val="24"/>
          <w:szCs w:val="28"/>
          <w:lang w:val="es-ES" w:eastAsia="en-US"/>
        </w:rPr>
        <w:t>.</w:t>
      </w:r>
      <w:r w:rsidRPr="008A6AF7">
        <w:rPr>
          <w:rFonts w:eastAsiaTheme="majorEastAsia" w:cs="Times New Roman"/>
          <w:i w:val="0"/>
          <w:iCs w:val="0"/>
          <w:color w:val="auto"/>
          <w:sz w:val="24"/>
          <w:szCs w:val="28"/>
          <w:lang w:val="es-ES" w:eastAsia="en-US"/>
        </w:rPr>
        <w:t xml:space="preserve"> Absorción total de potasio en plantas de maíz suave para diversas dosis de fosforo evaluado en las provincias de Bolívar, Chimborazo, Imbabura 2006-2015.</w:t>
      </w:r>
      <w:bookmarkEnd w:id="2142"/>
    </w:p>
    <w:tbl>
      <w:tblPr>
        <w:tblW w:w="5267" w:type="dxa"/>
        <w:jc w:val="center"/>
        <w:tblCellMar>
          <w:left w:w="70" w:type="dxa"/>
          <w:right w:w="70" w:type="dxa"/>
        </w:tblCellMar>
        <w:tblLook w:val="04A0" w:firstRow="1" w:lastRow="0" w:firstColumn="1" w:lastColumn="0" w:noHBand="0" w:noVBand="1"/>
      </w:tblPr>
      <w:tblGrid>
        <w:gridCol w:w="1980"/>
        <w:gridCol w:w="887"/>
        <w:gridCol w:w="672"/>
        <w:gridCol w:w="1728"/>
      </w:tblGrid>
      <w:tr w:rsidR="00C82BCC" w14:paraId="76731186" w14:textId="77777777" w:rsidTr="007A6629">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bookmarkEnd w:id="2143"/>
          <w:bookmarkEnd w:id="2144"/>
          <w:bookmarkEnd w:id="2145"/>
          <w:p w14:paraId="0A6A0434"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202FF6B7"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6B1895D2"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2938787D"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78F0E59C" w14:textId="77777777" w:rsidTr="007A6629">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77431C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7FA6489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90,44</w:t>
            </w:r>
          </w:p>
        </w:tc>
        <w:tc>
          <w:tcPr>
            <w:tcW w:w="672" w:type="dxa"/>
            <w:tcBorders>
              <w:top w:val="nil"/>
              <w:left w:val="nil"/>
              <w:bottom w:val="single" w:sz="4" w:space="0" w:color="auto"/>
              <w:right w:val="single" w:sz="4" w:space="0" w:color="auto"/>
            </w:tcBorders>
            <w:noWrap/>
            <w:vAlign w:val="bottom"/>
            <w:hideMark/>
          </w:tcPr>
          <w:p w14:paraId="293B32D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728" w:type="dxa"/>
            <w:tcBorders>
              <w:top w:val="nil"/>
              <w:left w:val="nil"/>
              <w:bottom w:val="single" w:sz="4" w:space="0" w:color="auto"/>
              <w:right w:val="single" w:sz="4" w:space="0" w:color="auto"/>
            </w:tcBorders>
            <w:noWrap/>
            <w:vAlign w:val="bottom"/>
            <w:hideMark/>
          </w:tcPr>
          <w:p w14:paraId="5F19B99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10,82</w:t>
            </w:r>
          </w:p>
        </w:tc>
      </w:tr>
      <w:tr w:rsidR="00C82BCC" w14:paraId="3513C667" w14:textId="77777777" w:rsidTr="007A6629">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CA58E2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87" w:type="dxa"/>
            <w:tcBorders>
              <w:top w:val="nil"/>
              <w:left w:val="nil"/>
              <w:bottom w:val="single" w:sz="4" w:space="0" w:color="auto"/>
              <w:right w:val="single" w:sz="4" w:space="0" w:color="auto"/>
            </w:tcBorders>
            <w:noWrap/>
            <w:vAlign w:val="bottom"/>
            <w:hideMark/>
          </w:tcPr>
          <w:p w14:paraId="064A569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100,17</w:t>
            </w:r>
          </w:p>
        </w:tc>
        <w:tc>
          <w:tcPr>
            <w:tcW w:w="672" w:type="dxa"/>
            <w:tcBorders>
              <w:top w:val="nil"/>
              <w:left w:val="nil"/>
              <w:bottom w:val="single" w:sz="4" w:space="0" w:color="auto"/>
              <w:right w:val="single" w:sz="4" w:space="0" w:color="auto"/>
            </w:tcBorders>
            <w:noWrap/>
            <w:vAlign w:val="bottom"/>
            <w:hideMark/>
          </w:tcPr>
          <w:p w14:paraId="6CE8A71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345ED4B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48,19</w:t>
            </w:r>
          </w:p>
        </w:tc>
      </w:tr>
      <w:tr w:rsidR="00C82BCC" w14:paraId="5608C7FC" w14:textId="77777777" w:rsidTr="007A6629">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2AF274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24836C3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104,23</w:t>
            </w:r>
          </w:p>
        </w:tc>
        <w:tc>
          <w:tcPr>
            <w:tcW w:w="672" w:type="dxa"/>
            <w:tcBorders>
              <w:top w:val="nil"/>
              <w:left w:val="nil"/>
              <w:bottom w:val="single" w:sz="4" w:space="0" w:color="auto"/>
              <w:right w:val="single" w:sz="4" w:space="0" w:color="auto"/>
            </w:tcBorders>
            <w:noWrap/>
            <w:vAlign w:val="bottom"/>
            <w:hideMark/>
          </w:tcPr>
          <w:p w14:paraId="60DA8EF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w:t>
            </w:r>
          </w:p>
        </w:tc>
        <w:tc>
          <w:tcPr>
            <w:tcW w:w="1728" w:type="dxa"/>
            <w:tcBorders>
              <w:top w:val="nil"/>
              <w:left w:val="nil"/>
              <w:bottom w:val="single" w:sz="4" w:space="0" w:color="auto"/>
              <w:right w:val="single" w:sz="4" w:space="0" w:color="auto"/>
            </w:tcBorders>
            <w:noWrap/>
            <w:vAlign w:val="bottom"/>
            <w:hideMark/>
          </w:tcPr>
          <w:p w14:paraId="3BAC24B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6,27</w:t>
            </w:r>
          </w:p>
        </w:tc>
      </w:tr>
      <w:tr w:rsidR="00C82BCC" w14:paraId="43F06A2E" w14:textId="77777777" w:rsidTr="007A6629">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29ECEA0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w:t>
            </w:r>
          </w:p>
        </w:tc>
        <w:tc>
          <w:tcPr>
            <w:tcW w:w="887" w:type="dxa"/>
            <w:tcBorders>
              <w:top w:val="nil"/>
              <w:left w:val="nil"/>
              <w:bottom w:val="single" w:sz="4" w:space="0" w:color="auto"/>
              <w:right w:val="single" w:sz="4" w:space="0" w:color="auto"/>
            </w:tcBorders>
            <w:noWrap/>
            <w:vAlign w:val="bottom"/>
            <w:hideMark/>
          </w:tcPr>
          <w:p w14:paraId="00DB2CC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113,12</w:t>
            </w:r>
          </w:p>
        </w:tc>
        <w:tc>
          <w:tcPr>
            <w:tcW w:w="672" w:type="dxa"/>
            <w:tcBorders>
              <w:top w:val="nil"/>
              <w:left w:val="nil"/>
              <w:bottom w:val="single" w:sz="4" w:space="0" w:color="auto"/>
              <w:right w:val="single" w:sz="4" w:space="0" w:color="auto"/>
            </w:tcBorders>
            <w:noWrap/>
            <w:vAlign w:val="bottom"/>
            <w:hideMark/>
          </w:tcPr>
          <w:p w14:paraId="7352333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w:t>
            </w:r>
          </w:p>
        </w:tc>
        <w:tc>
          <w:tcPr>
            <w:tcW w:w="1728" w:type="dxa"/>
            <w:tcBorders>
              <w:top w:val="nil"/>
              <w:left w:val="nil"/>
              <w:bottom w:val="single" w:sz="4" w:space="0" w:color="auto"/>
              <w:right w:val="single" w:sz="4" w:space="0" w:color="auto"/>
            </w:tcBorders>
            <w:noWrap/>
            <w:vAlign w:val="bottom"/>
            <w:hideMark/>
          </w:tcPr>
          <w:p w14:paraId="338301F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9,51</w:t>
            </w:r>
          </w:p>
        </w:tc>
      </w:tr>
      <w:tr w:rsidR="00C82BCC" w14:paraId="32F5D0F5" w14:textId="77777777" w:rsidTr="007A6629">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92638A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4A59607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117,43</w:t>
            </w:r>
          </w:p>
        </w:tc>
        <w:tc>
          <w:tcPr>
            <w:tcW w:w="672" w:type="dxa"/>
            <w:tcBorders>
              <w:top w:val="nil"/>
              <w:left w:val="nil"/>
              <w:bottom w:val="single" w:sz="4" w:space="0" w:color="auto"/>
              <w:right w:val="single" w:sz="4" w:space="0" w:color="auto"/>
            </w:tcBorders>
            <w:noWrap/>
            <w:vAlign w:val="bottom"/>
            <w:hideMark/>
          </w:tcPr>
          <w:p w14:paraId="61D6E62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728" w:type="dxa"/>
            <w:tcBorders>
              <w:top w:val="nil"/>
              <w:left w:val="nil"/>
              <w:bottom w:val="single" w:sz="4" w:space="0" w:color="auto"/>
              <w:right w:val="single" w:sz="4" w:space="0" w:color="auto"/>
            </w:tcBorders>
            <w:noWrap/>
            <w:vAlign w:val="bottom"/>
            <w:hideMark/>
          </w:tcPr>
          <w:p w14:paraId="0C47A0F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12,39</w:t>
            </w:r>
          </w:p>
        </w:tc>
      </w:tr>
      <w:tr w:rsidR="00C82BCC" w14:paraId="36D7609B" w14:textId="77777777" w:rsidTr="007A6629">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B5E229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0560ED2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123,97</w:t>
            </w:r>
          </w:p>
        </w:tc>
        <w:tc>
          <w:tcPr>
            <w:tcW w:w="672" w:type="dxa"/>
            <w:tcBorders>
              <w:top w:val="nil"/>
              <w:left w:val="nil"/>
              <w:bottom w:val="single" w:sz="4" w:space="0" w:color="auto"/>
              <w:right w:val="single" w:sz="4" w:space="0" w:color="auto"/>
            </w:tcBorders>
            <w:noWrap/>
            <w:vAlign w:val="bottom"/>
            <w:hideMark/>
          </w:tcPr>
          <w:p w14:paraId="727751F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w:t>
            </w:r>
          </w:p>
        </w:tc>
        <w:tc>
          <w:tcPr>
            <w:tcW w:w="1728" w:type="dxa"/>
            <w:tcBorders>
              <w:top w:val="nil"/>
              <w:left w:val="nil"/>
              <w:bottom w:val="single" w:sz="4" w:space="0" w:color="auto"/>
              <w:right w:val="single" w:sz="4" w:space="0" w:color="auto"/>
            </w:tcBorders>
            <w:noWrap/>
            <w:vAlign w:val="bottom"/>
            <w:hideMark/>
          </w:tcPr>
          <w:p w14:paraId="668FD47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6,42</w:t>
            </w:r>
          </w:p>
        </w:tc>
      </w:tr>
      <w:tr w:rsidR="00C82BCC" w14:paraId="0148B784" w14:textId="77777777" w:rsidTr="007A6629">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FA1DFB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000F6AC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145,75</w:t>
            </w:r>
          </w:p>
        </w:tc>
        <w:tc>
          <w:tcPr>
            <w:tcW w:w="672" w:type="dxa"/>
            <w:tcBorders>
              <w:top w:val="nil"/>
              <w:left w:val="nil"/>
              <w:bottom w:val="single" w:sz="4" w:space="0" w:color="auto"/>
              <w:right w:val="single" w:sz="4" w:space="0" w:color="auto"/>
            </w:tcBorders>
            <w:noWrap/>
            <w:vAlign w:val="bottom"/>
            <w:hideMark/>
          </w:tcPr>
          <w:p w14:paraId="6A8060A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noWrap/>
            <w:vAlign w:val="bottom"/>
            <w:hideMark/>
          </w:tcPr>
          <w:p w14:paraId="5A0808D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22,15</w:t>
            </w:r>
          </w:p>
        </w:tc>
      </w:tr>
      <w:tr w:rsidR="00C82BCC" w14:paraId="27BE949D" w14:textId="77777777" w:rsidTr="007A6629">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DB5036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887" w:type="dxa"/>
            <w:tcBorders>
              <w:top w:val="nil"/>
              <w:left w:val="nil"/>
              <w:bottom w:val="single" w:sz="4" w:space="0" w:color="auto"/>
              <w:right w:val="single" w:sz="4" w:space="0" w:color="auto"/>
            </w:tcBorders>
            <w:noWrap/>
            <w:vAlign w:val="bottom"/>
            <w:hideMark/>
          </w:tcPr>
          <w:p w14:paraId="044FF54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287,12</w:t>
            </w:r>
          </w:p>
        </w:tc>
        <w:tc>
          <w:tcPr>
            <w:tcW w:w="672" w:type="dxa"/>
            <w:tcBorders>
              <w:top w:val="nil"/>
              <w:left w:val="nil"/>
              <w:bottom w:val="single" w:sz="4" w:space="0" w:color="auto"/>
              <w:right w:val="single" w:sz="4" w:space="0" w:color="auto"/>
            </w:tcBorders>
            <w:noWrap/>
            <w:vAlign w:val="bottom"/>
            <w:hideMark/>
          </w:tcPr>
          <w:p w14:paraId="0A80D9C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8" w:type="dxa"/>
            <w:tcBorders>
              <w:top w:val="nil"/>
              <w:left w:val="nil"/>
              <w:bottom w:val="single" w:sz="4" w:space="0" w:color="auto"/>
              <w:right w:val="single" w:sz="4" w:space="0" w:color="auto"/>
            </w:tcBorders>
            <w:noWrap/>
            <w:vAlign w:val="bottom"/>
            <w:hideMark/>
          </w:tcPr>
          <w:p w14:paraId="0C2FFB0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48,19</w:t>
            </w:r>
          </w:p>
        </w:tc>
      </w:tr>
    </w:tbl>
    <w:p w14:paraId="555806AD" w14:textId="77777777" w:rsidR="00C82BCC" w:rsidRDefault="00C82BCC" w:rsidP="00C82BCC">
      <w:pPr>
        <w:autoSpaceDE w:val="0"/>
        <w:autoSpaceDN w:val="0"/>
        <w:adjustRightInd w:val="0"/>
        <w:spacing w:after="0" w:line="360" w:lineRule="auto"/>
        <w:rPr>
          <w:rFonts w:cs="Times New Roman"/>
          <w:szCs w:val="24"/>
        </w:rPr>
      </w:pPr>
    </w:p>
    <w:p w14:paraId="2AACC94A" w14:textId="152F3868" w:rsidR="008A6AF7" w:rsidRPr="008A6AF7" w:rsidRDefault="008A6AF7" w:rsidP="008A6AF7">
      <w:pPr>
        <w:pStyle w:val="Descripcin"/>
        <w:keepNext/>
        <w:rPr>
          <w:rFonts w:eastAsiaTheme="majorEastAsia" w:cs="Times New Roman"/>
          <w:i w:val="0"/>
          <w:iCs w:val="0"/>
          <w:color w:val="auto"/>
          <w:sz w:val="24"/>
          <w:szCs w:val="28"/>
          <w:lang w:val="es-ES" w:eastAsia="en-US"/>
        </w:rPr>
      </w:pPr>
      <w:bookmarkStart w:id="2146" w:name="_Toc79314158"/>
      <w:r w:rsidRPr="008A6AF7">
        <w:rPr>
          <w:rFonts w:eastAsiaTheme="majorEastAsia" w:cs="Times New Roman"/>
          <w:b/>
          <w:i w:val="0"/>
          <w:iCs w:val="0"/>
          <w:color w:val="auto"/>
          <w:sz w:val="24"/>
          <w:szCs w:val="28"/>
          <w:lang w:val="es-ES" w:eastAsia="en-US"/>
        </w:rPr>
        <w:lastRenderedPageBreak/>
        <w:t xml:space="preserve">Cuadro </w:t>
      </w:r>
      <w:r w:rsidRPr="008A6AF7">
        <w:rPr>
          <w:rFonts w:eastAsiaTheme="majorEastAsia" w:cs="Times New Roman"/>
          <w:b/>
          <w:i w:val="0"/>
          <w:iCs w:val="0"/>
          <w:color w:val="auto"/>
          <w:sz w:val="24"/>
          <w:szCs w:val="28"/>
          <w:lang w:val="es-ES" w:eastAsia="en-US"/>
        </w:rPr>
        <w:fldChar w:fldCharType="begin"/>
      </w:r>
      <w:r w:rsidRPr="008A6AF7">
        <w:rPr>
          <w:rFonts w:eastAsiaTheme="majorEastAsia" w:cs="Times New Roman"/>
          <w:b/>
          <w:i w:val="0"/>
          <w:iCs w:val="0"/>
          <w:color w:val="auto"/>
          <w:sz w:val="24"/>
          <w:szCs w:val="28"/>
          <w:lang w:val="es-ES" w:eastAsia="en-US"/>
        </w:rPr>
        <w:instrText xml:space="preserve"> SEQ Cuadro \* ARABIC </w:instrText>
      </w:r>
      <w:r w:rsidRPr="008A6AF7">
        <w:rPr>
          <w:rFonts w:eastAsiaTheme="majorEastAsia" w:cs="Times New Roman"/>
          <w:b/>
          <w:i w:val="0"/>
          <w:iCs w:val="0"/>
          <w:color w:val="auto"/>
          <w:sz w:val="24"/>
          <w:szCs w:val="28"/>
          <w:lang w:val="es-ES" w:eastAsia="en-US"/>
        </w:rPr>
        <w:fldChar w:fldCharType="separate"/>
      </w:r>
      <w:r w:rsidR="000D1F55">
        <w:rPr>
          <w:rFonts w:eastAsiaTheme="majorEastAsia" w:cs="Times New Roman"/>
          <w:b/>
          <w:i w:val="0"/>
          <w:iCs w:val="0"/>
          <w:noProof/>
          <w:color w:val="auto"/>
          <w:sz w:val="24"/>
          <w:szCs w:val="28"/>
          <w:lang w:val="es-ES" w:eastAsia="en-US"/>
        </w:rPr>
        <w:t>166</w:t>
      </w:r>
      <w:r w:rsidRPr="008A6AF7">
        <w:rPr>
          <w:rFonts w:eastAsiaTheme="majorEastAsia" w:cs="Times New Roman"/>
          <w:b/>
          <w:i w:val="0"/>
          <w:iCs w:val="0"/>
          <w:color w:val="auto"/>
          <w:sz w:val="24"/>
          <w:szCs w:val="28"/>
          <w:lang w:val="es-ES" w:eastAsia="en-US"/>
        </w:rPr>
        <w:fldChar w:fldCharType="end"/>
      </w:r>
      <w:r w:rsidRPr="008A6AF7">
        <w:rPr>
          <w:rFonts w:eastAsiaTheme="majorEastAsia" w:cs="Times New Roman"/>
          <w:b/>
          <w:i w:val="0"/>
          <w:iCs w:val="0"/>
          <w:color w:val="auto"/>
          <w:sz w:val="24"/>
          <w:szCs w:val="28"/>
          <w:lang w:val="es-ES" w:eastAsia="en-US"/>
        </w:rPr>
        <w:t xml:space="preserve">. </w:t>
      </w:r>
      <w:r w:rsidRPr="008A6AF7">
        <w:rPr>
          <w:rFonts w:eastAsiaTheme="majorEastAsia" w:cs="Times New Roman"/>
          <w:i w:val="0"/>
          <w:iCs w:val="0"/>
          <w:color w:val="auto"/>
          <w:sz w:val="24"/>
          <w:szCs w:val="28"/>
          <w:lang w:val="es-ES" w:eastAsia="en-US"/>
        </w:rPr>
        <w:t>Absorción total de potasio en plantas de maíz suave para diversas dosis de potasio evaluado en las provincias de Bolívar, Chimborazo, Imbabura 2006-2015.</w:t>
      </w:r>
      <w:bookmarkEnd w:id="2146"/>
    </w:p>
    <w:tbl>
      <w:tblPr>
        <w:tblStyle w:val="Tablaconcuadrcula"/>
        <w:tblW w:w="4398" w:type="pct"/>
        <w:jc w:val="center"/>
        <w:tblLook w:val="04A0" w:firstRow="1" w:lastRow="0" w:firstColumn="1" w:lastColumn="0" w:noHBand="0" w:noVBand="1"/>
      </w:tblPr>
      <w:tblGrid>
        <w:gridCol w:w="2112"/>
        <w:gridCol w:w="964"/>
        <w:gridCol w:w="462"/>
        <w:gridCol w:w="1805"/>
        <w:gridCol w:w="549"/>
        <w:gridCol w:w="1081"/>
      </w:tblGrid>
      <w:tr w:rsidR="001F710B" w14:paraId="57F5ED3C" w14:textId="77777777" w:rsidTr="00276893">
        <w:trPr>
          <w:trHeight w:val="300"/>
          <w:jc w:val="center"/>
        </w:trPr>
        <w:tc>
          <w:tcPr>
            <w:tcW w:w="1515" w:type="pct"/>
            <w:noWrap/>
            <w:hideMark/>
          </w:tcPr>
          <w:p w14:paraId="1132B243" w14:textId="77777777" w:rsidR="001F710B" w:rsidRDefault="001F710B" w:rsidP="00276893">
            <w:pPr>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691" w:type="pct"/>
            <w:noWrap/>
            <w:hideMark/>
          </w:tcPr>
          <w:p w14:paraId="60ED7FDE" w14:textId="77777777" w:rsidR="001F710B" w:rsidRDefault="001F710B" w:rsidP="00276893">
            <w:pPr>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331" w:type="pct"/>
            <w:noWrap/>
            <w:hideMark/>
          </w:tcPr>
          <w:p w14:paraId="124F4516" w14:textId="77777777" w:rsidR="001F710B" w:rsidRDefault="001F710B" w:rsidP="00276893">
            <w:pPr>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294" w:type="pct"/>
            <w:noWrap/>
            <w:hideMark/>
          </w:tcPr>
          <w:p w14:paraId="061A23E1" w14:textId="77777777" w:rsidR="001F710B" w:rsidRDefault="001F710B" w:rsidP="00276893">
            <w:pPr>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169" w:type="pct"/>
            <w:gridSpan w:val="2"/>
            <w:noWrap/>
            <w:hideMark/>
          </w:tcPr>
          <w:p w14:paraId="113934C7" w14:textId="4BB0BC0F" w:rsidR="001F710B" w:rsidRDefault="001F710B" w:rsidP="00276893">
            <w:pPr>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Lsd 0,05   </w:t>
            </w:r>
          </w:p>
        </w:tc>
      </w:tr>
      <w:tr w:rsidR="001F710B" w14:paraId="1DF09904" w14:textId="77777777" w:rsidTr="00276893">
        <w:trPr>
          <w:trHeight w:val="300"/>
          <w:jc w:val="center"/>
        </w:trPr>
        <w:tc>
          <w:tcPr>
            <w:tcW w:w="1515" w:type="pct"/>
            <w:noWrap/>
            <w:hideMark/>
          </w:tcPr>
          <w:p w14:paraId="109B04DF"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691" w:type="pct"/>
            <w:noWrap/>
            <w:hideMark/>
          </w:tcPr>
          <w:p w14:paraId="26168BF8"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81,17</w:t>
            </w:r>
          </w:p>
        </w:tc>
        <w:tc>
          <w:tcPr>
            <w:tcW w:w="331" w:type="pct"/>
            <w:noWrap/>
            <w:hideMark/>
          </w:tcPr>
          <w:p w14:paraId="4A048255"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294" w:type="pct"/>
            <w:noWrap/>
            <w:hideMark/>
          </w:tcPr>
          <w:p w14:paraId="2A08DD88"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14</w:t>
            </w:r>
          </w:p>
        </w:tc>
        <w:tc>
          <w:tcPr>
            <w:tcW w:w="394" w:type="pct"/>
            <w:noWrap/>
            <w:hideMark/>
          </w:tcPr>
          <w:p w14:paraId="31277E67"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775" w:type="pct"/>
            <w:noWrap/>
            <w:hideMark/>
          </w:tcPr>
          <w:p w14:paraId="532900A5"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1F710B" w14:paraId="47E87101" w14:textId="77777777" w:rsidTr="00276893">
        <w:trPr>
          <w:trHeight w:val="300"/>
          <w:jc w:val="center"/>
        </w:trPr>
        <w:tc>
          <w:tcPr>
            <w:tcW w:w="1515" w:type="pct"/>
            <w:noWrap/>
            <w:hideMark/>
          </w:tcPr>
          <w:p w14:paraId="322B005A"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691" w:type="pct"/>
            <w:noWrap/>
            <w:hideMark/>
          </w:tcPr>
          <w:p w14:paraId="36B944A1"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98</w:t>
            </w:r>
          </w:p>
        </w:tc>
        <w:tc>
          <w:tcPr>
            <w:tcW w:w="331" w:type="pct"/>
            <w:noWrap/>
            <w:hideMark/>
          </w:tcPr>
          <w:p w14:paraId="7C8A9659"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55</w:t>
            </w:r>
          </w:p>
        </w:tc>
        <w:tc>
          <w:tcPr>
            <w:tcW w:w="1294" w:type="pct"/>
            <w:noWrap/>
            <w:hideMark/>
          </w:tcPr>
          <w:p w14:paraId="6BB6C792"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12,23</w:t>
            </w:r>
          </w:p>
        </w:tc>
        <w:tc>
          <w:tcPr>
            <w:tcW w:w="394" w:type="pct"/>
            <w:noWrap/>
            <w:hideMark/>
          </w:tcPr>
          <w:p w14:paraId="5E1313F7"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775" w:type="pct"/>
            <w:noWrap/>
            <w:hideMark/>
          </w:tcPr>
          <w:p w14:paraId="1CF1C22D"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1F710B" w14:paraId="018ACFF2" w14:textId="77777777" w:rsidTr="00276893">
        <w:trPr>
          <w:trHeight w:val="300"/>
          <w:jc w:val="center"/>
        </w:trPr>
        <w:tc>
          <w:tcPr>
            <w:tcW w:w="1515" w:type="pct"/>
            <w:noWrap/>
            <w:hideMark/>
          </w:tcPr>
          <w:p w14:paraId="3B441BF7"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691" w:type="pct"/>
            <w:noWrap/>
            <w:hideMark/>
          </w:tcPr>
          <w:p w14:paraId="3EF1B317"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100,17</w:t>
            </w:r>
          </w:p>
        </w:tc>
        <w:tc>
          <w:tcPr>
            <w:tcW w:w="331" w:type="pct"/>
            <w:noWrap/>
            <w:hideMark/>
          </w:tcPr>
          <w:p w14:paraId="59704375"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294" w:type="pct"/>
            <w:noWrap/>
            <w:hideMark/>
          </w:tcPr>
          <w:p w14:paraId="42D8D1FF"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48,19</w:t>
            </w:r>
          </w:p>
        </w:tc>
        <w:tc>
          <w:tcPr>
            <w:tcW w:w="394" w:type="pct"/>
            <w:noWrap/>
            <w:hideMark/>
          </w:tcPr>
          <w:p w14:paraId="12FCEC18"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775" w:type="pct"/>
            <w:noWrap/>
            <w:hideMark/>
          </w:tcPr>
          <w:p w14:paraId="0BFA2100"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1F710B" w14:paraId="2F767F44" w14:textId="77777777" w:rsidTr="00276893">
        <w:trPr>
          <w:trHeight w:val="300"/>
          <w:jc w:val="center"/>
        </w:trPr>
        <w:tc>
          <w:tcPr>
            <w:tcW w:w="1515" w:type="pct"/>
            <w:noWrap/>
            <w:hideMark/>
          </w:tcPr>
          <w:p w14:paraId="455827B1"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691" w:type="pct"/>
            <w:noWrap/>
            <w:hideMark/>
          </w:tcPr>
          <w:p w14:paraId="61F794A8"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101,83</w:t>
            </w:r>
          </w:p>
        </w:tc>
        <w:tc>
          <w:tcPr>
            <w:tcW w:w="331" w:type="pct"/>
            <w:noWrap/>
            <w:hideMark/>
          </w:tcPr>
          <w:p w14:paraId="720ED0C9"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294" w:type="pct"/>
            <w:noWrap/>
            <w:hideMark/>
          </w:tcPr>
          <w:p w14:paraId="3D6CB478"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6,65</w:t>
            </w:r>
          </w:p>
        </w:tc>
        <w:tc>
          <w:tcPr>
            <w:tcW w:w="394" w:type="pct"/>
            <w:noWrap/>
            <w:hideMark/>
          </w:tcPr>
          <w:p w14:paraId="0E542668"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775" w:type="pct"/>
            <w:noWrap/>
            <w:hideMark/>
          </w:tcPr>
          <w:p w14:paraId="4D5209D8"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1F710B" w14:paraId="13AB3ECF" w14:textId="77777777" w:rsidTr="00276893">
        <w:trPr>
          <w:trHeight w:val="300"/>
          <w:jc w:val="center"/>
        </w:trPr>
        <w:tc>
          <w:tcPr>
            <w:tcW w:w="1515" w:type="pct"/>
            <w:noWrap/>
            <w:hideMark/>
          </w:tcPr>
          <w:p w14:paraId="6FFD2B97"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691" w:type="pct"/>
            <w:noWrap/>
            <w:hideMark/>
          </w:tcPr>
          <w:p w14:paraId="5E7E4287"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115,44</w:t>
            </w:r>
          </w:p>
        </w:tc>
        <w:tc>
          <w:tcPr>
            <w:tcW w:w="331" w:type="pct"/>
            <w:noWrap/>
            <w:hideMark/>
          </w:tcPr>
          <w:p w14:paraId="2CCB2CDB"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294" w:type="pct"/>
            <w:noWrap/>
            <w:hideMark/>
          </w:tcPr>
          <w:p w14:paraId="0984920C"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19,68</w:t>
            </w:r>
          </w:p>
        </w:tc>
        <w:tc>
          <w:tcPr>
            <w:tcW w:w="394" w:type="pct"/>
            <w:noWrap/>
            <w:hideMark/>
          </w:tcPr>
          <w:p w14:paraId="3DE38A96"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775" w:type="pct"/>
            <w:noWrap/>
            <w:hideMark/>
          </w:tcPr>
          <w:p w14:paraId="5D48671F"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1F710B" w14:paraId="576EEE74" w14:textId="77777777" w:rsidTr="00276893">
        <w:trPr>
          <w:trHeight w:val="300"/>
          <w:jc w:val="center"/>
        </w:trPr>
        <w:tc>
          <w:tcPr>
            <w:tcW w:w="1515" w:type="pct"/>
            <w:noWrap/>
            <w:hideMark/>
          </w:tcPr>
          <w:p w14:paraId="2B955A1A"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691" w:type="pct"/>
            <w:noWrap/>
            <w:hideMark/>
          </w:tcPr>
          <w:p w14:paraId="1BAE5530"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127,87</w:t>
            </w:r>
          </w:p>
        </w:tc>
        <w:tc>
          <w:tcPr>
            <w:tcW w:w="331" w:type="pct"/>
            <w:noWrap/>
            <w:hideMark/>
          </w:tcPr>
          <w:p w14:paraId="0A06DFB1"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63</w:t>
            </w:r>
          </w:p>
        </w:tc>
        <w:tc>
          <w:tcPr>
            <w:tcW w:w="1294" w:type="pct"/>
            <w:noWrap/>
            <w:hideMark/>
          </w:tcPr>
          <w:p w14:paraId="44C04731"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7,29</w:t>
            </w:r>
          </w:p>
        </w:tc>
        <w:tc>
          <w:tcPr>
            <w:tcW w:w="394" w:type="pct"/>
            <w:noWrap/>
            <w:hideMark/>
          </w:tcPr>
          <w:p w14:paraId="1F77FDFE"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75" w:type="pct"/>
            <w:noWrap/>
            <w:hideMark/>
          </w:tcPr>
          <w:p w14:paraId="5957AEEC"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1F710B" w14:paraId="7D647AC3" w14:textId="77777777" w:rsidTr="00276893">
        <w:trPr>
          <w:trHeight w:val="300"/>
          <w:jc w:val="center"/>
        </w:trPr>
        <w:tc>
          <w:tcPr>
            <w:tcW w:w="1515" w:type="pct"/>
            <w:noWrap/>
            <w:hideMark/>
          </w:tcPr>
          <w:p w14:paraId="55BEB13B"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691" w:type="pct"/>
            <w:noWrap/>
            <w:hideMark/>
          </w:tcPr>
          <w:p w14:paraId="0FA1FD27"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135,36</w:t>
            </w:r>
          </w:p>
        </w:tc>
        <w:tc>
          <w:tcPr>
            <w:tcW w:w="331" w:type="pct"/>
            <w:noWrap/>
            <w:hideMark/>
          </w:tcPr>
          <w:p w14:paraId="5479770A"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43</w:t>
            </w:r>
          </w:p>
        </w:tc>
        <w:tc>
          <w:tcPr>
            <w:tcW w:w="1294" w:type="pct"/>
            <w:noWrap/>
            <w:hideMark/>
          </w:tcPr>
          <w:p w14:paraId="52D8AB79"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7,86</w:t>
            </w:r>
          </w:p>
        </w:tc>
        <w:tc>
          <w:tcPr>
            <w:tcW w:w="394" w:type="pct"/>
            <w:noWrap/>
            <w:hideMark/>
          </w:tcPr>
          <w:p w14:paraId="5D372FED"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75" w:type="pct"/>
            <w:noWrap/>
            <w:hideMark/>
          </w:tcPr>
          <w:p w14:paraId="29367150" w14:textId="77777777" w:rsidR="001F710B" w:rsidRDefault="001F710B" w:rsidP="00276893">
            <w:pPr>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4835E370" w14:textId="77777777" w:rsidR="00C82BCC" w:rsidRDefault="00C82BCC" w:rsidP="008A6AF7">
      <w:pPr>
        <w:autoSpaceDE w:val="0"/>
        <w:autoSpaceDN w:val="0"/>
        <w:adjustRightInd w:val="0"/>
        <w:spacing w:after="360" w:line="360" w:lineRule="auto"/>
        <w:rPr>
          <w:rFonts w:cs="Times New Roman"/>
          <w:b/>
          <w:bCs/>
          <w:szCs w:val="24"/>
        </w:rPr>
      </w:pPr>
      <w:r>
        <w:rPr>
          <w:rFonts w:cs="Times New Roman"/>
          <w:szCs w:val="24"/>
        </w:rPr>
        <w:t>Medias con una letra común no son significativamente diferentes (p &gt; 0,05)</w:t>
      </w:r>
    </w:p>
    <w:p w14:paraId="754A8793" w14:textId="4332DC14" w:rsidR="008A6AF7" w:rsidRPr="008A6AF7" w:rsidRDefault="008A6AF7" w:rsidP="00276893">
      <w:pPr>
        <w:pStyle w:val="Descripcin"/>
        <w:keepNext/>
        <w:spacing w:before="360"/>
        <w:rPr>
          <w:rFonts w:cs="Times New Roman"/>
          <w:i w:val="0"/>
          <w:iCs w:val="0"/>
          <w:color w:val="auto"/>
          <w:sz w:val="24"/>
          <w:szCs w:val="24"/>
          <w:lang w:eastAsia="en-US"/>
        </w:rPr>
      </w:pPr>
      <w:bookmarkStart w:id="2147" w:name="_Toc79314159"/>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167</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w:t>
      </w:r>
      <w:r w:rsidRPr="008A6AF7">
        <w:rPr>
          <w:rFonts w:cs="Times New Roman"/>
          <w:i w:val="0"/>
          <w:iCs w:val="0"/>
          <w:color w:val="auto"/>
          <w:sz w:val="24"/>
          <w:szCs w:val="24"/>
          <w:lang w:eastAsia="en-US"/>
        </w:rPr>
        <w:t xml:space="preserve"> Absorción total de potasio en plantas de maíz suave para diversas dosis de azufre evaluado en las provincias de Bolívar, Chimborazo, Imbabura 2006-2015. Dosis de Potasio empleada en el ensayo</w:t>
      </w:r>
      <w:bookmarkEnd w:id="2147"/>
    </w:p>
    <w:tbl>
      <w:tblPr>
        <w:tblW w:w="5000" w:type="pct"/>
        <w:tblCellMar>
          <w:left w:w="70" w:type="dxa"/>
          <w:right w:w="70" w:type="dxa"/>
        </w:tblCellMar>
        <w:tblLook w:val="04A0" w:firstRow="1" w:lastRow="0" w:firstColumn="1" w:lastColumn="0" w:noHBand="0" w:noVBand="1"/>
      </w:tblPr>
      <w:tblGrid>
        <w:gridCol w:w="2099"/>
        <w:gridCol w:w="887"/>
        <w:gridCol w:w="634"/>
        <w:gridCol w:w="1953"/>
        <w:gridCol w:w="314"/>
        <w:gridCol w:w="1127"/>
        <w:gridCol w:w="913"/>
      </w:tblGrid>
      <w:tr w:rsidR="00C82BCC" w14:paraId="66372F93" w14:textId="77777777" w:rsidTr="008A6AF7">
        <w:trPr>
          <w:trHeight w:val="300"/>
        </w:trPr>
        <w:tc>
          <w:tcPr>
            <w:tcW w:w="1333" w:type="pct"/>
            <w:tcBorders>
              <w:top w:val="single" w:sz="4" w:space="0" w:color="auto"/>
              <w:left w:val="single" w:sz="4" w:space="0" w:color="auto"/>
              <w:bottom w:val="single" w:sz="4" w:space="0" w:color="auto"/>
              <w:right w:val="single" w:sz="4" w:space="0" w:color="auto"/>
            </w:tcBorders>
            <w:noWrap/>
            <w:vAlign w:val="bottom"/>
            <w:hideMark/>
          </w:tcPr>
          <w:p w14:paraId="33FF3465"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49" w:type="pct"/>
            <w:tcBorders>
              <w:top w:val="single" w:sz="4" w:space="0" w:color="auto"/>
              <w:left w:val="nil"/>
              <w:bottom w:val="single" w:sz="4" w:space="0" w:color="auto"/>
              <w:right w:val="single" w:sz="4" w:space="0" w:color="auto"/>
            </w:tcBorders>
            <w:noWrap/>
            <w:vAlign w:val="bottom"/>
            <w:hideMark/>
          </w:tcPr>
          <w:p w14:paraId="6089DD9B"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408" w:type="pct"/>
            <w:tcBorders>
              <w:top w:val="single" w:sz="4" w:space="0" w:color="auto"/>
              <w:left w:val="nil"/>
              <w:bottom w:val="single" w:sz="4" w:space="0" w:color="auto"/>
              <w:right w:val="single" w:sz="4" w:space="0" w:color="auto"/>
            </w:tcBorders>
            <w:noWrap/>
            <w:vAlign w:val="bottom"/>
            <w:hideMark/>
          </w:tcPr>
          <w:p w14:paraId="24077820"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240" w:type="pct"/>
            <w:tcBorders>
              <w:top w:val="single" w:sz="4" w:space="0" w:color="auto"/>
              <w:left w:val="nil"/>
              <w:bottom w:val="single" w:sz="4" w:space="0" w:color="auto"/>
              <w:right w:val="single" w:sz="4" w:space="0" w:color="auto"/>
            </w:tcBorders>
            <w:noWrap/>
            <w:vAlign w:val="bottom"/>
            <w:hideMark/>
          </w:tcPr>
          <w:p w14:paraId="4D981DEB"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85" w:type="pct"/>
            <w:tcBorders>
              <w:top w:val="single" w:sz="4" w:space="0" w:color="auto"/>
              <w:left w:val="single" w:sz="4" w:space="0" w:color="auto"/>
              <w:bottom w:val="single" w:sz="4" w:space="0" w:color="auto"/>
              <w:right w:val="nil"/>
            </w:tcBorders>
            <w:noWrap/>
            <w:vAlign w:val="bottom"/>
            <w:hideMark/>
          </w:tcPr>
          <w:p w14:paraId="5FC0A659"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c>
          <w:tcPr>
            <w:tcW w:w="701" w:type="pct"/>
            <w:tcBorders>
              <w:top w:val="single" w:sz="4" w:space="0" w:color="auto"/>
              <w:left w:val="nil"/>
              <w:bottom w:val="single" w:sz="4" w:space="0" w:color="auto"/>
              <w:right w:val="nil"/>
            </w:tcBorders>
            <w:noWrap/>
            <w:vAlign w:val="bottom"/>
            <w:hideMark/>
          </w:tcPr>
          <w:p w14:paraId="7CBA8656"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Lsd 0,05</w:t>
            </w:r>
          </w:p>
        </w:tc>
        <w:tc>
          <w:tcPr>
            <w:tcW w:w="584" w:type="pct"/>
            <w:tcBorders>
              <w:top w:val="single" w:sz="4" w:space="0" w:color="auto"/>
              <w:left w:val="nil"/>
              <w:bottom w:val="single" w:sz="4" w:space="0" w:color="auto"/>
              <w:right w:val="single" w:sz="4" w:space="0" w:color="auto"/>
            </w:tcBorders>
            <w:noWrap/>
            <w:vAlign w:val="bottom"/>
            <w:hideMark/>
          </w:tcPr>
          <w:p w14:paraId="1AC08190"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p>
        </w:tc>
      </w:tr>
      <w:tr w:rsidR="00C82BCC" w14:paraId="68EE2704" w14:textId="77777777" w:rsidTr="008A6AF7">
        <w:trPr>
          <w:trHeight w:val="300"/>
        </w:trPr>
        <w:tc>
          <w:tcPr>
            <w:tcW w:w="1333" w:type="pct"/>
            <w:tcBorders>
              <w:top w:val="nil"/>
              <w:left w:val="single" w:sz="4" w:space="0" w:color="auto"/>
              <w:bottom w:val="single" w:sz="4" w:space="0" w:color="auto"/>
              <w:right w:val="single" w:sz="4" w:space="0" w:color="auto"/>
            </w:tcBorders>
            <w:noWrap/>
            <w:vAlign w:val="bottom"/>
            <w:hideMark/>
          </w:tcPr>
          <w:p w14:paraId="6E29186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549" w:type="pct"/>
            <w:tcBorders>
              <w:top w:val="nil"/>
              <w:left w:val="nil"/>
              <w:bottom w:val="single" w:sz="4" w:space="0" w:color="auto"/>
              <w:right w:val="single" w:sz="4" w:space="0" w:color="auto"/>
            </w:tcBorders>
            <w:noWrap/>
            <w:vAlign w:val="bottom"/>
            <w:hideMark/>
          </w:tcPr>
          <w:p w14:paraId="399B21B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46,63</w:t>
            </w:r>
          </w:p>
        </w:tc>
        <w:tc>
          <w:tcPr>
            <w:tcW w:w="408" w:type="pct"/>
            <w:tcBorders>
              <w:top w:val="nil"/>
              <w:left w:val="nil"/>
              <w:bottom w:val="single" w:sz="4" w:space="0" w:color="auto"/>
              <w:right w:val="single" w:sz="4" w:space="0" w:color="auto"/>
            </w:tcBorders>
            <w:noWrap/>
            <w:vAlign w:val="bottom"/>
            <w:hideMark/>
          </w:tcPr>
          <w:p w14:paraId="0F69E0D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240" w:type="pct"/>
            <w:tcBorders>
              <w:top w:val="nil"/>
              <w:left w:val="nil"/>
              <w:bottom w:val="single" w:sz="4" w:space="0" w:color="auto"/>
              <w:right w:val="single" w:sz="4" w:space="0" w:color="auto"/>
            </w:tcBorders>
            <w:noWrap/>
            <w:vAlign w:val="bottom"/>
            <w:hideMark/>
          </w:tcPr>
          <w:p w14:paraId="6BE2A29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21,55</w:t>
            </w:r>
          </w:p>
        </w:tc>
        <w:tc>
          <w:tcPr>
            <w:tcW w:w="185" w:type="pct"/>
            <w:tcBorders>
              <w:top w:val="single" w:sz="4" w:space="0" w:color="auto"/>
              <w:left w:val="nil"/>
              <w:bottom w:val="single" w:sz="4" w:space="0" w:color="auto"/>
              <w:right w:val="single" w:sz="4" w:space="0" w:color="auto"/>
            </w:tcBorders>
            <w:noWrap/>
            <w:vAlign w:val="bottom"/>
            <w:hideMark/>
          </w:tcPr>
          <w:p w14:paraId="7085686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701" w:type="pct"/>
            <w:tcBorders>
              <w:top w:val="single" w:sz="4" w:space="0" w:color="auto"/>
              <w:left w:val="nil"/>
              <w:bottom w:val="single" w:sz="4" w:space="0" w:color="auto"/>
              <w:right w:val="single" w:sz="4" w:space="0" w:color="auto"/>
            </w:tcBorders>
            <w:noWrap/>
            <w:vAlign w:val="bottom"/>
            <w:hideMark/>
          </w:tcPr>
          <w:p w14:paraId="4904267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84" w:type="pct"/>
            <w:tcBorders>
              <w:top w:val="single" w:sz="4" w:space="0" w:color="auto"/>
              <w:left w:val="nil"/>
              <w:bottom w:val="single" w:sz="4" w:space="0" w:color="auto"/>
              <w:right w:val="single" w:sz="4" w:space="0" w:color="auto"/>
            </w:tcBorders>
            <w:noWrap/>
            <w:vAlign w:val="bottom"/>
            <w:hideMark/>
          </w:tcPr>
          <w:p w14:paraId="3F45843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B753C1B" w14:textId="77777777" w:rsidTr="008A6AF7">
        <w:trPr>
          <w:trHeight w:val="300"/>
        </w:trPr>
        <w:tc>
          <w:tcPr>
            <w:tcW w:w="1333" w:type="pct"/>
            <w:tcBorders>
              <w:top w:val="nil"/>
              <w:left w:val="single" w:sz="4" w:space="0" w:color="auto"/>
              <w:bottom w:val="single" w:sz="4" w:space="0" w:color="auto"/>
              <w:right w:val="single" w:sz="4" w:space="0" w:color="auto"/>
            </w:tcBorders>
            <w:noWrap/>
            <w:vAlign w:val="bottom"/>
            <w:hideMark/>
          </w:tcPr>
          <w:p w14:paraId="135BBA0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549" w:type="pct"/>
            <w:tcBorders>
              <w:top w:val="nil"/>
              <w:left w:val="nil"/>
              <w:bottom w:val="single" w:sz="4" w:space="0" w:color="auto"/>
              <w:right w:val="single" w:sz="4" w:space="0" w:color="auto"/>
            </w:tcBorders>
            <w:noWrap/>
            <w:vAlign w:val="bottom"/>
            <w:hideMark/>
          </w:tcPr>
          <w:p w14:paraId="40FC051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102,81</w:t>
            </w:r>
          </w:p>
        </w:tc>
        <w:tc>
          <w:tcPr>
            <w:tcW w:w="408" w:type="pct"/>
            <w:tcBorders>
              <w:top w:val="nil"/>
              <w:left w:val="nil"/>
              <w:bottom w:val="single" w:sz="4" w:space="0" w:color="auto"/>
              <w:right w:val="single" w:sz="4" w:space="0" w:color="auto"/>
            </w:tcBorders>
            <w:noWrap/>
            <w:vAlign w:val="bottom"/>
            <w:hideMark/>
          </w:tcPr>
          <w:p w14:paraId="1F5B404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w:t>
            </w:r>
          </w:p>
        </w:tc>
        <w:tc>
          <w:tcPr>
            <w:tcW w:w="1240" w:type="pct"/>
            <w:tcBorders>
              <w:top w:val="nil"/>
              <w:left w:val="nil"/>
              <w:bottom w:val="single" w:sz="4" w:space="0" w:color="auto"/>
              <w:right w:val="single" w:sz="4" w:space="0" w:color="auto"/>
            </w:tcBorders>
            <w:noWrap/>
            <w:vAlign w:val="bottom"/>
            <w:hideMark/>
          </w:tcPr>
          <w:p w14:paraId="0ABED61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7,96</w:t>
            </w:r>
          </w:p>
        </w:tc>
        <w:tc>
          <w:tcPr>
            <w:tcW w:w="185" w:type="pct"/>
            <w:tcBorders>
              <w:top w:val="nil"/>
              <w:left w:val="nil"/>
              <w:bottom w:val="single" w:sz="4" w:space="0" w:color="auto"/>
              <w:right w:val="single" w:sz="4" w:space="0" w:color="auto"/>
            </w:tcBorders>
            <w:noWrap/>
            <w:vAlign w:val="bottom"/>
            <w:hideMark/>
          </w:tcPr>
          <w:p w14:paraId="5627FD7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1" w:type="pct"/>
            <w:tcBorders>
              <w:top w:val="nil"/>
              <w:left w:val="nil"/>
              <w:bottom w:val="single" w:sz="4" w:space="0" w:color="auto"/>
              <w:right w:val="single" w:sz="4" w:space="0" w:color="auto"/>
            </w:tcBorders>
            <w:noWrap/>
            <w:vAlign w:val="bottom"/>
            <w:hideMark/>
          </w:tcPr>
          <w:p w14:paraId="573347D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84" w:type="pct"/>
            <w:tcBorders>
              <w:top w:val="nil"/>
              <w:left w:val="nil"/>
              <w:bottom w:val="single" w:sz="4" w:space="0" w:color="auto"/>
              <w:right w:val="single" w:sz="4" w:space="0" w:color="auto"/>
            </w:tcBorders>
            <w:noWrap/>
            <w:vAlign w:val="bottom"/>
            <w:hideMark/>
          </w:tcPr>
          <w:p w14:paraId="655726B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30462B7" w14:textId="77777777" w:rsidTr="008A6AF7">
        <w:trPr>
          <w:trHeight w:val="300"/>
        </w:trPr>
        <w:tc>
          <w:tcPr>
            <w:tcW w:w="1333" w:type="pct"/>
            <w:tcBorders>
              <w:top w:val="nil"/>
              <w:left w:val="single" w:sz="4" w:space="0" w:color="auto"/>
              <w:bottom w:val="single" w:sz="4" w:space="0" w:color="auto"/>
              <w:right w:val="single" w:sz="4" w:space="0" w:color="auto"/>
            </w:tcBorders>
            <w:noWrap/>
            <w:vAlign w:val="bottom"/>
            <w:hideMark/>
          </w:tcPr>
          <w:p w14:paraId="3B8FBAC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549" w:type="pct"/>
            <w:tcBorders>
              <w:top w:val="nil"/>
              <w:left w:val="nil"/>
              <w:bottom w:val="single" w:sz="4" w:space="0" w:color="auto"/>
              <w:right w:val="single" w:sz="4" w:space="0" w:color="auto"/>
            </w:tcBorders>
            <w:noWrap/>
            <w:vAlign w:val="bottom"/>
            <w:hideMark/>
          </w:tcPr>
          <w:p w14:paraId="13FDAF3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113,23</w:t>
            </w:r>
          </w:p>
        </w:tc>
        <w:tc>
          <w:tcPr>
            <w:tcW w:w="408" w:type="pct"/>
            <w:tcBorders>
              <w:top w:val="nil"/>
              <w:left w:val="nil"/>
              <w:bottom w:val="single" w:sz="4" w:space="0" w:color="auto"/>
              <w:right w:val="single" w:sz="4" w:space="0" w:color="auto"/>
            </w:tcBorders>
            <w:noWrap/>
            <w:vAlign w:val="bottom"/>
            <w:hideMark/>
          </w:tcPr>
          <w:p w14:paraId="06370CE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76</w:t>
            </w:r>
          </w:p>
        </w:tc>
        <w:tc>
          <w:tcPr>
            <w:tcW w:w="1240" w:type="pct"/>
            <w:tcBorders>
              <w:top w:val="nil"/>
              <w:left w:val="nil"/>
              <w:bottom w:val="single" w:sz="4" w:space="0" w:color="auto"/>
              <w:right w:val="single" w:sz="4" w:space="0" w:color="auto"/>
            </w:tcBorders>
            <w:noWrap/>
            <w:vAlign w:val="bottom"/>
            <w:hideMark/>
          </w:tcPr>
          <w:p w14:paraId="08F59C9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7,74</w:t>
            </w:r>
          </w:p>
        </w:tc>
        <w:tc>
          <w:tcPr>
            <w:tcW w:w="185" w:type="pct"/>
            <w:tcBorders>
              <w:top w:val="nil"/>
              <w:left w:val="nil"/>
              <w:bottom w:val="single" w:sz="4" w:space="0" w:color="auto"/>
              <w:right w:val="single" w:sz="4" w:space="0" w:color="auto"/>
            </w:tcBorders>
            <w:noWrap/>
            <w:vAlign w:val="bottom"/>
            <w:hideMark/>
          </w:tcPr>
          <w:p w14:paraId="5184C43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1" w:type="pct"/>
            <w:tcBorders>
              <w:top w:val="nil"/>
              <w:left w:val="nil"/>
              <w:bottom w:val="single" w:sz="4" w:space="0" w:color="auto"/>
              <w:right w:val="single" w:sz="4" w:space="0" w:color="auto"/>
            </w:tcBorders>
            <w:noWrap/>
            <w:vAlign w:val="bottom"/>
            <w:hideMark/>
          </w:tcPr>
          <w:p w14:paraId="6D693645"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84" w:type="pct"/>
            <w:tcBorders>
              <w:top w:val="nil"/>
              <w:left w:val="nil"/>
              <w:bottom w:val="single" w:sz="4" w:space="0" w:color="auto"/>
              <w:right w:val="single" w:sz="4" w:space="0" w:color="auto"/>
            </w:tcBorders>
            <w:noWrap/>
            <w:vAlign w:val="bottom"/>
            <w:hideMark/>
          </w:tcPr>
          <w:p w14:paraId="7853D44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F07588D" w14:textId="77777777" w:rsidTr="008A6AF7">
        <w:trPr>
          <w:trHeight w:val="300"/>
        </w:trPr>
        <w:tc>
          <w:tcPr>
            <w:tcW w:w="1333" w:type="pct"/>
            <w:tcBorders>
              <w:top w:val="nil"/>
              <w:left w:val="single" w:sz="4" w:space="0" w:color="auto"/>
              <w:bottom w:val="single" w:sz="4" w:space="0" w:color="auto"/>
              <w:right w:val="single" w:sz="4" w:space="0" w:color="auto"/>
            </w:tcBorders>
            <w:noWrap/>
            <w:vAlign w:val="bottom"/>
            <w:hideMark/>
          </w:tcPr>
          <w:p w14:paraId="1A4BF11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549" w:type="pct"/>
            <w:tcBorders>
              <w:top w:val="nil"/>
              <w:left w:val="nil"/>
              <w:bottom w:val="single" w:sz="4" w:space="0" w:color="auto"/>
              <w:right w:val="single" w:sz="4" w:space="0" w:color="auto"/>
            </w:tcBorders>
            <w:noWrap/>
            <w:vAlign w:val="bottom"/>
            <w:hideMark/>
          </w:tcPr>
          <w:p w14:paraId="6E6D5E7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117,8</w:t>
            </w:r>
          </w:p>
        </w:tc>
        <w:tc>
          <w:tcPr>
            <w:tcW w:w="408" w:type="pct"/>
            <w:tcBorders>
              <w:top w:val="nil"/>
              <w:left w:val="nil"/>
              <w:bottom w:val="single" w:sz="4" w:space="0" w:color="auto"/>
              <w:right w:val="single" w:sz="4" w:space="0" w:color="auto"/>
            </w:tcBorders>
            <w:noWrap/>
            <w:vAlign w:val="bottom"/>
            <w:hideMark/>
          </w:tcPr>
          <w:p w14:paraId="74CEDEC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w:t>
            </w:r>
          </w:p>
        </w:tc>
        <w:tc>
          <w:tcPr>
            <w:tcW w:w="1240" w:type="pct"/>
            <w:tcBorders>
              <w:top w:val="nil"/>
              <w:left w:val="nil"/>
              <w:bottom w:val="single" w:sz="4" w:space="0" w:color="auto"/>
              <w:right w:val="single" w:sz="4" w:space="0" w:color="auto"/>
            </w:tcBorders>
            <w:noWrap/>
            <w:vAlign w:val="bottom"/>
            <w:hideMark/>
          </w:tcPr>
          <w:p w14:paraId="3F44DAB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6,55</w:t>
            </w:r>
          </w:p>
        </w:tc>
        <w:tc>
          <w:tcPr>
            <w:tcW w:w="185" w:type="pct"/>
            <w:tcBorders>
              <w:top w:val="nil"/>
              <w:left w:val="nil"/>
              <w:bottom w:val="single" w:sz="4" w:space="0" w:color="auto"/>
              <w:right w:val="single" w:sz="4" w:space="0" w:color="auto"/>
            </w:tcBorders>
            <w:noWrap/>
            <w:vAlign w:val="bottom"/>
            <w:hideMark/>
          </w:tcPr>
          <w:p w14:paraId="4F86C23E"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1" w:type="pct"/>
            <w:tcBorders>
              <w:top w:val="nil"/>
              <w:left w:val="nil"/>
              <w:bottom w:val="single" w:sz="4" w:space="0" w:color="auto"/>
              <w:right w:val="single" w:sz="4" w:space="0" w:color="auto"/>
            </w:tcBorders>
            <w:noWrap/>
            <w:vAlign w:val="bottom"/>
            <w:hideMark/>
          </w:tcPr>
          <w:p w14:paraId="7FD6ADB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584" w:type="pct"/>
            <w:tcBorders>
              <w:top w:val="nil"/>
              <w:left w:val="nil"/>
              <w:bottom w:val="single" w:sz="4" w:space="0" w:color="auto"/>
              <w:right w:val="single" w:sz="4" w:space="0" w:color="auto"/>
            </w:tcBorders>
            <w:noWrap/>
            <w:vAlign w:val="bottom"/>
            <w:hideMark/>
          </w:tcPr>
          <w:p w14:paraId="69D36CF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8D93258" w14:textId="77777777" w:rsidTr="008A6AF7">
        <w:trPr>
          <w:trHeight w:val="300"/>
        </w:trPr>
        <w:tc>
          <w:tcPr>
            <w:tcW w:w="1333" w:type="pct"/>
            <w:tcBorders>
              <w:top w:val="nil"/>
              <w:left w:val="single" w:sz="4" w:space="0" w:color="auto"/>
              <w:bottom w:val="single" w:sz="4" w:space="0" w:color="auto"/>
              <w:right w:val="single" w:sz="4" w:space="0" w:color="auto"/>
            </w:tcBorders>
            <w:noWrap/>
            <w:vAlign w:val="bottom"/>
            <w:hideMark/>
          </w:tcPr>
          <w:p w14:paraId="07DD14D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549" w:type="pct"/>
            <w:tcBorders>
              <w:top w:val="nil"/>
              <w:left w:val="nil"/>
              <w:bottom w:val="single" w:sz="4" w:space="0" w:color="auto"/>
              <w:right w:val="single" w:sz="4" w:space="0" w:color="auto"/>
            </w:tcBorders>
            <w:noWrap/>
            <w:vAlign w:val="bottom"/>
            <w:hideMark/>
          </w:tcPr>
          <w:p w14:paraId="4775E44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137,32</w:t>
            </w:r>
          </w:p>
        </w:tc>
        <w:tc>
          <w:tcPr>
            <w:tcW w:w="408" w:type="pct"/>
            <w:tcBorders>
              <w:top w:val="nil"/>
              <w:left w:val="nil"/>
              <w:bottom w:val="single" w:sz="4" w:space="0" w:color="auto"/>
              <w:right w:val="single" w:sz="4" w:space="0" w:color="auto"/>
            </w:tcBorders>
            <w:noWrap/>
            <w:vAlign w:val="bottom"/>
            <w:hideMark/>
          </w:tcPr>
          <w:p w14:paraId="10C480DF"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w:t>
            </w:r>
          </w:p>
        </w:tc>
        <w:tc>
          <w:tcPr>
            <w:tcW w:w="1240" w:type="pct"/>
            <w:tcBorders>
              <w:top w:val="nil"/>
              <w:left w:val="nil"/>
              <w:bottom w:val="single" w:sz="4" w:space="0" w:color="auto"/>
              <w:right w:val="single" w:sz="4" w:space="0" w:color="auto"/>
            </w:tcBorders>
            <w:noWrap/>
            <w:vAlign w:val="bottom"/>
            <w:hideMark/>
          </w:tcPr>
          <w:p w14:paraId="5D909A2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7,78</w:t>
            </w:r>
          </w:p>
        </w:tc>
        <w:tc>
          <w:tcPr>
            <w:tcW w:w="185" w:type="pct"/>
            <w:tcBorders>
              <w:top w:val="nil"/>
              <w:left w:val="nil"/>
              <w:bottom w:val="single" w:sz="4" w:space="0" w:color="auto"/>
              <w:right w:val="single" w:sz="4" w:space="0" w:color="auto"/>
            </w:tcBorders>
            <w:noWrap/>
            <w:vAlign w:val="bottom"/>
            <w:hideMark/>
          </w:tcPr>
          <w:p w14:paraId="0F763A96"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1" w:type="pct"/>
            <w:tcBorders>
              <w:top w:val="nil"/>
              <w:left w:val="nil"/>
              <w:bottom w:val="single" w:sz="4" w:space="0" w:color="auto"/>
              <w:right w:val="single" w:sz="4" w:space="0" w:color="auto"/>
            </w:tcBorders>
            <w:noWrap/>
            <w:vAlign w:val="bottom"/>
            <w:hideMark/>
          </w:tcPr>
          <w:p w14:paraId="45B2485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84" w:type="pct"/>
            <w:tcBorders>
              <w:top w:val="nil"/>
              <w:left w:val="nil"/>
              <w:bottom w:val="single" w:sz="4" w:space="0" w:color="auto"/>
              <w:right w:val="single" w:sz="4" w:space="0" w:color="auto"/>
            </w:tcBorders>
            <w:noWrap/>
            <w:vAlign w:val="bottom"/>
            <w:hideMark/>
          </w:tcPr>
          <w:p w14:paraId="638ED04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r>
    </w:tbl>
    <w:p w14:paraId="3F6D5227" w14:textId="77777777" w:rsidR="00C82BCC" w:rsidRDefault="00C82BCC" w:rsidP="008A6AF7">
      <w:pPr>
        <w:autoSpaceDE w:val="0"/>
        <w:autoSpaceDN w:val="0"/>
        <w:adjustRightInd w:val="0"/>
        <w:spacing w:after="360" w:line="360" w:lineRule="auto"/>
        <w:rPr>
          <w:rFonts w:cs="Times New Roman"/>
          <w:szCs w:val="24"/>
        </w:rPr>
      </w:pPr>
      <w:r>
        <w:rPr>
          <w:rFonts w:cs="Times New Roman"/>
          <w:szCs w:val="24"/>
        </w:rPr>
        <w:t>Medias con una letra común no son significativamente diferentes (p &gt; 0,05)</w:t>
      </w:r>
    </w:p>
    <w:p w14:paraId="482E14F8" w14:textId="4A14695B" w:rsidR="008A6AF7" w:rsidRPr="008A6AF7" w:rsidRDefault="008A6AF7" w:rsidP="00276893">
      <w:pPr>
        <w:pStyle w:val="Descripcin"/>
        <w:keepNext/>
        <w:spacing w:before="360"/>
        <w:rPr>
          <w:rFonts w:cs="Times New Roman"/>
          <w:i w:val="0"/>
          <w:iCs w:val="0"/>
          <w:color w:val="auto"/>
          <w:sz w:val="24"/>
          <w:szCs w:val="24"/>
          <w:lang w:eastAsia="en-US"/>
        </w:rPr>
      </w:pPr>
      <w:bookmarkStart w:id="2148" w:name="_Toc79314160"/>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168</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w:t>
      </w:r>
      <w:r w:rsidRPr="008A6AF7">
        <w:rPr>
          <w:rFonts w:cs="Times New Roman"/>
          <w:i w:val="0"/>
          <w:iCs w:val="0"/>
          <w:color w:val="auto"/>
          <w:sz w:val="24"/>
          <w:szCs w:val="24"/>
          <w:lang w:eastAsia="en-US"/>
        </w:rPr>
        <w:t xml:space="preserve"> Absorción total de potasio en plantas de maíz suave para diversas dosis de magnesio evaluado en las provincias de Bolívar, Chimborazo, Imbabura 2006-2015. Dosis de Potasio empleada en el ensayo</w:t>
      </w:r>
      <w:bookmarkEnd w:id="2148"/>
    </w:p>
    <w:tbl>
      <w:tblPr>
        <w:tblW w:w="5834" w:type="dxa"/>
        <w:jc w:val="center"/>
        <w:tblCellMar>
          <w:left w:w="70" w:type="dxa"/>
          <w:right w:w="70" w:type="dxa"/>
        </w:tblCellMar>
        <w:tblLook w:val="04A0" w:firstRow="1" w:lastRow="0" w:firstColumn="1" w:lastColumn="0" w:noHBand="0" w:noVBand="1"/>
      </w:tblPr>
      <w:tblGrid>
        <w:gridCol w:w="2547"/>
        <w:gridCol w:w="887"/>
        <w:gridCol w:w="672"/>
        <w:gridCol w:w="1728"/>
      </w:tblGrid>
      <w:tr w:rsidR="00C82BCC" w14:paraId="12A1588B" w14:textId="77777777" w:rsidTr="00E965A5">
        <w:trPr>
          <w:trHeight w:val="300"/>
          <w:jc w:val="center"/>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0320D8C4"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1E289C24"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16FAC8C1"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8" w:type="dxa"/>
            <w:tcBorders>
              <w:top w:val="single" w:sz="4" w:space="0" w:color="auto"/>
              <w:left w:val="nil"/>
              <w:bottom w:val="single" w:sz="4" w:space="0" w:color="auto"/>
              <w:right w:val="single" w:sz="4" w:space="0" w:color="auto"/>
            </w:tcBorders>
            <w:noWrap/>
            <w:vAlign w:val="bottom"/>
            <w:hideMark/>
          </w:tcPr>
          <w:p w14:paraId="2DF45D05" w14:textId="77777777" w:rsidR="00C82BCC" w:rsidRDefault="00C82BCC" w:rsidP="00276893">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r>
      <w:tr w:rsidR="00C82BCC" w14:paraId="297A622B" w14:textId="77777777" w:rsidTr="00E965A5">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52CE8A29"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5897338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91,35</w:t>
            </w:r>
          </w:p>
        </w:tc>
        <w:tc>
          <w:tcPr>
            <w:tcW w:w="672" w:type="dxa"/>
            <w:tcBorders>
              <w:top w:val="nil"/>
              <w:left w:val="nil"/>
              <w:bottom w:val="single" w:sz="4" w:space="0" w:color="auto"/>
              <w:right w:val="single" w:sz="4" w:space="0" w:color="auto"/>
            </w:tcBorders>
            <w:noWrap/>
            <w:vAlign w:val="bottom"/>
            <w:hideMark/>
          </w:tcPr>
          <w:p w14:paraId="3BA11D8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w:t>
            </w:r>
          </w:p>
        </w:tc>
        <w:tc>
          <w:tcPr>
            <w:tcW w:w="1728" w:type="dxa"/>
            <w:tcBorders>
              <w:top w:val="nil"/>
              <w:left w:val="nil"/>
              <w:bottom w:val="single" w:sz="4" w:space="0" w:color="auto"/>
              <w:right w:val="single" w:sz="4" w:space="0" w:color="auto"/>
            </w:tcBorders>
            <w:noWrap/>
            <w:vAlign w:val="bottom"/>
            <w:hideMark/>
          </w:tcPr>
          <w:p w14:paraId="2EF5DF0B"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11,39</w:t>
            </w:r>
          </w:p>
        </w:tc>
      </w:tr>
      <w:tr w:rsidR="00C82BCC" w14:paraId="312649EA" w14:textId="77777777" w:rsidTr="00E965A5">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5714D5C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555AEC91"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100,29</w:t>
            </w:r>
          </w:p>
        </w:tc>
        <w:tc>
          <w:tcPr>
            <w:tcW w:w="672" w:type="dxa"/>
            <w:tcBorders>
              <w:top w:val="nil"/>
              <w:left w:val="nil"/>
              <w:bottom w:val="single" w:sz="4" w:space="0" w:color="auto"/>
              <w:right w:val="single" w:sz="4" w:space="0" w:color="auto"/>
            </w:tcBorders>
            <w:noWrap/>
            <w:vAlign w:val="bottom"/>
            <w:hideMark/>
          </w:tcPr>
          <w:p w14:paraId="1C32616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728" w:type="dxa"/>
            <w:tcBorders>
              <w:top w:val="nil"/>
              <w:left w:val="nil"/>
              <w:bottom w:val="single" w:sz="4" w:space="0" w:color="auto"/>
              <w:right w:val="single" w:sz="4" w:space="0" w:color="auto"/>
            </w:tcBorders>
            <w:noWrap/>
            <w:vAlign w:val="bottom"/>
            <w:hideMark/>
          </w:tcPr>
          <w:p w14:paraId="53CE6C87"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7,31</w:t>
            </w:r>
          </w:p>
        </w:tc>
      </w:tr>
      <w:tr w:rsidR="00C82BCC" w14:paraId="0FB07FEF" w14:textId="77777777" w:rsidTr="00E965A5">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24EE6BC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887" w:type="dxa"/>
            <w:tcBorders>
              <w:top w:val="nil"/>
              <w:left w:val="nil"/>
              <w:bottom w:val="single" w:sz="4" w:space="0" w:color="auto"/>
              <w:right w:val="single" w:sz="4" w:space="0" w:color="auto"/>
            </w:tcBorders>
            <w:noWrap/>
            <w:vAlign w:val="bottom"/>
            <w:hideMark/>
          </w:tcPr>
          <w:p w14:paraId="69AA707C"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113,69</w:t>
            </w:r>
          </w:p>
        </w:tc>
        <w:tc>
          <w:tcPr>
            <w:tcW w:w="672" w:type="dxa"/>
            <w:tcBorders>
              <w:top w:val="nil"/>
              <w:left w:val="nil"/>
              <w:bottom w:val="single" w:sz="4" w:space="0" w:color="auto"/>
              <w:right w:val="single" w:sz="4" w:space="0" w:color="auto"/>
            </w:tcBorders>
            <w:noWrap/>
            <w:vAlign w:val="bottom"/>
            <w:hideMark/>
          </w:tcPr>
          <w:p w14:paraId="4AAA3D2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noWrap/>
            <w:vAlign w:val="bottom"/>
            <w:hideMark/>
          </w:tcPr>
          <w:p w14:paraId="7FF907E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21,55</w:t>
            </w:r>
          </w:p>
        </w:tc>
      </w:tr>
      <w:tr w:rsidR="00C82BCC" w14:paraId="4303BB71" w14:textId="77777777" w:rsidTr="00E965A5">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0128C00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135B9BF8"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124,85</w:t>
            </w:r>
          </w:p>
        </w:tc>
        <w:tc>
          <w:tcPr>
            <w:tcW w:w="672" w:type="dxa"/>
            <w:tcBorders>
              <w:top w:val="nil"/>
              <w:left w:val="nil"/>
              <w:bottom w:val="single" w:sz="4" w:space="0" w:color="auto"/>
              <w:right w:val="single" w:sz="4" w:space="0" w:color="auto"/>
            </w:tcBorders>
            <w:noWrap/>
            <w:vAlign w:val="bottom"/>
            <w:hideMark/>
          </w:tcPr>
          <w:p w14:paraId="3C7B4140"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w:t>
            </w:r>
          </w:p>
        </w:tc>
        <w:tc>
          <w:tcPr>
            <w:tcW w:w="1728" w:type="dxa"/>
            <w:tcBorders>
              <w:top w:val="nil"/>
              <w:left w:val="nil"/>
              <w:bottom w:val="single" w:sz="4" w:space="0" w:color="auto"/>
              <w:right w:val="single" w:sz="4" w:space="0" w:color="auto"/>
            </w:tcBorders>
            <w:noWrap/>
            <w:vAlign w:val="bottom"/>
            <w:hideMark/>
          </w:tcPr>
          <w:p w14:paraId="5F831684"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4,65</w:t>
            </w:r>
          </w:p>
        </w:tc>
      </w:tr>
      <w:tr w:rsidR="00C82BCC" w14:paraId="152834B5" w14:textId="77777777" w:rsidTr="00E965A5">
        <w:trPr>
          <w:trHeight w:val="300"/>
          <w:jc w:val="center"/>
        </w:trPr>
        <w:tc>
          <w:tcPr>
            <w:tcW w:w="2547" w:type="dxa"/>
            <w:tcBorders>
              <w:top w:val="nil"/>
              <w:left w:val="single" w:sz="4" w:space="0" w:color="auto"/>
              <w:bottom w:val="single" w:sz="4" w:space="0" w:color="auto"/>
              <w:right w:val="single" w:sz="4" w:space="0" w:color="auto"/>
            </w:tcBorders>
            <w:noWrap/>
            <w:vAlign w:val="bottom"/>
            <w:hideMark/>
          </w:tcPr>
          <w:p w14:paraId="013AB0B3"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439983EA"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148</w:t>
            </w:r>
          </w:p>
        </w:tc>
        <w:tc>
          <w:tcPr>
            <w:tcW w:w="672" w:type="dxa"/>
            <w:tcBorders>
              <w:top w:val="nil"/>
              <w:left w:val="nil"/>
              <w:bottom w:val="single" w:sz="4" w:space="0" w:color="auto"/>
              <w:right w:val="single" w:sz="4" w:space="0" w:color="auto"/>
            </w:tcBorders>
            <w:noWrap/>
            <w:vAlign w:val="bottom"/>
            <w:hideMark/>
          </w:tcPr>
          <w:p w14:paraId="73668D62"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28" w:type="dxa"/>
            <w:tcBorders>
              <w:top w:val="nil"/>
              <w:left w:val="nil"/>
              <w:bottom w:val="single" w:sz="4" w:space="0" w:color="auto"/>
              <w:right w:val="single" w:sz="4" w:space="0" w:color="auto"/>
            </w:tcBorders>
            <w:noWrap/>
            <w:vAlign w:val="bottom"/>
            <w:hideMark/>
          </w:tcPr>
          <w:p w14:paraId="404AEB0D" w14:textId="77777777" w:rsidR="00C82BCC" w:rsidRDefault="00C82BCC" w:rsidP="00276893">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21,55</w:t>
            </w:r>
          </w:p>
        </w:tc>
      </w:tr>
    </w:tbl>
    <w:p w14:paraId="427AB535" w14:textId="77777777" w:rsidR="00C82BCC" w:rsidRDefault="00C82BCC" w:rsidP="00C82BCC">
      <w:pPr>
        <w:autoSpaceDE w:val="0"/>
        <w:autoSpaceDN w:val="0"/>
        <w:adjustRightInd w:val="0"/>
        <w:spacing w:after="0" w:line="360" w:lineRule="auto"/>
        <w:rPr>
          <w:rFonts w:cs="Times New Roman"/>
          <w:bCs/>
          <w:szCs w:val="24"/>
        </w:rPr>
      </w:pPr>
    </w:p>
    <w:p w14:paraId="05928E9E" w14:textId="54BD02BE" w:rsidR="00E965A5" w:rsidRDefault="00C82BCC" w:rsidP="00C82BCC">
      <w:pPr>
        <w:autoSpaceDE w:val="0"/>
        <w:autoSpaceDN w:val="0"/>
        <w:adjustRightInd w:val="0"/>
        <w:spacing w:after="0" w:line="360" w:lineRule="auto"/>
        <w:rPr>
          <w:rFonts w:cs="Times New Roman"/>
          <w:bCs/>
          <w:szCs w:val="24"/>
        </w:rPr>
      </w:pPr>
      <w:r>
        <w:rPr>
          <w:rFonts w:cs="Times New Roman"/>
          <w:bCs/>
          <w:szCs w:val="24"/>
        </w:rPr>
        <w:t>El efecto de los nutrientes que fueron significativos</w:t>
      </w:r>
      <w:r w:rsidR="00E23348">
        <w:rPr>
          <w:rFonts w:cs="Times New Roman"/>
          <w:bCs/>
          <w:szCs w:val="24"/>
        </w:rPr>
        <w:t xml:space="preserve"> (p&lt;0,001)</w:t>
      </w:r>
      <w:r w:rsidR="001B6327">
        <w:rPr>
          <w:rFonts w:cs="Times New Roman"/>
          <w:bCs/>
          <w:szCs w:val="24"/>
        </w:rPr>
        <w:t xml:space="preserve"> </w:t>
      </w:r>
      <w:r>
        <w:rPr>
          <w:rFonts w:cs="Times New Roman"/>
          <w:bCs/>
          <w:szCs w:val="24"/>
        </w:rPr>
        <w:t>sobre la a</w:t>
      </w:r>
      <w:r w:rsidR="001B6327">
        <w:rPr>
          <w:rFonts w:cs="Times New Roman"/>
          <w:bCs/>
          <w:szCs w:val="24"/>
        </w:rPr>
        <w:t>b</w:t>
      </w:r>
      <w:r>
        <w:rPr>
          <w:rFonts w:cs="Times New Roman"/>
          <w:bCs/>
          <w:szCs w:val="24"/>
        </w:rPr>
        <w:t xml:space="preserve">sorción de potasio en las provincias de Bolívar, Chimborazo y de Imbabura se observa en </w:t>
      </w:r>
      <w:r w:rsidR="00A3262E">
        <w:rPr>
          <w:rFonts w:cs="Times New Roman"/>
          <w:bCs/>
          <w:szCs w:val="24"/>
        </w:rPr>
        <w:t xml:space="preserve">la </w:t>
      </w:r>
      <w:r>
        <w:rPr>
          <w:rFonts w:cs="Times New Roman"/>
          <w:bCs/>
          <w:szCs w:val="24"/>
        </w:rPr>
        <w:t xml:space="preserve">siguiente </w:t>
      </w:r>
      <w:r w:rsidR="00A3262E">
        <w:rPr>
          <w:rFonts w:cs="Times New Roman"/>
          <w:bCs/>
          <w:szCs w:val="24"/>
        </w:rPr>
        <w:t>figura</w:t>
      </w:r>
      <w:r w:rsidR="006E0BEC">
        <w:rPr>
          <w:rFonts w:cs="Times New Roman"/>
          <w:bCs/>
          <w:szCs w:val="24"/>
        </w:rPr>
        <w:t>:</w:t>
      </w:r>
    </w:p>
    <w:p w14:paraId="61229157" w14:textId="02305E16" w:rsidR="00E965A5" w:rsidRPr="00617E99" w:rsidRDefault="00E965A5" w:rsidP="00276893">
      <w:pPr>
        <w:pStyle w:val="Ttulo1"/>
        <w:numPr>
          <w:ilvl w:val="0"/>
          <w:numId w:val="34"/>
        </w:numPr>
        <w:spacing w:before="360" w:after="360"/>
        <w:rPr>
          <w:b w:val="0"/>
          <w:bCs w:val="0"/>
        </w:rPr>
      </w:pPr>
      <w:bookmarkStart w:id="2149" w:name="_Toc72706432"/>
      <w:bookmarkStart w:id="2150" w:name="_Toc72741382"/>
      <w:bookmarkStart w:id="2151" w:name="_Toc72742978"/>
      <w:bookmarkStart w:id="2152" w:name="_Toc72881330"/>
      <w:bookmarkStart w:id="2153" w:name="_Toc72881701"/>
      <w:bookmarkStart w:id="2154" w:name="_Toc75606569"/>
      <w:bookmarkStart w:id="2155" w:name="_Toc75612048"/>
      <w:bookmarkStart w:id="2156" w:name="_Toc75612894"/>
      <w:bookmarkStart w:id="2157" w:name="_Toc75680050"/>
      <w:bookmarkStart w:id="2158" w:name="_Toc75702658"/>
      <w:bookmarkStart w:id="2159" w:name="_Toc79313254"/>
      <w:bookmarkStart w:id="2160" w:name="_Toc80008473"/>
      <w:bookmarkStart w:id="2161" w:name="_Toc80312366"/>
      <w:r w:rsidRPr="00617E99">
        <w:rPr>
          <w:b w:val="0"/>
          <w:bCs w:val="0"/>
        </w:rPr>
        <w:lastRenderedPageBreak/>
        <w:t>Nitrógeno</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r w:rsidRPr="00617E99">
        <w:rPr>
          <w:b w:val="0"/>
          <w:bCs w:val="0"/>
        </w:rPr>
        <w:t xml:space="preserve"> </w:t>
      </w:r>
    </w:p>
    <w:p w14:paraId="5C0CCE26" w14:textId="0C24FC07" w:rsidR="00C82BCC" w:rsidRDefault="00C82BCC" w:rsidP="00C82BCC">
      <w:pPr>
        <w:jc w:val="center"/>
        <w:rPr>
          <w:rFonts w:cs="Times New Roman"/>
          <w:szCs w:val="24"/>
        </w:rPr>
      </w:pPr>
      <w:r>
        <w:rPr>
          <w:rFonts w:cs="Times New Roman"/>
          <w:noProof/>
          <w:szCs w:val="24"/>
          <w:lang w:eastAsia="es-EC"/>
        </w:rPr>
        <w:drawing>
          <wp:inline distT="0" distB="0" distL="0" distR="0" wp14:anchorId="76CD9210" wp14:editId="0210EDBB">
            <wp:extent cx="4480560" cy="2423160"/>
            <wp:effectExtent l="0" t="0" r="15240" b="15240"/>
            <wp:docPr id="106" name="Gráfico 106">
              <a:extLst xmlns:a="http://schemas.openxmlformats.org/drawingml/2006/main">
                <a:ext uri="{FF2B5EF4-FFF2-40B4-BE49-F238E27FC236}">
                  <a16:creationId xmlns:a16="http://schemas.microsoft.com/office/drawing/2014/main" id="{30C7B53F-FCB7-4802-AA77-70527F4CA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E1AF493" w14:textId="6E906D77" w:rsidR="008A6AF7" w:rsidRPr="00276893" w:rsidRDefault="001F710B" w:rsidP="008A6AF7">
      <w:pPr>
        <w:pStyle w:val="Prrafodelista"/>
        <w:numPr>
          <w:ilvl w:val="0"/>
          <w:numId w:val="34"/>
        </w:numPr>
        <w:spacing w:before="360" w:after="360"/>
        <w:rPr>
          <w:rFonts w:cs="Times New Roman"/>
          <w:szCs w:val="24"/>
        </w:rPr>
      </w:pPr>
      <w:r w:rsidRPr="001F710B">
        <w:rPr>
          <w:rFonts w:cs="Times New Roman"/>
          <w:szCs w:val="24"/>
        </w:rPr>
        <w:t xml:space="preserve">Potasio </w:t>
      </w:r>
    </w:p>
    <w:p w14:paraId="61DBE71E" w14:textId="333E9419" w:rsidR="00617E99" w:rsidRPr="00617E99" w:rsidRDefault="000E2AE7" w:rsidP="008A6AF7">
      <w:pPr>
        <w:pStyle w:val="Ttulo1"/>
        <w:numPr>
          <w:ilvl w:val="0"/>
          <w:numId w:val="0"/>
        </w:numPr>
        <w:spacing w:after="0"/>
        <w:jc w:val="center"/>
        <w:rPr>
          <w:b w:val="0"/>
          <w:bCs w:val="0"/>
        </w:rPr>
      </w:pPr>
      <w:bookmarkStart w:id="2162" w:name="_Toc75606570"/>
      <w:bookmarkStart w:id="2163" w:name="_Toc75612049"/>
      <w:bookmarkStart w:id="2164" w:name="_Toc75612895"/>
      <w:bookmarkStart w:id="2165" w:name="_Toc75680051"/>
      <w:bookmarkStart w:id="2166" w:name="_Toc75702659"/>
      <w:bookmarkStart w:id="2167" w:name="_Toc79313255"/>
      <w:bookmarkStart w:id="2168" w:name="_Toc80008474"/>
      <w:bookmarkStart w:id="2169" w:name="_Toc80312367"/>
      <w:r>
        <w:rPr>
          <w:noProof/>
          <w:lang w:val="es-EC" w:eastAsia="es-EC"/>
        </w:rPr>
        <w:drawing>
          <wp:inline distT="0" distB="0" distL="0" distR="0" wp14:anchorId="7A74F21F" wp14:editId="0768F9DB">
            <wp:extent cx="4450080" cy="2514600"/>
            <wp:effectExtent l="0" t="0" r="7620" b="0"/>
            <wp:docPr id="20" name="Gráfico 20">
              <a:extLst xmlns:a="http://schemas.openxmlformats.org/drawingml/2006/main">
                <a:ext uri="{FF2B5EF4-FFF2-40B4-BE49-F238E27FC236}">
                  <a16:creationId xmlns:a16="http://schemas.microsoft.com/office/drawing/2014/main" id="{F3895982-A3E3-4F15-B427-E02D54B8D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2162"/>
      <w:bookmarkEnd w:id="2163"/>
      <w:bookmarkEnd w:id="2164"/>
      <w:bookmarkEnd w:id="2165"/>
      <w:bookmarkEnd w:id="2166"/>
      <w:bookmarkEnd w:id="2167"/>
      <w:bookmarkEnd w:id="2168"/>
      <w:bookmarkEnd w:id="2169"/>
    </w:p>
    <w:p w14:paraId="1FC3F8FC" w14:textId="0C414A58" w:rsidR="00C82BCC" w:rsidRDefault="00C82BCC" w:rsidP="00276893">
      <w:pPr>
        <w:spacing w:before="360" w:after="360" w:line="360" w:lineRule="auto"/>
        <w:rPr>
          <w:rFonts w:cs="Times New Roman"/>
          <w:szCs w:val="24"/>
        </w:rPr>
      </w:pPr>
      <w:r>
        <w:rPr>
          <w:rFonts w:cs="Times New Roman"/>
          <w:szCs w:val="24"/>
        </w:rPr>
        <w:t>Efecto de los macronutrientes</w:t>
      </w:r>
      <w:r w:rsidR="001F710B">
        <w:rPr>
          <w:rFonts w:cs="Times New Roman"/>
          <w:szCs w:val="24"/>
        </w:rPr>
        <w:t xml:space="preserve"> a) nitrógeno b) </w:t>
      </w:r>
      <w:r w:rsidR="00E23348">
        <w:rPr>
          <w:rFonts w:cs="Times New Roman"/>
          <w:szCs w:val="24"/>
        </w:rPr>
        <w:t>potasio sobre</w:t>
      </w:r>
      <w:r>
        <w:rPr>
          <w:rFonts w:cs="Times New Roman"/>
          <w:szCs w:val="24"/>
        </w:rPr>
        <w:t xml:space="preserve"> la a</w:t>
      </w:r>
      <w:r w:rsidR="001B6327">
        <w:rPr>
          <w:rFonts w:cs="Times New Roman"/>
          <w:szCs w:val="24"/>
        </w:rPr>
        <w:t>b</w:t>
      </w:r>
      <w:r>
        <w:rPr>
          <w:rFonts w:cs="Times New Roman"/>
          <w:szCs w:val="24"/>
        </w:rPr>
        <w:t>sorción de potasio en maíz suave en las provincias Bolívar, Chimborazo de Imbabura (2006-2015).</w:t>
      </w:r>
    </w:p>
    <w:p w14:paraId="3C33AFD7" w14:textId="2EA7F21E" w:rsidR="00C82BCC" w:rsidRDefault="00C82BCC" w:rsidP="00276893">
      <w:pPr>
        <w:pStyle w:val="Ttulo3"/>
        <w:spacing w:before="360" w:after="360"/>
      </w:pPr>
      <w:bookmarkStart w:id="2170" w:name="_Toc80312368"/>
      <w:r>
        <w:t>A</w:t>
      </w:r>
      <w:r w:rsidR="00897618">
        <w:t>b</w:t>
      </w:r>
      <w:r>
        <w:t>sorción de azufre (kg/ha</w:t>
      </w:r>
      <w:r>
        <w:rPr>
          <w:vertAlign w:val="superscript"/>
        </w:rPr>
        <w:t>-1</w:t>
      </w:r>
      <w:r>
        <w:t>)</w:t>
      </w:r>
      <w:bookmarkEnd w:id="2170"/>
    </w:p>
    <w:p w14:paraId="25EDB235" w14:textId="7AB87046" w:rsidR="00C82BCC" w:rsidRDefault="00C82BCC" w:rsidP="00C82BCC">
      <w:pPr>
        <w:autoSpaceDE w:val="0"/>
        <w:autoSpaceDN w:val="0"/>
        <w:adjustRightInd w:val="0"/>
        <w:spacing w:after="0" w:line="360" w:lineRule="auto"/>
        <w:rPr>
          <w:rFonts w:cs="Times New Roman"/>
          <w:b/>
          <w:bCs/>
          <w:color w:val="0000FF"/>
        </w:rPr>
      </w:pPr>
      <w:r>
        <w:rPr>
          <w:rFonts w:cs="Times New Roman"/>
          <w:szCs w:val="24"/>
        </w:rPr>
        <w:t>Al utilizar el modelo estadístico para la absorción total de azufre, se detectaron diferencias estadísticas significativas (p &lt;0,05) para las fuentes de variación de provincia, nitrógeno, fósforo, potasio, azufre y magnesio (</w:t>
      </w:r>
      <w:r w:rsidR="00273C68">
        <w:rPr>
          <w:rFonts w:cs="Times New Roman"/>
          <w:szCs w:val="24"/>
        </w:rPr>
        <w:t>Cuadro</w:t>
      </w:r>
      <w:r>
        <w:rPr>
          <w:rFonts w:cs="Times New Roman"/>
          <w:szCs w:val="24"/>
        </w:rPr>
        <w:t xml:space="preserve"> 16</w:t>
      </w:r>
      <w:r w:rsidR="0039325D">
        <w:rPr>
          <w:rFonts w:cs="Times New Roman"/>
          <w:szCs w:val="24"/>
        </w:rPr>
        <w:t>9</w:t>
      </w:r>
      <w:r>
        <w:rPr>
          <w:rFonts w:cs="Times New Roman"/>
          <w:szCs w:val="24"/>
        </w:rPr>
        <w:t xml:space="preserve">). Por lo tanto, </w:t>
      </w:r>
      <w:r>
        <w:rPr>
          <w:rFonts w:cs="Times New Roman"/>
          <w:szCs w:val="24"/>
        </w:rPr>
        <w:lastRenderedPageBreak/>
        <w:t xml:space="preserve">las dosis de los fertilizantes y el efecto ambiental de las provincias afectaron a esta variable. El promedio general de la absorción total de </w:t>
      </w:r>
      <w:r w:rsidR="00D565A7">
        <w:rPr>
          <w:rFonts w:cs="Times New Roman"/>
          <w:szCs w:val="24"/>
        </w:rPr>
        <w:t xml:space="preserve">azufre </w:t>
      </w:r>
      <w:r>
        <w:rPr>
          <w:rFonts w:cs="Times New Roman"/>
          <w:szCs w:val="24"/>
        </w:rPr>
        <w:t>fue 11,16  Kg</w:t>
      </w:r>
      <w:r w:rsidR="00897618">
        <w:rPr>
          <w:rFonts w:cs="Times New Roman"/>
          <w:szCs w:val="24"/>
        </w:rPr>
        <w:t xml:space="preserve"> </w:t>
      </w:r>
      <w:r>
        <w:rPr>
          <w:rFonts w:cs="Times New Roman"/>
          <w:szCs w:val="24"/>
        </w:rPr>
        <w:t>ha</w:t>
      </w:r>
      <w:r>
        <w:rPr>
          <w:rFonts w:cs="Times New Roman"/>
          <w:szCs w:val="24"/>
          <w:vertAlign w:val="superscript"/>
        </w:rPr>
        <w:t>-1</w:t>
      </w:r>
      <w:r>
        <w:rPr>
          <w:rFonts w:cs="Times New Roman"/>
          <w:szCs w:val="24"/>
        </w:rPr>
        <w:t>; con un R</w:t>
      </w:r>
      <w:r>
        <w:rPr>
          <w:rFonts w:cs="Times New Roman"/>
          <w:szCs w:val="24"/>
          <w:vertAlign w:val="superscript"/>
        </w:rPr>
        <w:t>2</w:t>
      </w:r>
      <w:r>
        <w:rPr>
          <w:rFonts w:cs="Times New Roman"/>
          <w:szCs w:val="24"/>
        </w:rPr>
        <w:t xml:space="preserve"> de 0,54 y un coeficiente de variación de 74,21 %</w:t>
      </w:r>
      <w:r>
        <w:rPr>
          <w:rFonts w:cs="Times New Roman"/>
          <w:b/>
          <w:bCs/>
          <w:color w:val="0000FF"/>
        </w:rPr>
        <w:t>.</w:t>
      </w:r>
    </w:p>
    <w:p w14:paraId="1D5DD55D" w14:textId="0865C8E7" w:rsidR="008A6AF7" w:rsidRPr="008A6AF7" w:rsidRDefault="008A6AF7" w:rsidP="00BF6D8E">
      <w:pPr>
        <w:pStyle w:val="Descripcin"/>
        <w:keepNext/>
        <w:spacing w:before="360"/>
        <w:rPr>
          <w:rFonts w:cs="Times New Roman"/>
          <w:i w:val="0"/>
          <w:iCs w:val="0"/>
          <w:color w:val="auto"/>
          <w:sz w:val="24"/>
          <w:szCs w:val="24"/>
          <w:lang w:eastAsia="en-US"/>
        </w:rPr>
      </w:pPr>
      <w:bookmarkStart w:id="2171" w:name="_Toc79314161"/>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169</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w:t>
      </w:r>
      <w:r w:rsidRPr="008A6AF7">
        <w:rPr>
          <w:rFonts w:cs="Times New Roman"/>
          <w:i w:val="0"/>
          <w:iCs w:val="0"/>
          <w:color w:val="auto"/>
          <w:sz w:val="24"/>
          <w:szCs w:val="24"/>
          <w:lang w:eastAsia="en-US"/>
        </w:rPr>
        <w:t xml:space="preserve"> Análisis de la Varianza (SC tipo I) y porcentaje de varianza para absorción de azufre de maíz suave en grano seco, evaluado (Consolidado) en las provincias de Bolívar, Chimborazo, Imbabura (2006-2015).</w:t>
      </w:r>
      <w:bookmarkEnd w:id="2171"/>
    </w:p>
    <w:tbl>
      <w:tblPr>
        <w:tblW w:w="5000" w:type="pct"/>
        <w:tblCellMar>
          <w:left w:w="70" w:type="dxa"/>
          <w:right w:w="70" w:type="dxa"/>
        </w:tblCellMar>
        <w:tblLook w:val="04A0" w:firstRow="1" w:lastRow="0" w:firstColumn="1" w:lastColumn="0" w:noHBand="0" w:noVBand="1"/>
      </w:tblPr>
      <w:tblGrid>
        <w:gridCol w:w="1605"/>
        <w:gridCol w:w="1046"/>
        <w:gridCol w:w="803"/>
        <w:gridCol w:w="987"/>
        <w:gridCol w:w="863"/>
        <w:gridCol w:w="1236"/>
        <w:gridCol w:w="1387"/>
      </w:tblGrid>
      <w:tr w:rsidR="00C82BCC" w14:paraId="06DE322F" w14:textId="77777777" w:rsidTr="008A6AF7">
        <w:trPr>
          <w:trHeight w:val="300"/>
        </w:trPr>
        <w:tc>
          <w:tcPr>
            <w:tcW w:w="1017" w:type="pct"/>
            <w:tcBorders>
              <w:top w:val="single" w:sz="4" w:space="0" w:color="auto"/>
              <w:left w:val="single" w:sz="4" w:space="0" w:color="auto"/>
              <w:bottom w:val="single" w:sz="4" w:space="0" w:color="auto"/>
              <w:right w:val="single" w:sz="4" w:space="0" w:color="auto"/>
            </w:tcBorders>
            <w:noWrap/>
            <w:vAlign w:val="bottom"/>
            <w:hideMark/>
          </w:tcPr>
          <w:p w14:paraId="4FE7F837"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664" w:type="pct"/>
            <w:tcBorders>
              <w:top w:val="single" w:sz="4" w:space="0" w:color="auto"/>
              <w:left w:val="nil"/>
              <w:bottom w:val="single" w:sz="4" w:space="0" w:color="auto"/>
              <w:right w:val="single" w:sz="4" w:space="0" w:color="auto"/>
            </w:tcBorders>
            <w:noWrap/>
            <w:vAlign w:val="bottom"/>
            <w:hideMark/>
          </w:tcPr>
          <w:p w14:paraId="112A3E95"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511" w:type="pct"/>
            <w:tcBorders>
              <w:top w:val="single" w:sz="4" w:space="0" w:color="auto"/>
              <w:left w:val="nil"/>
              <w:bottom w:val="single" w:sz="4" w:space="0" w:color="auto"/>
              <w:right w:val="single" w:sz="4" w:space="0" w:color="auto"/>
            </w:tcBorders>
            <w:noWrap/>
            <w:vAlign w:val="bottom"/>
            <w:hideMark/>
          </w:tcPr>
          <w:p w14:paraId="1CAFA37C"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gl </w:t>
            </w:r>
          </w:p>
        </w:tc>
        <w:tc>
          <w:tcPr>
            <w:tcW w:w="627" w:type="pct"/>
            <w:tcBorders>
              <w:top w:val="single" w:sz="4" w:space="0" w:color="auto"/>
              <w:left w:val="nil"/>
              <w:bottom w:val="single" w:sz="4" w:space="0" w:color="auto"/>
              <w:right w:val="single" w:sz="4" w:space="0" w:color="auto"/>
            </w:tcBorders>
            <w:noWrap/>
            <w:vAlign w:val="bottom"/>
            <w:hideMark/>
          </w:tcPr>
          <w:p w14:paraId="191F9F38"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549" w:type="pct"/>
            <w:tcBorders>
              <w:top w:val="single" w:sz="4" w:space="0" w:color="auto"/>
              <w:left w:val="nil"/>
              <w:bottom w:val="single" w:sz="4" w:space="0" w:color="auto"/>
              <w:right w:val="single" w:sz="4" w:space="0" w:color="auto"/>
            </w:tcBorders>
            <w:noWrap/>
            <w:vAlign w:val="bottom"/>
            <w:hideMark/>
          </w:tcPr>
          <w:p w14:paraId="6D2BF2A5"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784" w:type="pct"/>
            <w:tcBorders>
              <w:top w:val="single" w:sz="4" w:space="0" w:color="auto"/>
              <w:left w:val="nil"/>
              <w:bottom w:val="single" w:sz="4" w:space="0" w:color="auto"/>
              <w:right w:val="single" w:sz="4" w:space="0" w:color="auto"/>
            </w:tcBorders>
            <w:noWrap/>
            <w:vAlign w:val="bottom"/>
            <w:hideMark/>
          </w:tcPr>
          <w:p w14:paraId="4A0892D6"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847" w:type="pct"/>
            <w:tcBorders>
              <w:top w:val="single" w:sz="4" w:space="0" w:color="auto"/>
              <w:left w:val="nil"/>
              <w:bottom w:val="single" w:sz="4" w:space="0" w:color="auto"/>
              <w:right w:val="single" w:sz="4" w:space="0" w:color="auto"/>
            </w:tcBorders>
            <w:noWrap/>
            <w:vAlign w:val="bottom"/>
            <w:hideMark/>
          </w:tcPr>
          <w:p w14:paraId="45F5EEFD"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77A06C97"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1537F97D"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664" w:type="pct"/>
            <w:tcBorders>
              <w:top w:val="nil"/>
              <w:left w:val="nil"/>
              <w:bottom w:val="single" w:sz="4" w:space="0" w:color="auto"/>
              <w:right w:val="single" w:sz="4" w:space="0" w:color="auto"/>
            </w:tcBorders>
            <w:noWrap/>
            <w:vAlign w:val="bottom"/>
            <w:hideMark/>
          </w:tcPr>
          <w:p w14:paraId="1F6ADDAB"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16957,24</w:t>
            </w:r>
          </w:p>
        </w:tc>
        <w:tc>
          <w:tcPr>
            <w:tcW w:w="511" w:type="pct"/>
            <w:tcBorders>
              <w:top w:val="nil"/>
              <w:left w:val="nil"/>
              <w:bottom w:val="single" w:sz="4" w:space="0" w:color="auto"/>
              <w:right w:val="single" w:sz="4" w:space="0" w:color="auto"/>
            </w:tcBorders>
            <w:noWrap/>
            <w:vAlign w:val="bottom"/>
            <w:hideMark/>
          </w:tcPr>
          <w:p w14:paraId="61C6B7D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627" w:type="pct"/>
            <w:tcBorders>
              <w:top w:val="nil"/>
              <w:left w:val="nil"/>
              <w:bottom w:val="single" w:sz="4" w:space="0" w:color="auto"/>
              <w:right w:val="single" w:sz="4" w:space="0" w:color="auto"/>
            </w:tcBorders>
            <w:noWrap/>
            <w:vAlign w:val="bottom"/>
            <w:hideMark/>
          </w:tcPr>
          <w:p w14:paraId="1F88BC2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547,01</w:t>
            </w:r>
          </w:p>
        </w:tc>
        <w:tc>
          <w:tcPr>
            <w:tcW w:w="549" w:type="pct"/>
            <w:tcBorders>
              <w:top w:val="nil"/>
              <w:left w:val="nil"/>
              <w:bottom w:val="single" w:sz="4" w:space="0" w:color="auto"/>
              <w:right w:val="single" w:sz="4" w:space="0" w:color="auto"/>
            </w:tcBorders>
            <w:noWrap/>
            <w:vAlign w:val="bottom"/>
            <w:hideMark/>
          </w:tcPr>
          <w:p w14:paraId="5BA80634"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7,97</w:t>
            </w:r>
          </w:p>
        </w:tc>
        <w:tc>
          <w:tcPr>
            <w:tcW w:w="784" w:type="pct"/>
            <w:tcBorders>
              <w:top w:val="nil"/>
              <w:left w:val="nil"/>
              <w:bottom w:val="single" w:sz="4" w:space="0" w:color="auto"/>
              <w:right w:val="single" w:sz="4" w:space="0" w:color="auto"/>
            </w:tcBorders>
            <w:noWrap/>
            <w:vAlign w:val="bottom"/>
            <w:hideMark/>
          </w:tcPr>
          <w:p w14:paraId="5802DC6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47" w:type="pct"/>
            <w:tcBorders>
              <w:top w:val="nil"/>
              <w:left w:val="nil"/>
              <w:bottom w:val="single" w:sz="4" w:space="0" w:color="auto"/>
              <w:right w:val="single" w:sz="4" w:space="0" w:color="auto"/>
            </w:tcBorders>
            <w:noWrap/>
            <w:vAlign w:val="bottom"/>
            <w:hideMark/>
          </w:tcPr>
          <w:p w14:paraId="00CDF0ED"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54,18</w:t>
            </w:r>
          </w:p>
        </w:tc>
      </w:tr>
      <w:tr w:rsidR="00C82BCC" w14:paraId="364B6C45"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6072DB6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Provincia</w:t>
            </w:r>
          </w:p>
        </w:tc>
        <w:tc>
          <w:tcPr>
            <w:tcW w:w="664" w:type="pct"/>
            <w:tcBorders>
              <w:top w:val="nil"/>
              <w:left w:val="nil"/>
              <w:bottom w:val="single" w:sz="4" w:space="0" w:color="auto"/>
              <w:right w:val="single" w:sz="4" w:space="0" w:color="auto"/>
            </w:tcBorders>
            <w:noWrap/>
            <w:vAlign w:val="bottom"/>
            <w:hideMark/>
          </w:tcPr>
          <w:p w14:paraId="3158289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7594,22</w:t>
            </w:r>
          </w:p>
        </w:tc>
        <w:tc>
          <w:tcPr>
            <w:tcW w:w="511" w:type="pct"/>
            <w:tcBorders>
              <w:top w:val="nil"/>
              <w:left w:val="nil"/>
              <w:bottom w:val="single" w:sz="4" w:space="0" w:color="auto"/>
              <w:right w:val="single" w:sz="4" w:space="0" w:color="auto"/>
            </w:tcBorders>
            <w:noWrap/>
            <w:vAlign w:val="bottom"/>
            <w:hideMark/>
          </w:tcPr>
          <w:p w14:paraId="1E19A303"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627" w:type="pct"/>
            <w:tcBorders>
              <w:top w:val="nil"/>
              <w:left w:val="nil"/>
              <w:bottom w:val="single" w:sz="4" w:space="0" w:color="auto"/>
              <w:right w:val="single" w:sz="4" w:space="0" w:color="auto"/>
            </w:tcBorders>
            <w:noWrap/>
            <w:vAlign w:val="bottom"/>
            <w:hideMark/>
          </w:tcPr>
          <w:p w14:paraId="588F7D7C"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3797,11</w:t>
            </w:r>
          </w:p>
        </w:tc>
        <w:tc>
          <w:tcPr>
            <w:tcW w:w="549" w:type="pct"/>
            <w:tcBorders>
              <w:top w:val="nil"/>
              <w:left w:val="nil"/>
              <w:bottom w:val="single" w:sz="4" w:space="0" w:color="auto"/>
              <w:right w:val="single" w:sz="4" w:space="0" w:color="auto"/>
            </w:tcBorders>
            <w:noWrap/>
            <w:vAlign w:val="bottom"/>
            <w:hideMark/>
          </w:tcPr>
          <w:p w14:paraId="13CDDE4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55,34</w:t>
            </w:r>
          </w:p>
        </w:tc>
        <w:tc>
          <w:tcPr>
            <w:tcW w:w="784" w:type="pct"/>
            <w:tcBorders>
              <w:top w:val="nil"/>
              <w:left w:val="nil"/>
              <w:bottom w:val="single" w:sz="4" w:space="0" w:color="auto"/>
              <w:right w:val="single" w:sz="4" w:space="0" w:color="auto"/>
            </w:tcBorders>
            <w:noWrap/>
            <w:vAlign w:val="bottom"/>
            <w:hideMark/>
          </w:tcPr>
          <w:p w14:paraId="5BD4462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47" w:type="pct"/>
            <w:tcBorders>
              <w:top w:val="nil"/>
              <w:left w:val="nil"/>
              <w:bottom w:val="single" w:sz="4" w:space="0" w:color="auto"/>
              <w:right w:val="single" w:sz="4" w:space="0" w:color="auto"/>
            </w:tcBorders>
            <w:noWrap/>
            <w:vAlign w:val="bottom"/>
            <w:hideMark/>
          </w:tcPr>
          <w:p w14:paraId="7993CDCF"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24,26</w:t>
            </w:r>
          </w:p>
        </w:tc>
      </w:tr>
      <w:tr w:rsidR="00C82BCC" w14:paraId="74399D1F"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06856677"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664" w:type="pct"/>
            <w:tcBorders>
              <w:top w:val="nil"/>
              <w:left w:val="nil"/>
              <w:bottom w:val="single" w:sz="4" w:space="0" w:color="auto"/>
              <w:right w:val="single" w:sz="4" w:space="0" w:color="auto"/>
            </w:tcBorders>
            <w:noWrap/>
            <w:vAlign w:val="bottom"/>
            <w:hideMark/>
          </w:tcPr>
          <w:p w14:paraId="46B89D13"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4309,71</w:t>
            </w:r>
          </w:p>
        </w:tc>
        <w:tc>
          <w:tcPr>
            <w:tcW w:w="511" w:type="pct"/>
            <w:tcBorders>
              <w:top w:val="nil"/>
              <w:left w:val="nil"/>
              <w:bottom w:val="single" w:sz="4" w:space="0" w:color="auto"/>
              <w:right w:val="single" w:sz="4" w:space="0" w:color="auto"/>
            </w:tcBorders>
            <w:noWrap/>
            <w:vAlign w:val="bottom"/>
            <w:hideMark/>
          </w:tcPr>
          <w:p w14:paraId="336EC46F"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w:t>
            </w:r>
          </w:p>
        </w:tc>
        <w:tc>
          <w:tcPr>
            <w:tcW w:w="627" w:type="pct"/>
            <w:tcBorders>
              <w:top w:val="nil"/>
              <w:left w:val="nil"/>
              <w:bottom w:val="single" w:sz="4" w:space="0" w:color="auto"/>
              <w:right w:val="single" w:sz="4" w:space="0" w:color="auto"/>
            </w:tcBorders>
            <w:noWrap/>
            <w:vAlign w:val="bottom"/>
            <w:hideMark/>
          </w:tcPr>
          <w:p w14:paraId="3B72AAB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478,86</w:t>
            </w:r>
          </w:p>
        </w:tc>
        <w:tc>
          <w:tcPr>
            <w:tcW w:w="549" w:type="pct"/>
            <w:tcBorders>
              <w:top w:val="nil"/>
              <w:left w:val="nil"/>
              <w:bottom w:val="single" w:sz="4" w:space="0" w:color="auto"/>
              <w:right w:val="single" w:sz="4" w:space="0" w:color="auto"/>
            </w:tcBorders>
            <w:noWrap/>
            <w:vAlign w:val="bottom"/>
            <w:hideMark/>
          </w:tcPr>
          <w:p w14:paraId="390B365F"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6,98</w:t>
            </w:r>
          </w:p>
        </w:tc>
        <w:tc>
          <w:tcPr>
            <w:tcW w:w="784" w:type="pct"/>
            <w:tcBorders>
              <w:top w:val="nil"/>
              <w:left w:val="nil"/>
              <w:bottom w:val="single" w:sz="4" w:space="0" w:color="auto"/>
              <w:right w:val="single" w:sz="4" w:space="0" w:color="auto"/>
            </w:tcBorders>
            <w:noWrap/>
            <w:vAlign w:val="bottom"/>
            <w:hideMark/>
          </w:tcPr>
          <w:p w14:paraId="7E31ADD4"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47" w:type="pct"/>
            <w:tcBorders>
              <w:top w:val="nil"/>
              <w:left w:val="nil"/>
              <w:bottom w:val="single" w:sz="4" w:space="0" w:color="auto"/>
              <w:right w:val="single" w:sz="4" w:space="0" w:color="auto"/>
            </w:tcBorders>
            <w:noWrap/>
            <w:vAlign w:val="bottom"/>
            <w:hideMark/>
          </w:tcPr>
          <w:p w14:paraId="52E69D9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13,77</w:t>
            </w:r>
          </w:p>
        </w:tc>
      </w:tr>
      <w:tr w:rsidR="00C82BCC" w14:paraId="01FF6703"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614DAF96"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664" w:type="pct"/>
            <w:tcBorders>
              <w:top w:val="nil"/>
              <w:left w:val="nil"/>
              <w:bottom w:val="single" w:sz="4" w:space="0" w:color="auto"/>
              <w:right w:val="single" w:sz="4" w:space="0" w:color="auto"/>
            </w:tcBorders>
            <w:noWrap/>
            <w:vAlign w:val="bottom"/>
            <w:hideMark/>
          </w:tcPr>
          <w:p w14:paraId="7C55FB1C"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1139,49</w:t>
            </w:r>
          </w:p>
        </w:tc>
        <w:tc>
          <w:tcPr>
            <w:tcW w:w="511" w:type="pct"/>
            <w:tcBorders>
              <w:top w:val="nil"/>
              <w:left w:val="nil"/>
              <w:bottom w:val="single" w:sz="4" w:space="0" w:color="auto"/>
              <w:right w:val="single" w:sz="4" w:space="0" w:color="auto"/>
            </w:tcBorders>
            <w:noWrap/>
            <w:vAlign w:val="bottom"/>
            <w:hideMark/>
          </w:tcPr>
          <w:p w14:paraId="098F576A"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27" w:type="pct"/>
            <w:tcBorders>
              <w:top w:val="nil"/>
              <w:left w:val="nil"/>
              <w:bottom w:val="single" w:sz="4" w:space="0" w:color="auto"/>
              <w:right w:val="single" w:sz="4" w:space="0" w:color="auto"/>
            </w:tcBorders>
            <w:noWrap/>
            <w:vAlign w:val="bottom"/>
            <w:hideMark/>
          </w:tcPr>
          <w:p w14:paraId="5B1922E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189,91</w:t>
            </w:r>
          </w:p>
        </w:tc>
        <w:tc>
          <w:tcPr>
            <w:tcW w:w="549" w:type="pct"/>
            <w:tcBorders>
              <w:top w:val="nil"/>
              <w:left w:val="nil"/>
              <w:bottom w:val="single" w:sz="4" w:space="0" w:color="auto"/>
              <w:right w:val="single" w:sz="4" w:space="0" w:color="auto"/>
            </w:tcBorders>
            <w:noWrap/>
            <w:vAlign w:val="bottom"/>
            <w:hideMark/>
          </w:tcPr>
          <w:p w14:paraId="6E5C9D88"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2,77</w:t>
            </w:r>
          </w:p>
        </w:tc>
        <w:tc>
          <w:tcPr>
            <w:tcW w:w="784" w:type="pct"/>
            <w:tcBorders>
              <w:top w:val="nil"/>
              <w:left w:val="nil"/>
              <w:bottom w:val="single" w:sz="4" w:space="0" w:color="auto"/>
              <w:right w:val="single" w:sz="4" w:space="0" w:color="auto"/>
            </w:tcBorders>
            <w:noWrap/>
            <w:vAlign w:val="bottom"/>
            <w:hideMark/>
          </w:tcPr>
          <w:p w14:paraId="72144B4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0,0131</w:t>
            </w:r>
          </w:p>
        </w:tc>
        <w:tc>
          <w:tcPr>
            <w:tcW w:w="847" w:type="pct"/>
            <w:tcBorders>
              <w:top w:val="nil"/>
              <w:left w:val="nil"/>
              <w:bottom w:val="single" w:sz="4" w:space="0" w:color="auto"/>
              <w:right w:val="single" w:sz="4" w:space="0" w:color="auto"/>
            </w:tcBorders>
            <w:noWrap/>
            <w:vAlign w:val="bottom"/>
            <w:hideMark/>
          </w:tcPr>
          <w:p w14:paraId="0F992A7B"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3,64</w:t>
            </w:r>
          </w:p>
        </w:tc>
      </w:tr>
      <w:tr w:rsidR="00C82BCC" w14:paraId="541F1CB2"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3E1F85A7"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664" w:type="pct"/>
            <w:tcBorders>
              <w:top w:val="nil"/>
              <w:left w:val="nil"/>
              <w:bottom w:val="single" w:sz="4" w:space="0" w:color="auto"/>
              <w:right w:val="single" w:sz="4" w:space="0" w:color="auto"/>
            </w:tcBorders>
            <w:noWrap/>
            <w:vAlign w:val="bottom"/>
            <w:hideMark/>
          </w:tcPr>
          <w:p w14:paraId="5A572DE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884,42</w:t>
            </w:r>
          </w:p>
        </w:tc>
        <w:tc>
          <w:tcPr>
            <w:tcW w:w="511" w:type="pct"/>
            <w:tcBorders>
              <w:top w:val="nil"/>
              <w:left w:val="nil"/>
              <w:bottom w:val="single" w:sz="4" w:space="0" w:color="auto"/>
              <w:right w:val="single" w:sz="4" w:space="0" w:color="auto"/>
            </w:tcBorders>
            <w:noWrap/>
            <w:vAlign w:val="bottom"/>
            <w:hideMark/>
          </w:tcPr>
          <w:p w14:paraId="5D89371C"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627" w:type="pct"/>
            <w:tcBorders>
              <w:top w:val="nil"/>
              <w:left w:val="nil"/>
              <w:bottom w:val="single" w:sz="4" w:space="0" w:color="auto"/>
              <w:right w:val="single" w:sz="4" w:space="0" w:color="auto"/>
            </w:tcBorders>
            <w:noWrap/>
            <w:vAlign w:val="bottom"/>
            <w:hideMark/>
          </w:tcPr>
          <w:p w14:paraId="7414037D"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147,4</w:t>
            </w:r>
          </w:p>
        </w:tc>
        <w:tc>
          <w:tcPr>
            <w:tcW w:w="549" w:type="pct"/>
            <w:tcBorders>
              <w:top w:val="nil"/>
              <w:left w:val="nil"/>
              <w:bottom w:val="single" w:sz="4" w:space="0" w:color="auto"/>
              <w:right w:val="single" w:sz="4" w:space="0" w:color="auto"/>
            </w:tcBorders>
            <w:noWrap/>
            <w:vAlign w:val="bottom"/>
            <w:hideMark/>
          </w:tcPr>
          <w:p w14:paraId="3ED6B5D7"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2,15</w:t>
            </w:r>
          </w:p>
        </w:tc>
        <w:tc>
          <w:tcPr>
            <w:tcW w:w="784" w:type="pct"/>
            <w:tcBorders>
              <w:top w:val="nil"/>
              <w:left w:val="nil"/>
              <w:bottom w:val="single" w:sz="4" w:space="0" w:color="auto"/>
              <w:right w:val="single" w:sz="4" w:space="0" w:color="auto"/>
            </w:tcBorders>
            <w:noWrap/>
            <w:vAlign w:val="bottom"/>
            <w:hideMark/>
          </w:tcPr>
          <w:p w14:paraId="4E0AD471"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0,0494</w:t>
            </w:r>
          </w:p>
        </w:tc>
        <w:tc>
          <w:tcPr>
            <w:tcW w:w="847" w:type="pct"/>
            <w:tcBorders>
              <w:top w:val="nil"/>
              <w:left w:val="nil"/>
              <w:bottom w:val="single" w:sz="4" w:space="0" w:color="auto"/>
              <w:right w:val="single" w:sz="4" w:space="0" w:color="auto"/>
            </w:tcBorders>
            <w:noWrap/>
            <w:vAlign w:val="bottom"/>
            <w:hideMark/>
          </w:tcPr>
          <w:p w14:paraId="1084DD01"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2,83</w:t>
            </w:r>
          </w:p>
        </w:tc>
      </w:tr>
      <w:tr w:rsidR="00C82BCC" w14:paraId="73027A37"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489CAE6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664" w:type="pct"/>
            <w:tcBorders>
              <w:top w:val="nil"/>
              <w:left w:val="nil"/>
              <w:bottom w:val="single" w:sz="4" w:space="0" w:color="auto"/>
              <w:right w:val="single" w:sz="4" w:space="0" w:color="auto"/>
            </w:tcBorders>
            <w:noWrap/>
            <w:vAlign w:val="bottom"/>
            <w:hideMark/>
          </w:tcPr>
          <w:p w14:paraId="3DDAB7A6"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1183,33</w:t>
            </w:r>
          </w:p>
        </w:tc>
        <w:tc>
          <w:tcPr>
            <w:tcW w:w="511" w:type="pct"/>
            <w:tcBorders>
              <w:top w:val="nil"/>
              <w:left w:val="nil"/>
              <w:bottom w:val="single" w:sz="4" w:space="0" w:color="auto"/>
              <w:right w:val="single" w:sz="4" w:space="0" w:color="auto"/>
            </w:tcBorders>
            <w:noWrap/>
            <w:vAlign w:val="bottom"/>
            <w:hideMark/>
          </w:tcPr>
          <w:p w14:paraId="0AC4312D"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27" w:type="pct"/>
            <w:tcBorders>
              <w:top w:val="nil"/>
              <w:left w:val="nil"/>
              <w:bottom w:val="single" w:sz="4" w:space="0" w:color="auto"/>
              <w:right w:val="single" w:sz="4" w:space="0" w:color="auto"/>
            </w:tcBorders>
            <w:noWrap/>
            <w:vAlign w:val="bottom"/>
            <w:hideMark/>
          </w:tcPr>
          <w:p w14:paraId="239F44F8"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295,83</w:t>
            </w:r>
          </w:p>
        </w:tc>
        <w:tc>
          <w:tcPr>
            <w:tcW w:w="549" w:type="pct"/>
            <w:tcBorders>
              <w:top w:val="nil"/>
              <w:left w:val="nil"/>
              <w:bottom w:val="single" w:sz="4" w:space="0" w:color="auto"/>
              <w:right w:val="single" w:sz="4" w:space="0" w:color="auto"/>
            </w:tcBorders>
            <w:noWrap/>
            <w:vAlign w:val="bottom"/>
            <w:hideMark/>
          </w:tcPr>
          <w:p w14:paraId="3025ABB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4,31</w:t>
            </w:r>
          </w:p>
        </w:tc>
        <w:tc>
          <w:tcPr>
            <w:tcW w:w="784" w:type="pct"/>
            <w:tcBorders>
              <w:top w:val="nil"/>
              <w:left w:val="nil"/>
              <w:bottom w:val="single" w:sz="4" w:space="0" w:color="auto"/>
              <w:right w:val="single" w:sz="4" w:space="0" w:color="auto"/>
            </w:tcBorders>
            <w:noWrap/>
            <w:vAlign w:val="bottom"/>
            <w:hideMark/>
          </w:tcPr>
          <w:p w14:paraId="30399294"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0,0023</w:t>
            </w:r>
          </w:p>
        </w:tc>
        <w:tc>
          <w:tcPr>
            <w:tcW w:w="847" w:type="pct"/>
            <w:tcBorders>
              <w:top w:val="nil"/>
              <w:left w:val="nil"/>
              <w:bottom w:val="single" w:sz="4" w:space="0" w:color="auto"/>
              <w:right w:val="single" w:sz="4" w:space="0" w:color="auto"/>
            </w:tcBorders>
            <w:noWrap/>
            <w:vAlign w:val="bottom"/>
            <w:hideMark/>
          </w:tcPr>
          <w:p w14:paraId="2BB8FE5A"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3,78</w:t>
            </w:r>
          </w:p>
        </w:tc>
      </w:tr>
      <w:tr w:rsidR="00C82BCC" w14:paraId="6330AF2D"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411780AC"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664" w:type="pct"/>
            <w:tcBorders>
              <w:top w:val="nil"/>
              <w:left w:val="nil"/>
              <w:bottom w:val="single" w:sz="4" w:space="0" w:color="auto"/>
              <w:right w:val="single" w:sz="4" w:space="0" w:color="auto"/>
            </w:tcBorders>
            <w:noWrap/>
            <w:vAlign w:val="bottom"/>
            <w:hideMark/>
          </w:tcPr>
          <w:p w14:paraId="3DB02784"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1846,07</w:t>
            </w:r>
          </w:p>
        </w:tc>
        <w:tc>
          <w:tcPr>
            <w:tcW w:w="511" w:type="pct"/>
            <w:tcBorders>
              <w:top w:val="nil"/>
              <w:left w:val="nil"/>
              <w:bottom w:val="single" w:sz="4" w:space="0" w:color="auto"/>
              <w:right w:val="single" w:sz="4" w:space="0" w:color="auto"/>
            </w:tcBorders>
            <w:noWrap/>
            <w:vAlign w:val="bottom"/>
            <w:hideMark/>
          </w:tcPr>
          <w:p w14:paraId="29E8D56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627" w:type="pct"/>
            <w:tcBorders>
              <w:top w:val="nil"/>
              <w:left w:val="nil"/>
              <w:bottom w:val="single" w:sz="4" w:space="0" w:color="auto"/>
              <w:right w:val="single" w:sz="4" w:space="0" w:color="auto"/>
            </w:tcBorders>
            <w:noWrap/>
            <w:vAlign w:val="bottom"/>
            <w:hideMark/>
          </w:tcPr>
          <w:p w14:paraId="644FEA8B"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461,52</w:t>
            </w:r>
          </w:p>
        </w:tc>
        <w:tc>
          <w:tcPr>
            <w:tcW w:w="549" w:type="pct"/>
            <w:tcBorders>
              <w:top w:val="nil"/>
              <w:left w:val="nil"/>
              <w:bottom w:val="single" w:sz="4" w:space="0" w:color="auto"/>
              <w:right w:val="single" w:sz="4" w:space="0" w:color="auto"/>
            </w:tcBorders>
            <w:noWrap/>
            <w:vAlign w:val="bottom"/>
            <w:hideMark/>
          </w:tcPr>
          <w:p w14:paraId="68E5C8AF"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6,73</w:t>
            </w:r>
          </w:p>
        </w:tc>
        <w:tc>
          <w:tcPr>
            <w:tcW w:w="784" w:type="pct"/>
            <w:tcBorders>
              <w:top w:val="nil"/>
              <w:left w:val="nil"/>
              <w:bottom w:val="single" w:sz="4" w:space="0" w:color="auto"/>
              <w:right w:val="single" w:sz="4" w:space="0" w:color="auto"/>
            </w:tcBorders>
            <w:noWrap/>
            <w:vAlign w:val="bottom"/>
            <w:hideMark/>
          </w:tcPr>
          <w:p w14:paraId="5250DAE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847" w:type="pct"/>
            <w:tcBorders>
              <w:top w:val="nil"/>
              <w:left w:val="nil"/>
              <w:bottom w:val="single" w:sz="4" w:space="0" w:color="auto"/>
              <w:right w:val="single" w:sz="4" w:space="0" w:color="auto"/>
            </w:tcBorders>
            <w:noWrap/>
            <w:vAlign w:val="bottom"/>
            <w:hideMark/>
          </w:tcPr>
          <w:p w14:paraId="02E9ECD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5,90</w:t>
            </w:r>
          </w:p>
        </w:tc>
      </w:tr>
      <w:tr w:rsidR="00C82BCC" w14:paraId="38B63D50"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5DBD49D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664" w:type="pct"/>
            <w:tcBorders>
              <w:top w:val="nil"/>
              <w:left w:val="nil"/>
              <w:bottom w:val="single" w:sz="4" w:space="0" w:color="auto"/>
              <w:right w:val="single" w:sz="4" w:space="0" w:color="auto"/>
            </w:tcBorders>
            <w:noWrap/>
            <w:vAlign w:val="bottom"/>
            <w:hideMark/>
          </w:tcPr>
          <w:p w14:paraId="41C66438"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14340,23</w:t>
            </w:r>
          </w:p>
        </w:tc>
        <w:tc>
          <w:tcPr>
            <w:tcW w:w="511" w:type="pct"/>
            <w:tcBorders>
              <w:top w:val="nil"/>
              <w:left w:val="nil"/>
              <w:bottom w:val="single" w:sz="4" w:space="0" w:color="auto"/>
              <w:right w:val="single" w:sz="4" w:space="0" w:color="auto"/>
            </w:tcBorders>
            <w:noWrap/>
            <w:vAlign w:val="bottom"/>
            <w:hideMark/>
          </w:tcPr>
          <w:p w14:paraId="72FF8B23"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209</w:t>
            </w:r>
          </w:p>
        </w:tc>
        <w:tc>
          <w:tcPr>
            <w:tcW w:w="627" w:type="pct"/>
            <w:tcBorders>
              <w:top w:val="nil"/>
              <w:left w:val="nil"/>
              <w:bottom w:val="single" w:sz="4" w:space="0" w:color="auto"/>
              <w:right w:val="single" w:sz="4" w:space="0" w:color="auto"/>
            </w:tcBorders>
            <w:noWrap/>
            <w:vAlign w:val="bottom"/>
            <w:hideMark/>
          </w:tcPr>
          <w:p w14:paraId="5089B2E7"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68,61</w:t>
            </w:r>
          </w:p>
        </w:tc>
        <w:tc>
          <w:tcPr>
            <w:tcW w:w="549" w:type="pct"/>
            <w:tcBorders>
              <w:top w:val="nil"/>
              <w:left w:val="nil"/>
              <w:bottom w:val="single" w:sz="4" w:space="0" w:color="auto"/>
              <w:right w:val="single" w:sz="4" w:space="0" w:color="auto"/>
            </w:tcBorders>
            <w:noWrap/>
            <w:vAlign w:val="bottom"/>
            <w:hideMark/>
          </w:tcPr>
          <w:p w14:paraId="4DA1250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4" w:type="pct"/>
            <w:tcBorders>
              <w:top w:val="nil"/>
              <w:left w:val="nil"/>
              <w:bottom w:val="single" w:sz="4" w:space="0" w:color="auto"/>
              <w:right w:val="single" w:sz="4" w:space="0" w:color="auto"/>
            </w:tcBorders>
            <w:noWrap/>
            <w:vAlign w:val="bottom"/>
            <w:hideMark/>
          </w:tcPr>
          <w:p w14:paraId="3A175B7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47" w:type="pct"/>
            <w:tcBorders>
              <w:top w:val="nil"/>
              <w:left w:val="nil"/>
              <w:bottom w:val="single" w:sz="4" w:space="0" w:color="auto"/>
              <w:right w:val="single" w:sz="4" w:space="0" w:color="auto"/>
            </w:tcBorders>
            <w:noWrap/>
            <w:vAlign w:val="bottom"/>
            <w:hideMark/>
          </w:tcPr>
          <w:p w14:paraId="2D1C7B63"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45,82</w:t>
            </w:r>
          </w:p>
        </w:tc>
      </w:tr>
      <w:tr w:rsidR="00C82BCC" w14:paraId="5622F459" w14:textId="77777777" w:rsidTr="008A6AF7">
        <w:trPr>
          <w:trHeight w:val="300"/>
        </w:trPr>
        <w:tc>
          <w:tcPr>
            <w:tcW w:w="1017" w:type="pct"/>
            <w:tcBorders>
              <w:top w:val="nil"/>
              <w:left w:val="single" w:sz="4" w:space="0" w:color="auto"/>
              <w:bottom w:val="single" w:sz="4" w:space="0" w:color="auto"/>
              <w:right w:val="single" w:sz="4" w:space="0" w:color="auto"/>
            </w:tcBorders>
            <w:noWrap/>
            <w:vAlign w:val="bottom"/>
            <w:hideMark/>
          </w:tcPr>
          <w:p w14:paraId="425AF051"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664" w:type="pct"/>
            <w:tcBorders>
              <w:top w:val="nil"/>
              <w:left w:val="nil"/>
              <w:bottom w:val="single" w:sz="4" w:space="0" w:color="auto"/>
              <w:right w:val="single" w:sz="4" w:space="0" w:color="auto"/>
            </w:tcBorders>
            <w:noWrap/>
            <w:vAlign w:val="bottom"/>
            <w:hideMark/>
          </w:tcPr>
          <w:p w14:paraId="35C22D7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31297,48</w:t>
            </w:r>
          </w:p>
        </w:tc>
        <w:tc>
          <w:tcPr>
            <w:tcW w:w="511" w:type="pct"/>
            <w:tcBorders>
              <w:top w:val="nil"/>
              <w:left w:val="nil"/>
              <w:bottom w:val="single" w:sz="4" w:space="0" w:color="auto"/>
              <w:right w:val="single" w:sz="4" w:space="0" w:color="auto"/>
            </w:tcBorders>
            <w:noWrap/>
            <w:vAlign w:val="bottom"/>
            <w:hideMark/>
          </w:tcPr>
          <w:p w14:paraId="7557FAFC"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240</w:t>
            </w:r>
          </w:p>
        </w:tc>
        <w:tc>
          <w:tcPr>
            <w:tcW w:w="627" w:type="pct"/>
            <w:tcBorders>
              <w:top w:val="nil"/>
              <w:left w:val="nil"/>
              <w:bottom w:val="single" w:sz="4" w:space="0" w:color="auto"/>
              <w:right w:val="single" w:sz="4" w:space="0" w:color="auto"/>
            </w:tcBorders>
            <w:noWrap/>
            <w:vAlign w:val="bottom"/>
            <w:hideMark/>
          </w:tcPr>
          <w:p w14:paraId="4B4488F0"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49" w:type="pct"/>
            <w:tcBorders>
              <w:top w:val="nil"/>
              <w:left w:val="nil"/>
              <w:bottom w:val="single" w:sz="4" w:space="0" w:color="auto"/>
              <w:right w:val="single" w:sz="4" w:space="0" w:color="auto"/>
            </w:tcBorders>
            <w:noWrap/>
            <w:vAlign w:val="bottom"/>
            <w:hideMark/>
          </w:tcPr>
          <w:p w14:paraId="1F462E8A"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84" w:type="pct"/>
            <w:tcBorders>
              <w:top w:val="nil"/>
              <w:left w:val="nil"/>
              <w:bottom w:val="single" w:sz="4" w:space="0" w:color="auto"/>
              <w:right w:val="single" w:sz="4" w:space="0" w:color="auto"/>
            </w:tcBorders>
            <w:noWrap/>
            <w:vAlign w:val="bottom"/>
            <w:hideMark/>
          </w:tcPr>
          <w:p w14:paraId="6274255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47" w:type="pct"/>
            <w:tcBorders>
              <w:top w:val="nil"/>
              <w:left w:val="nil"/>
              <w:bottom w:val="single" w:sz="4" w:space="0" w:color="auto"/>
              <w:right w:val="single" w:sz="4" w:space="0" w:color="auto"/>
            </w:tcBorders>
            <w:noWrap/>
            <w:vAlign w:val="bottom"/>
            <w:hideMark/>
          </w:tcPr>
          <w:p w14:paraId="1CC895A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55154D95" w14:textId="11E80AE2" w:rsidR="00C82BCC" w:rsidRDefault="00C82BCC" w:rsidP="008A6AF7">
      <w:pPr>
        <w:autoSpaceDE w:val="0"/>
        <w:autoSpaceDN w:val="0"/>
        <w:adjustRightInd w:val="0"/>
        <w:spacing w:before="360" w:after="0" w:line="360" w:lineRule="auto"/>
        <w:rPr>
          <w:rFonts w:cs="Times New Roman"/>
          <w:bCs/>
          <w:szCs w:val="24"/>
        </w:rPr>
      </w:pPr>
      <w:r>
        <w:rPr>
          <w:rFonts w:cs="Times New Roman"/>
          <w:bCs/>
          <w:szCs w:val="24"/>
        </w:rPr>
        <w:t xml:space="preserve">El modelo estadístico establecido explica el 54,18 % de la variación observada en los datos. El azufre explicó el 3,78 % y el nitrógeno, el nutriente con más importancia, explicó el 13,77 % de la variación observada. Un 45,85 % de la variación se les atribuyó a efectos aleatorios que el modelo no pudo explicar (error). La provincia, el fósforo, potasio y magnesio explicaron el 24,26%, 3,64 %, 2,83 %, 5,90 % de la </w:t>
      </w:r>
      <w:r>
        <w:rPr>
          <w:rFonts w:cs="Times New Roman"/>
          <w:szCs w:val="24"/>
        </w:rPr>
        <w:t>absorción total de azufre respectivamente</w:t>
      </w:r>
      <w:r>
        <w:rPr>
          <w:rFonts w:cs="Times New Roman"/>
          <w:bCs/>
          <w:szCs w:val="24"/>
        </w:rPr>
        <w:t xml:space="preserve"> (</w:t>
      </w:r>
      <w:r w:rsidR="00273C68">
        <w:rPr>
          <w:rFonts w:cs="Times New Roman"/>
          <w:bCs/>
          <w:szCs w:val="24"/>
        </w:rPr>
        <w:t>Cuadro</w:t>
      </w:r>
      <w:r>
        <w:rPr>
          <w:rFonts w:cs="Times New Roman"/>
          <w:bCs/>
          <w:szCs w:val="24"/>
        </w:rPr>
        <w:t xml:space="preserve"> 169).  </w:t>
      </w:r>
    </w:p>
    <w:p w14:paraId="2C3972BF" w14:textId="037C9511" w:rsidR="00C82BCC" w:rsidRDefault="00C82BCC" w:rsidP="00BF6D8E">
      <w:pPr>
        <w:autoSpaceDE w:val="0"/>
        <w:autoSpaceDN w:val="0"/>
        <w:adjustRightInd w:val="0"/>
        <w:spacing w:before="360" w:after="360" w:line="360" w:lineRule="auto"/>
        <w:rPr>
          <w:rFonts w:cs="Times New Roman"/>
          <w:bCs/>
          <w:szCs w:val="24"/>
        </w:rPr>
      </w:pPr>
      <w:r>
        <w:rPr>
          <w:rFonts w:cs="Times New Roman"/>
          <w:bCs/>
          <w:szCs w:val="24"/>
        </w:rPr>
        <w:t>En l</w:t>
      </w:r>
      <w:r w:rsidR="00273C68">
        <w:rPr>
          <w:rFonts w:cs="Times New Roman"/>
          <w:bCs/>
          <w:szCs w:val="24"/>
        </w:rPr>
        <w:t>os cuadros</w:t>
      </w:r>
      <w:r>
        <w:rPr>
          <w:rFonts w:cs="Times New Roman"/>
          <w:bCs/>
          <w:szCs w:val="24"/>
        </w:rPr>
        <w:t xml:space="preserve"> 170, 171, 172, 173</w:t>
      </w:r>
      <w:r w:rsidR="0039325D">
        <w:rPr>
          <w:rFonts w:cs="Times New Roman"/>
          <w:bCs/>
          <w:szCs w:val="24"/>
        </w:rPr>
        <w:t xml:space="preserve">, </w:t>
      </w:r>
      <w:r>
        <w:rPr>
          <w:rFonts w:cs="Times New Roman"/>
          <w:bCs/>
          <w:szCs w:val="24"/>
        </w:rPr>
        <w:t>174</w:t>
      </w:r>
      <w:r w:rsidR="0039325D">
        <w:rPr>
          <w:rFonts w:cs="Times New Roman"/>
          <w:bCs/>
          <w:szCs w:val="24"/>
        </w:rPr>
        <w:t xml:space="preserve"> y 175</w:t>
      </w:r>
      <w:r>
        <w:rPr>
          <w:rFonts w:cs="Times New Roman"/>
          <w:bCs/>
          <w:szCs w:val="24"/>
        </w:rPr>
        <w:t xml:space="preserve"> se presentan los promedios y el error estándar de a</w:t>
      </w:r>
      <w:r w:rsidR="001B6327">
        <w:rPr>
          <w:rFonts w:cs="Times New Roman"/>
          <w:bCs/>
          <w:szCs w:val="24"/>
        </w:rPr>
        <w:t>b</w:t>
      </w:r>
      <w:r>
        <w:rPr>
          <w:rFonts w:cs="Times New Roman"/>
          <w:bCs/>
          <w:szCs w:val="24"/>
        </w:rPr>
        <w:t xml:space="preserve">sorción de azufre por efecto de las localidades (provincia) y los niveles de nitrógeno, fósforo, potasio, azufre, magnesio con su respectiva prueba de Lsd Fisher (alfa=0,05). </w:t>
      </w:r>
    </w:p>
    <w:p w14:paraId="2A7F7367" w14:textId="77777777" w:rsidR="00BF6D8E" w:rsidRDefault="00BF6D8E" w:rsidP="008A6AF7">
      <w:pPr>
        <w:pStyle w:val="Descripcin"/>
        <w:keepNext/>
        <w:rPr>
          <w:rFonts w:cs="Times New Roman"/>
          <w:b/>
          <w:bCs/>
          <w:i w:val="0"/>
          <w:iCs w:val="0"/>
          <w:color w:val="auto"/>
          <w:sz w:val="24"/>
          <w:szCs w:val="24"/>
          <w:lang w:eastAsia="en-US"/>
        </w:rPr>
      </w:pPr>
      <w:bookmarkStart w:id="2172" w:name="_Toc79314162"/>
      <w:r>
        <w:rPr>
          <w:rFonts w:cs="Times New Roman"/>
          <w:b/>
          <w:bCs/>
          <w:i w:val="0"/>
          <w:iCs w:val="0"/>
          <w:color w:val="auto"/>
          <w:sz w:val="24"/>
          <w:szCs w:val="24"/>
          <w:lang w:eastAsia="en-US"/>
        </w:rPr>
        <w:br w:type="page"/>
      </w:r>
    </w:p>
    <w:p w14:paraId="53DAD901" w14:textId="2DBA9486" w:rsidR="008A6AF7" w:rsidRPr="008A6AF7" w:rsidRDefault="008A6AF7" w:rsidP="00BF6D8E">
      <w:pPr>
        <w:pStyle w:val="Descripcin"/>
        <w:keepNext/>
        <w:spacing w:before="360"/>
        <w:rPr>
          <w:rFonts w:cs="Times New Roman"/>
          <w:bCs/>
          <w:i w:val="0"/>
          <w:iCs w:val="0"/>
          <w:color w:val="auto"/>
          <w:sz w:val="24"/>
          <w:szCs w:val="24"/>
          <w:lang w:eastAsia="en-US"/>
        </w:rPr>
      </w:pPr>
      <w:r w:rsidRPr="008A6AF7">
        <w:rPr>
          <w:rFonts w:cs="Times New Roman"/>
          <w:b/>
          <w:bCs/>
          <w:i w:val="0"/>
          <w:iCs w:val="0"/>
          <w:color w:val="auto"/>
          <w:sz w:val="24"/>
          <w:szCs w:val="24"/>
          <w:lang w:eastAsia="en-US"/>
        </w:rPr>
        <w:lastRenderedPageBreak/>
        <w:t xml:space="preserve">Cuadro </w:t>
      </w:r>
      <w:r w:rsidRPr="008A6AF7">
        <w:rPr>
          <w:rFonts w:cs="Times New Roman"/>
          <w:b/>
          <w:bCs/>
          <w:i w:val="0"/>
          <w:iCs w:val="0"/>
          <w:color w:val="auto"/>
          <w:sz w:val="24"/>
          <w:szCs w:val="24"/>
          <w:lang w:eastAsia="en-US"/>
        </w:rPr>
        <w:fldChar w:fldCharType="begin"/>
      </w:r>
      <w:r w:rsidRPr="008A6AF7">
        <w:rPr>
          <w:rFonts w:cs="Times New Roman"/>
          <w:b/>
          <w:bCs/>
          <w:i w:val="0"/>
          <w:iCs w:val="0"/>
          <w:color w:val="auto"/>
          <w:sz w:val="24"/>
          <w:szCs w:val="24"/>
          <w:lang w:eastAsia="en-US"/>
        </w:rPr>
        <w:instrText xml:space="preserve"> SEQ Cuadro \* ARABIC </w:instrText>
      </w:r>
      <w:r w:rsidRPr="008A6AF7">
        <w:rPr>
          <w:rFonts w:cs="Times New Roman"/>
          <w:b/>
          <w:bCs/>
          <w:i w:val="0"/>
          <w:iCs w:val="0"/>
          <w:color w:val="auto"/>
          <w:sz w:val="24"/>
          <w:szCs w:val="24"/>
          <w:lang w:eastAsia="en-US"/>
        </w:rPr>
        <w:fldChar w:fldCharType="separate"/>
      </w:r>
      <w:r w:rsidR="000D1F55">
        <w:rPr>
          <w:rFonts w:cs="Times New Roman"/>
          <w:b/>
          <w:bCs/>
          <w:i w:val="0"/>
          <w:iCs w:val="0"/>
          <w:noProof/>
          <w:color w:val="auto"/>
          <w:sz w:val="24"/>
          <w:szCs w:val="24"/>
          <w:lang w:eastAsia="en-US"/>
        </w:rPr>
        <w:t>170</w:t>
      </w:r>
      <w:r w:rsidRPr="008A6AF7">
        <w:rPr>
          <w:rFonts w:cs="Times New Roman"/>
          <w:b/>
          <w:bCs/>
          <w:i w:val="0"/>
          <w:iCs w:val="0"/>
          <w:color w:val="auto"/>
          <w:sz w:val="24"/>
          <w:szCs w:val="24"/>
          <w:lang w:eastAsia="en-US"/>
        </w:rPr>
        <w:fldChar w:fldCharType="end"/>
      </w:r>
      <w:r w:rsidRPr="008A6AF7">
        <w:rPr>
          <w:rFonts w:cs="Times New Roman"/>
          <w:b/>
          <w:bCs/>
          <w:i w:val="0"/>
          <w:iCs w:val="0"/>
          <w:color w:val="auto"/>
          <w:sz w:val="24"/>
          <w:szCs w:val="24"/>
          <w:lang w:eastAsia="en-US"/>
        </w:rPr>
        <w:t xml:space="preserve">. </w:t>
      </w:r>
      <w:r w:rsidRPr="008A6AF7">
        <w:rPr>
          <w:rFonts w:cs="Times New Roman"/>
          <w:bCs/>
          <w:i w:val="0"/>
          <w:iCs w:val="0"/>
          <w:color w:val="auto"/>
          <w:sz w:val="24"/>
          <w:szCs w:val="24"/>
          <w:lang w:eastAsia="en-US"/>
        </w:rPr>
        <w:t>Absorción total de azufre en plantas de maíz suave, evaluado en las provincias de Bolívar, Chimborazo, Imbabura 2006-2015.</w:t>
      </w:r>
      <w:bookmarkEnd w:id="2172"/>
    </w:p>
    <w:tbl>
      <w:tblPr>
        <w:tblW w:w="5000" w:type="pct"/>
        <w:tblCellMar>
          <w:left w:w="0" w:type="dxa"/>
          <w:right w:w="0" w:type="dxa"/>
        </w:tblCellMar>
        <w:tblLook w:val="04A0" w:firstRow="1" w:lastRow="0" w:firstColumn="1" w:lastColumn="0" w:noHBand="0" w:noVBand="1"/>
      </w:tblPr>
      <w:tblGrid>
        <w:gridCol w:w="1621"/>
        <w:gridCol w:w="1026"/>
        <w:gridCol w:w="468"/>
        <w:gridCol w:w="1750"/>
        <w:gridCol w:w="1151"/>
        <w:gridCol w:w="1017"/>
        <w:gridCol w:w="894"/>
      </w:tblGrid>
      <w:tr w:rsidR="00C82BCC" w14:paraId="775B3F09" w14:textId="77777777" w:rsidTr="008A6AF7">
        <w:trPr>
          <w:trHeight w:val="300"/>
        </w:trPr>
        <w:tc>
          <w:tcPr>
            <w:tcW w:w="103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A5A6D9" w14:textId="77777777" w:rsidR="00C82BCC" w:rsidRDefault="00C82BCC" w:rsidP="00BF6D8E">
            <w:pPr>
              <w:spacing w:line="240" w:lineRule="auto"/>
              <w:jc w:val="center"/>
              <w:rPr>
                <w:rFonts w:cs="Times New Roman"/>
                <w:b/>
                <w:bCs/>
                <w:color w:val="000000"/>
                <w:szCs w:val="24"/>
              </w:rPr>
            </w:pPr>
            <w:r>
              <w:rPr>
                <w:rFonts w:cs="Times New Roman"/>
                <w:b/>
                <w:bCs/>
                <w:color w:val="000000"/>
                <w:szCs w:val="24"/>
              </w:rPr>
              <w:t xml:space="preserve">Provincia </w:t>
            </w:r>
          </w:p>
        </w:tc>
        <w:tc>
          <w:tcPr>
            <w:tcW w:w="65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EFEADF1" w14:textId="77777777" w:rsidR="00C82BCC" w:rsidRDefault="00C82BCC" w:rsidP="00BF6D8E">
            <w:pPr>
              <w:spacing w:line="240" w:lineRule="auto"/>
              <w:jc w:val="center"/>
              <w:rPr>
                <w:rFonts w:cs="Times New Roman"/>
                <w:b/>
                <w:bCs/>
                <w:color w:val="000000"/>
                <w:szCs w:val="24"/>
              </w:rPr>
            </w:pPr>
            <w:r>
              <w:rPr>
                <w:rFonts w:cs="Times New Roman"/>
                <w:b/>
                <w:bCs/>
                <w:color w:val="000000"/>
                <w:szCs w:val="24"/>
              </w:rPr>
              <w:t>Medias</w:t>
            </w:r>
          </w:p>
        </w:tc>
        <w:tc>
          <w:tcPr>
            <w:tcW w:w="3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B63F1F6" w14:textId="77777777" w:rsidR="00C82BCC" w:rsidRDefault="00C82BCC" w:rsidP="00BF6D8E">
            <w:pPr>
              <w:spacing w:line="240" w:lineRule="auto"/>
              <w:jc w:val="center"/>
              <w:rPr>
                <w:rFonts w:cs="Times New Roman"/>
                <w:b/>
                <w:bCs/>
                <w:color w:val="000000"/>
                <w:szCs w:val="24"/>
              </w:rPr>
            </w:pPr>
            <w:r>
              <w:rPr>
                <w:rFonts w:cs="Times New Roman"/>
                <w:b/>
                <w:bCs/>
                <w:color w:val="000000"/>
                <w:szCs w:val="24"/>
              </w:rPr>
              <w:t xml:space="preserve">n </w:t>
            </w:r>
          </w:p>
        </w:tc>
        <w:tc>
          <w:tcPr>
            <w:tcW w:w="111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4462424" w14:textId="77777777" w:rsidR="00C82BCC" w:rsidRDefault="00C82BCC" w:rsidP="00BF6D8E">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73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61E52E47" w14:textId="77777777" w:rsidR="00C82BCC" w:rsidRDefault="00C82BCC" w:rsidP="00BF6D8E">
            <w:pPr>
              <w:spacing w:line="240" w:lineRule="auto"/>
              <w:jc w:val="center"/>
              <w:rPr>
                <w:rFonts w:cs="Times New Roman"/>
                <w:b/>
                <w:bCs/>
                <w:color w:val="000000"/>
                <w:szCs w:val="24"/>
              </w:rPr>
            </w:pPr>
            <w:r>
              <w:rPr>
                <w:rFonts w:cs="Times New Roman"/>
                <w:b/>
                <w:bCs/>
                <w:color w:val="000000"/>
                <w:szCs w:val="24"/>
              </w:rPr>
              <w:t xml:space="preserve">  </w:t>
            </w:r>
          </w:p>
        </w:tc>
        <w:tc>
          <w:tcPr>
            <w:tcW w:w="599"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02D3249" w14:textId="77777777" w:rsidR="00C82BCC" w:rsidRDefault="00C82BCC" w:rsidP="00BF6D8E">
            <w:pPr>
              <w:spacing w:line="240" w:lineRule="auto"/>
              <w:jc w:val="center"/>
              <w:rPr>
                <w:rFonts w:cs="Times New Roman"/>
                <w:b/>
                <w:bCs/>
                <w:color w:val="000000"/>
                <w:szCs w:val="24"/>
              </w:rPr>
            </w:pPr>
            <w:r>
              <w:rPr>
                <w:rFonts w:cs="Times New Roman"/>
                <w:b/>
                <w:bCs/>
                <w:color w:val="000000"/>
                <w:szCs w:val="24"/>
              </w:rPr>
              <w:t xml:space="preserve">  Lsd 0,05</w:t>
            </w:r>
          </w:p>
        </w:tc>
        <w:tc>
          <w:tcPr>
            <w:tcW w:w="57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0EEE1DA" w14:textId="77777777" w:rsidR="00C82BCC" w:rsidRDefault="00C82BCC" w:rsidP="00BF6D8E">
            <w:pPr>
              <w:spacing w:line="240" w:lineRule="auto"/>
              <w:jc w:val="center"/>
              <w:rPr>
                <w:rFonts w:cs="Times New Roman"/>
                <w:b/>
                <w:bCs/>
                <w:color w:val="000000"/>
                <w:szCs w:val="24"/>
              </w:rPr>
            </w:pPr>
            <w:r>
              <w:rPr>
                <w:rFonts w:cs="Times New Roman"/>
                <w:b/>
                <w:bCs/>
                <w:color w:val="000000"/>
                <w:szCs w:val="24"/>
              </w:rPr>
              <w:t xml:space="preserve">  </w:t>
            </w:r>
          </w:p>
        </w:tc>
      </w:tr>
      <w:tr w:rsidR="00C82BCC" w14:paraId="24CFC2C4" w14:textId="77777777" w:rsidTr="008A6AF7">
        <w:trPr>
          <w:trHeight w:val="300"/>
        </w:trPr>
        <w:tc>
          <w:tcPr>
            <w:tcW w:w="103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8E2A1E"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Bolívar   </w:t>
            </w:r>
          </w:p>
        </w:tc>
        <w:tc>
          <w:tcPr>
            <w:tcW w:w="65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F27F77" w14:textId="77777777" w:rsidR="00C82BCC" w:rsidRDefault="00C82BCC" w:rsidP="00BF6D8E">
            <w:pPr>
              <w:spacing w:line="240" w:lineRule="auto"/>
              <w:jc w:val="center"/>
              <w:rPr>
                <w:rFonts w:cs="Times New Roman"/>
                <w:color w:val="000000"/>
                <w:szCs w:val="24"/>
              </w:rPr>
            </w:pPr>
            <w:r>
              <w:rPr>
                <w:rFonts w:cs="Times New Roman"/>
                <w:color w:val="000000"/>
                <w:szCs w:val="24"/>
              </w:rPr>
              <w:t>5,18</w:t>
            </w:r>
          </w:p>
        </w:tc>
        <w:tc>
          <w:tcPr>
            <w:tcW w:w="3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10C569" w14:textId="77777777" w:rsidR="00C82BCC" w:rsidRDefault="00C82BCC" w:rsidP="00BF6D8E">
            <w:pPr>
              <w:spacing w:line="240" w:lineRule="auto"/>
              <w:jc w:val="center"/>
              <w:rPr>
                <w:rFonts w:cs="Times New Roman"/>
                <w:color w:val="000000"/>
                <w:szCs w:val="24"/>
              </w:rPr>
            </w:pPr>
            <w:r>
              <w:rPr>
                <w:rFonts w:cs="Times New Roman"/>
                <w:color w:val="000000"/>
                <w:szCs w:val="24"/>
              </w:rPr>
              <w:t>90</w:t>
            </w:r>
          </w:p>
        </w:tc>
        <w:tc>
          <w:tcPr>
            <w:tcW w:w="111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721B12" w14:textId="77777777" w:rsidR="00C82BCC" w:rsidRDefault="00C82BCC" w:rsidP="00BF6D8E">
            <w:pPr>
              <w:spacing w:line="240" w:lineRule="auto"/>
              <w:jc w:val="center"/>
              <w:rPr>
                <w:rFonts w:cs="Times New Roman"/>
                <w:color w:val="000000"/>
                <w:szCs w:val="24"/>
              </w:rPr>
            </w:pPr>
            <w:r>
              <w:rPr>
                <w:rFonts w:cs="Times New Roman"/>
                <w:color w:val="000000"/>
                <w:szCs w:val="24"/>
              </w:rPr>
              <w:t>1,13</w:t>
            </w:r>
          </w:p>
        </w:tc>
        <w:tc>
          <w:tcPr>
            <w:tcW w:w="73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68557C8"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A </w:t>
            </w:r>
          </w:p>
        </w:tc>
        <w:tc>
          <w:tcPr>
            <w:tcW w:w="59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485701F"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  </w:t>
            </w:r>
          </w:p>
        </w:tc>
        <w:tc>
          <w:tcPr>
            <w:tcW w:w="57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E2B0E49"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  </w:t>
            </w:r>
          </w:p>
        </w:tc>
      </w:tr>
      <w:tr w:rsidR="00C82BCC" w14:paraId="75005607" w14:textId="77777777" w:rsidTr="008A6AF7">
        <w:trPr>
          <w:trHeight w:val="300"/>
        </w:trPr>
        <w:tc>
          <w:tcPr>
            <w:tcW w:w="103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6F8E2D" w14:textId="77777777" w:rsidR="00C82BCC" w:rsidRDefault="00C82BCC" w:rsidP="00BF6D8E">
            <w:pPr>
              <w:spacing w:line="240" w:lineRule="auto"/>
              <w:jc w:val="center"/>
              <w:rPr>
                <w:rFonts w:cs="Times New Roman"/>
                <w:color w:val="000000"/>
                <w:szCs w:val="24"/>
              </w:rPr>
            </w:pPr>
            <w:r>
              <w:rPr>
                <w:rFonts w:cs="Times New Roman"/>
                <w:color w:val="000000"/>
                <w:szCs w:val="24"/>
              </w:rPr>
              <w:t>Chimborazo</w:t>
            </w:r>
          </w:p>
        </w:tc>
        <w:tc>
          <w:tcPr>
            <w:tcW w:w="65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AE3E4C" w14:textId="77777777" w:rsidR="00C82BCC" w:rsidRDefault="00C82BCC" w:rsidP="00BF6D8E">
            <w:pPr>
              <w:spacing w:line="240" w:lineRule="auto"/>
              <w:jc w:val="center"/>
              <w:rPr>
                <w:rFonts w:cs="Times New Roman"/>
                <w:color w:val="000000"/>
                <w:szCs w:val="24"/>
              </w:rPr>
            </w:pPr>
            <w:r>
              <w:rPr>
                <w:rFonts w:cs="Times New Roman"/>
                <w:color w:val="000000"/>
                <w:szCs w:val="24"/>
              </w:rPr>
              <w:t>9,23</w:t>
            </w:r>
          </w:p>
        </w:tc>
        <w:tc>
          <w:tcPr>
            <w:tcW w:w="3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98BD4F" w14:textId="77777777" w:rsidR="00C82BCC" w:rsidRDefault="00C82BCC" w:rsidP="00BF6D8E">
            <w:pPr>
              <w:spacing w:line="240" w:lineRule="auto"/>
              <w:jc w:val="center"/>
              <w:rPr>
                <w:rFonts w:cs="Times New Roman"/>
                <w:color w:val="000000"/>
                <w:szCs w:val="24"/>
              </w:rPr>
            </w:pPr>
            <w:r>
              <w:rPr>
                <w:rFonts w:cs="Times New Roman"/>
                <w:color w:val="000000"/>
                <w:szCs w:val="24"/>
              </w:rPr>
              <w:t>82</w:t>
            </w:r>
          </w:p>
        </w:tc>
        <w:tc>
          <w:tcPr>
            <w:tcW w:w="111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A32F0D" w14:textId="77777777" w:rsidR="00C82BCC" w:rsidRDefault="00C82BCC" w:rsidP="00BF6D8E">
            <w:pPr>
              <w:spacing w:line="240" w:lineRule="auto"/>
              <w:jc w:val="center"/>
              <w:rPr>
                <w:rFonts w:cs="Times New Roman"/>
                <w:color w:val="000000"/>
                <w:szCs w:val="24"/>
              </w:rPr>
            </w:pPr>
            <w:r>
              <w:rPr>
                <w:rFonts w:cs="Times New Roman"/>
                <w:color w:val="000000"/>
                <w:szCs w:val="24"/>
              </w:rPr>
              <w:t>1,04</w:t>
            </w:r>
          </w:p>
        </w:tc>
        <w:tc>
          <w:tcPr>
            <w:tcW w:w="73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50FE22"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  </w:t>
            </w:r>
          </w:p>
        </w:tc>
        <w:tc>
          <w:tcPr>
            <w:tcW w:w="59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32344C"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B </w:t>
            </w:r>
          </w:p>
        </w:tc>
        <w:tc>
          <w:tcPr>
            <w:tcW w:w="5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0D0833"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  </w:t>
            </w:r>
          </w:p>
        </w:tc>
      </w:tr>
      <w:tr w:rsidR="00C82BCC" w14:paraId="133CC59E" w14:textId="77777777" w:rsidTr="00BF6D8E">
        <w:trPr>
          <w:trHeight w:val="207"/>
        </w:trPr>
        <w:tc>
          <w:tcPr>
            <w:tcW w:w="103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F15204"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Imbabura  </w:t>
            </w:r>
          </w:p>
        </w:tc>
        <w:tc>
          <w:tcPr>
            <w:tcW w:w="654"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E42683" w14:textId="77777777" w:rsidR="00C82BCC" w:rsidRDefault="00C82BCC" w:rsidP="00BF6D8E">
            <w:pPr>
              <w:spacing w:line="240" w:lineRule="auto"/>
              <w:jc w:val="center"/>
              <w:rPr>
                <w:rFonts w:cs="Times New Roman"/>
                <w:color w:val="000000"/>
                <w:szCs w:val="24"/>
              </w:rPr>
            </w:pPr>
            <w:r>
              <w:rPr>
                <w:rFonts w:cs="Times New Roman"/>
                <w:color w:val="000000"/>
                <w:szCs w:val="24"/>
              </w:rPr>
              <w:t>18,78</w:t>
            </w:r>
          </w:p>
        </w:tc>
        <w:tc>
          <w:tcPr>
            <w:tcW w:w="302"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A65F3B" w14:textId="77777777" w:rsidR="00C82BCC" w:rsidRDefault="00C82BCC" w:rsidP="00BF6D8E">
            <w:pPr>
              <w:spacing w:line="240" w:lineRule="auto"/>
              <w:jc w:val="center"/>
              <w:rPr>
                <w:rFonts w:cs="Times New Roman"/>
                <w:color w:val="000000"/>
                <w:szCs w:val="24"/>
              </w:rPr>
            </w:pPr>
            <w:r>
              <w:rPr>
                <w:rFonts w:cs="Times New Roman"/>
                <w:color w:val="000000"/>
                <w:szCs w:val="24"/>
              </w:rPr>
              <w:t>69</w:t>
            </w:r>
          </w:p>
        </w:tc>
        <w:tc>
          <w:tcPr>
            <w:tcW w:w="111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A04CFF" w14:textId="77777777" w:rsidR="00C82BCC" w:rsidRDefault="00C82BCC" w:rsidP="00BF6D8E">
            <w:pPr>
              <w:spacing w:line="240" w:lineRule="auto"/>
              <w:jc w:val="center"/>
              <w:rPr>
                <w:rFonts w:cs="Times New Roman"/>
                <w:color w:val="000000"/>
                <w:szCs w:val="24"/>
              </w:rPr>
            </w:pPr>
            <w:r>
              <w:rPr>
                <w:rFonts w:cs="Times New Roman"/>
                <w:color w:val="000000"/>
                <w:szCs w:val="24"/>
              </w:rPr>
              <w:t>1,09</w:t>
            </w:r>
          </w:p>
        </w:tc>
        <w:tc>
          <w:tcPr>
            <w:tcW w:w="73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B6C86D"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  </w:t>
            </w:r>
          </w:p>
        </w:tc>
        <w:tc>
          <w:tcPr>
            <w:tcW w:w="59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33C5C1"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  </w:t>
            </w:r>
          </w:p>
        </w:tc>
        <w:tc>
          <w:tcPr>
            <w:tcW w:w="571"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3653E1" w14:textId="77777777" w:rsidR="00C82BCC" w:rsidRDefault="00C82BCC" w:rsidP="00BF6D8E">
            <w:pPr>
              <w:spacing w:line="240" w:lineRule="auto"/>
              <w:jc w:val="center"/>
              <w:rPr>
                <w:rFonts w:cs="Times New Roman"/>
                <w:color w:val="000000"/>
                <w:szCs w:val="24"/>
              </w:rPr>
            </w:pPr>
            <w:r>
              <w:rPr>
                <w:rFonts w:cs="Times New Roman"/>
                <w:color w:val="000000"/>
                <w:szCs w:val="24"/>
              </w:rPr>
              <w:t xml:space="preserve">C </w:t>
            </w:r>
          </w:p>
        </w:tc>
      </w:tr>
    </w:tbl>
    <w:p w14:paraId="68BE4C33" w14:textId="77777777" w:rsidR="00BF6D8E" w:rsidRDefault="00C82BCC" w:rsidP="00BF6D8E">
      <w:pPr>
        <w:autoSpaceDE w:val="0"/>
        <w:autoSpaceDN w:val="0"/>
        <w:adjustRightInd w:val="0"/>
        <w:spacing w:after="0" w:line="360" w:lineRule="auto"/>
        <w:rPr>
          <w:rFonts w:cs="Times New Roman"/>
          <w:szCs w:val="24"/>
        </w:rPr>
      </w:pPr>
      <w:r>
        <w:rPr>
          <w:rFonts w:cs="Times New Roman"/>
          <w:szCs w:val="24"/>
        </w:rPr>
        <w:t xml:space="preserve"> Medias con una letra común no son significativamente diferentes (p &gt; 0,05)</w:t>
      </w:r>
      <w:bookmarkStart w:id="2173" w:name="_Toc79314163"/>
    </w:p>
    <w:p w14:paraId="3572E613" w14:textId="74D67191" w:rsidR="008A6AF7" w:rsidRPr="00BF6D8E" w:rsidRDefault="008A6AF7" w:rsidP="00BF6D8E">
      <w:pPr>
        <w:autoSpaceDE w:val="0"/>
        <w:autoSpaceDN w:val="0"/>
        <w:adjustRightInd w:val="0"/>
        <w:spacing w:before="360" w:after="0" w:line="360" w:lineRule="auto"/>
        <w:rPr>
          <w:rFonts w:cs="Times New Roman"/>
          <w:szCs w:val="24"/>
        </w:rPr>
      </w:pPr>
      <w:r w:rsidRPr="008A6AF7">
        <w:rPr>
          <w:rFonts w:cs="Times New Roman"/>
          <w:b/>
          <w:szCs w:val="24"/>
        </w:rPr>
        <w:t xml:space="preserve">Cuadro </w:t>
      </w:r>
      <w:r w:rsidRPr="008A6AF7">
        <w:rPr>
          <w:rFonts w:cs="Times New Roman"/>
          <w:b/>
          <w:i/>
          <w:iCs/>
          <w:szCs w:val="24"/>
        </w:rPr>
        <w:fldChar w:fldCharType="begin"/>
      </w:r>
      <w:r w:rsidRPr="008A6AF7">
        <w:rPr>
          <w:rFonts w:cs="Times New Roman"/>
          <w:b/>
          <w:szCs w:val="24"/>
        </w:rPr>
        <w:instrText xml:space="preserve"> SEQ Cuadro \* ARABIC </w:instrText>
      </w:r>
      <w:r w:rsidRPr="008A6AF7">
        <w:rPr>
          <w:rFonts w:cs="Times New Roman"/>
          <w:b/>
          <w:i/>
          <w:iCs/>
          <w:szCs w:val="24"/>
        </w:rPr>
        <w:fldChar w:fldCharType="separate"/>
      </w:r>
      <w:r w:rsidR="000D1F55">
        <w:rPr>
          <w:rFonts w:cs="Times New Roman"/>
          <w:b/>
          <w:noProof/>
          <w:szCs w:val="24"/>
        </w:rPr>
        <w:t>171</w:t>
      </w:r>
      <w:r w:rsidRPr="008A6AF7">
        <w:rPr>
          <w:rFonts w:cs="Times New Roman"/>
          <w:b/>
          <w:i/>
          <w:iCs/>
          <w:szCs w:val="24"/>
        </w:rPr>
        <w:fldChar w:fldCharType="end"/>
      </w:r>
      <w:r w:rsidRPr="008A6AF7">
        <w:rPr>
          <w:rFonts w:cs="Times New Roman"/>
          <w:b/>
          <w:szCs w:val="24"/>
        </w:rPr>
        <w:t xml:space="preserve">. </w:t>
      </w:r>
      <w:r w:rsidRPr="008A6AF7">
        <w:rPr>
          <w:rFonts w:cs="Times New Roman"/>
          <w:szCs w:val="24"/>
        </w:rPr>
        <w:t>Absorción total de azufre en plantas de maíz suave para diversas dosis de nitrógeno evaluado en las provincias de Bolívar, Chimborazo, Imbabura 2006-2015.</w:t>
      </w:r>
      <w:bookmarkEnd w:id="2173"/>
    </w:p>
    <w:tbl>
      <w:tblPr>
        <w:tblW w:w="7927" w:type="dxa"/>
        <w:tblCellMar>
          <w:left w:w="0" w:type="dxa"/>
          <w:right w:w="0" w:type="dxa"/>
        </w:tblCellMar>
        <w:tblLook w:val="04A0" w:firstRow="1" w:lastRow="0" w:firstColumn="1" w:lastColumn="0" w:noHBand="0" w:noVBand="1"/>
      </w:tblPr>
      <w:tblGrid>
        <w:gridCol w:w="2122"/>
        <w:gridCol w:w="1302"/>
        <w:gridCol w:w="703"/>
        <w:gridCol w:w="1964"/>
        <w:gridCol w:w="710"/>
        <w:gridCol w:w="1126"/>
      </w:tblGrid>
      <w:tr w:rsidR="00C82BCC" w14:paraId="67E08D4D" w14:textId="77777777" w:rsidTr="00C82BCC">
        <w:trPr>
          <w:trHeight w:val="300"/>
        </w:trPr>
        <w:tc>
          <w:tcPr>
            <w:tcW w:w="21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FCEDBC"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Dosis N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3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238FFD2"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Medias</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FBAC972"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n </w:t>
            </w:r>
          </w:p>
        </w:tc>
        <w:tc>
          <w:tcPr>
            <w:tcW w:w="196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BCEFB8F" w14:textId="77777777" w:rsidR="00C82BCC" w:rsidRDefault="00C82BCC" w:rsidP="00BF6D8E">
            <w:pPr>
              <w:spacing w:after="0" w:line="240" w:lineRule="auto"/>
              <w:jc w:val="center"/>
              <w:rPr>
                <w:rFonts w:cs="Times New Roman"/>
                <w:b/>
                <w:bCs/>
                <w:color w:val="000000"/>
                <w:szCs w:val="24"/>
              </w:rPr>
            </w:pPr>
            <w:r>
              <w:rPr>
                <w:rFonts w:eastAsia="Times New Roman" w:cs="Times New Roman"/>
                <w:b/>
                <w:bCs/>
                <w:color w:val="000000"/>
                <w:szCs w:val="24"/>
                <w:lang w:eastAsia="es-EC"/>
              </w:rPr>
              <w:t>Error estándar</w:t>
            </w:r>
          </w:p>
        </w:tc>
        <w:tc>
          <w:tcPr>
            <w:tcW w:w="7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6E955FB5" w14:textId="77777777" w:rsidR="00C82BCC" w:rsidRDefault="00C82BCC" w:rsidP="00BF6D8E">
            <w:pPr>
              <w:spacing w:after="0" w:line="240" w:lineRule="auto"/>
              <w:jc w:val="right"/>
              <w:rPr>
                <w:rFonts w:cs="Times New Roman"/>
                <w:b/>
                <w:bCs/>
                <w:color w:val="000000"/>
                <w:szCs w:val="24"/>
              </w:rPr>
            </w:pPr>
            <w:r>
              <w:rPr>
                <w:rFonts w:cs="Times New Roman"/>
                <w:b/>
                <w:bCs/>
                <w:color w:val="000000"/>
                <w:szCs w:val="24"/>
              </w:rPr>
              <w:t xml:space="preserve">  Lsd</w:t>
            </w:r>
          </w:p>
        </w:tc>
        <w:tc>
          <w:tcPr>
            <w:tcW w:w="1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3859CE2" w14:textId="77777777" w:rsidR="00C82BCC" w:rsidRDefault="00C82BCC" w:rsidP="00BF6D8E">
            <w:pPr>
              <w:spacing w:after="0" w:line="240" w:lineRule="auto"/>
              <w:rPr>
                <w:rFonts w:cs="Times New Roman"/>
                <w:b/>
                <w:bCs/>
                <w:color w:val="000000"/>
                <w:szCs w:val="24"/>
              </w:rPr>
            </w:pPr>
            <w:r>
              <w:rPr>
                <w:rFonts w:cs="Times New Roman"/>
                <w:b/>
                <w:bCs/>
                <w:color w:val="000000"/>
                <w:szCs w:val="24"/>
              </w:rPr>
              <w:t xml:space="preserve"> 0,05  </w:t>
            </w:r>
          </w:p>
        </w:tc>
      </w:tr>
      <w:tr w:rsidR="00C82BCC" w14:paraId="04915CE3"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999EE9" w14:textId="77777777" w:rsidR="00C82BCC" w:rsidRDefault="00C82BCC" w:rsidP="00BF6D8E">
            <w:pPr>
              <w:spacing w:after="0" w:line="240" w:lineRule="auto"/>
              <w:jc w:val="center"/>
              <w:rPr>
                <w:rFonts w:cs="Times New Roman"/>
                <w:color w:val="000000"/>
                <w:szCs w:val="24"/>
              </w:rPr>
            </w:pPr>
            <w:r>
              <w:rPr>
                <w:rFonts w:cs="Times New Roman"/>
                <w:color w:val="000000"/>
                <w:szCs w:val="24"/>
              </w:rPr>
              <w:t>27</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72259E" w14:textId="77777777" w:rsidR="00C82BCC" w:rsidRDefault="00C82BCC" w:rsidP="00BF6D8E">
            <w:pPr>
              <w:spacing w:after="0" w:line="240" w:lineRule="auto"/>
              <w:jc w:val="center"/>
              <w:rPr>
                <w:rFonts w:cs="Times New Roman"/>
                <w:color w:val="000000"/>
                <w:szCs w:val="24"/>
              </w:rPr>
            </w:pPr>
            <w:r>
              <w:rPr>
                <w:rFonts w:cs="Times New Roman"/>
                <w:color w:val="000000"/>
                <w:szCs w:val="24"/>
              </w:rPr>
              <w:t>8,26</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19D120" w14:textId="77777777" w:rsidR="00C82BCC" w:rsidRDefault="00C82BCC" w:rsidP="00BF6D8E">
            <w:pPr>
              <w:spacing w:after="0" w:line="240" w:lineRule="auto"/>
              <w:jc w:val="center"/>
              <w:rPr>
                <w:rFonts w:cs="Times New Roman"/>
                <w:color w:val="000000"/>
                <w:szCs w:val="24"/>
              </w:rPr>
            </w:pPr>
            <w:r>
              <w:rPr>
                <w:rFonts w:cs="Times New Roman"/>
                <w:color w:val="000000"/>
                <w:szCs w:val="24"/>
              </w:rPr>
              <w:t>1</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789158" w14:textId="77777777" w:rsidR="00C82BCC" w:rsidRDefault="00C82BCC" w:rsidP="00BF6D8E">
            <w:pPr>
              <w:spacing w:after="0" w:line="240" w:lineRule="auto"/>
              <w:jc w:val="center"/>
              <w:rPr>
                <w:rFonts w:cs="Times New Roman"/>
                <w:color w:val="000000"/>
                <w:szCs w:val="24"/>
              </w:rPr>
            </w:pPr>
            <w:r>
              <w:rPr>
                <w:rFonts w:cs="Times New Roman"/>
                <w:color w:val="000000"/>
                <w:szCs w:val="24"/>
              </w:rPr>
              <w:t>8,32</w:t>
            </w:r>
          </w:p>
        </w:tc>
        <w:tc>
          <w:tcPr>
            <w:tcW w:w="7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36C92D8"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74A32F3"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C82BCC" w14:paraId="0E5CBBF6"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7A52450" w14:textId="77777777" w:rsidR="00C82BCC" w:rsidRDefault="00C82BCC" w:rsidP="00BF6D8E">
            <w:pPr>
              <w:spacing w:after="0" w:line="240" w:lineRule="auto"/>
              <w:jc w:val="center"/>
              <w:rPr>
                <w:rFonts w:cs="Times New Roman"/>
                <w:color w:val="000000"/>
                <w:szCs w:val="24"/>
              </w:rPr>
            </w:pPr>
            <w:r>
              <w:rPr>
                <w:rFonts w:cs="Times New Roman"/>
                <w:color w:val="000000"/>
                <w:szCs w:val="24"/>
              </w:rPr>
              <w:t>21</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6F0593" w14:textId="77777777" w:rsidR="00C82BCC" w:rsidRDefault="00C82BCC" w:rsidP="00BF6D8E">
            <w:pPr>
              <w:spacing w:after="0" w:line="240" w:lineRule="auto"/>
              <w:jc w:val="center"/>
              <w:rPr>
                <w:rFonts w:cs="Times New Roman"/>
                <w:color w:val="000000"/>
                <w:szCs w:val="24"/>
              </w:rPr>
            </w:pPr>
            <w:r>
              <w:rPr>
                <w:rFonts w:cs="Times New Roman"/>
                <w:color w:val="000000"/>
                <w:szCs w:val="24"/>
              </w:rPr>
              <w:t>10,12</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35C38D" w14:textId="77777777" w:rsidR="00C82BCC" w:rsidRDefault="00C82BCC" w:rsidP="00BF6D8E">
            <w:pPr>
              <w:spacing w:after="0" w:line="240" w:lineRule="auto"/>
              <w:jc w:val="center"/>
              <w:rPr>
                <w:rFonts w:cs="Times New Roman"/>
                <w:color w:val="000000"/>
                <w:szCs w:val="24"/>
              </w:rPr>
            </w:pPr>
            <w:r>
              <w:rPr>
                <w:rFonts w:cs="Times New Roman"/>
                <w:color w:val="000000"/>
                <w:szCs w:val="24"/>
              </w:rPr>
              <w:t>1</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9BC879" w14:textId="77777777" w:rsidR="00C82BCC" w:rsidRDefault="00C82BCC" w:rsidP="00BF6D8E">
            <w:pPr>
              <w:spacing w:after="0" w:line="240" w:lineRule="auto"/>
              <w:jc w:val="center"/>
              <w:rPr>
                <w:rFonts w:cs="Times New Roman"/>
                <w:color w:val="000000"/>
                <w:szCs w:val="24"/>
              </w:rPr>
            </w:pPr>
            <w:r>
              <w:rPr>
                <w:rFonts w:cs="Times New Roman"/>
                <w:color w:val="000000"/>
                <w:szCs w:val="24"/>
              </w:rPr>
              <w:t>8,32</w:t>
            </w:r>
          </w:p>
        </w:tc>
        <w:tc>
          <w:tcPr>
            <w:tcW w:w="7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66920A"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FD596F"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C82BCC" w14:paraId="00C5229E"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A38E88" w14:textId="77777777" w:rsidR="00C82BCC" w:rsidRDefault="00C82BCC" w:rsidP="00BF6D8E">
            <w:pPr>
              <w:spacing w:after="0" w:line="240" w:lineRule="auto"/>
              <w:jc w:val="center"/>
              <w:rPr>
                <w:rFonts w:cs="Times New Roman"/>
                <w:color w:val="000000"/>
                <w:szCs w:val="24"/>
              </w:rPr>
            </w:pPr>
            <w:r>
              <w:rPr>
                <w:rFonts w:cs="Times New Roman"/>
                <w:color w:val="000000"/>
                <w:szCs w:val="24"/>
              </w:rPr>
              <w:t>140</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9FB9CC" w14:textId="77777777" w:rsidR="00C82BCC" w:rsidRDefault="00C82BCC" w:rsidP="00BF6D8E">
            <w:pPr>
              <w:spacing w:after="0" w:line="240" w:lineRule="auto"/>
              <w:jc w:val="center"/>
              <w:rPr>
                <w:rFonts w:cs="Times New Roman"/>
                <w:color w:val="000000"/>
                <w:szCs w:val="24"/>
              </w:rPr>
            </w:pPr>
            <w:r>
              <w:rPr>
                <w:rFonts w:cs="Times New Roman"/>
                <w:color w:val="000000"/>
                <w:szCs w:val="24"/>
              </w:rPr>
              <w:t>10,38</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A77809" w14:textId="77777777" w:rsidR="00C82BCC" w:rsidRDefault="00C82BCC" w:rsidP="00BF6D8E">
            <w:pPr>
              <w:spacing w:after="0" w:line="240" w:lineRule="auto"/>
              <w:jc w:val="center"/>
              <w:rPr>
                <w:rFonts w:cs="Times New Roman"/>
                <w:color w:val="000000"/>
                <w:szCs w:val="24"/>
              </w:rPr>
            </w:pPr>
            <w:r>
              <w:rPr>
                <w:rFonts w:cs="Times New Roman"/>
                <w:color w:val="000000"/>
                <w:szCs w:val="24"/>
              </w:rPr>
              <w:t>35</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B4E291" w14:textId="77777777" w:rsidR="00C82BCC" w:rsidRDefault="00C82BCC" w:rsidP="00BF6D8E">
            <w:pPr>
              <w:spacing w:after="0" w:line="240" w:lineRule="auto"/>
              <w:jc w:val="center"/>
              <w:rPr>
                <w:rFonts w:cs="Times New Roman"/>
                <w:color w:val="000000"/>
                <w:szCs w:val="24"/>
              </w:rPr>
            </w:pPr>
            <w:r>
              <w:rPr>
                <w:rFonts w:cs="Times New Roman"/>
                <w:color w:val="000000"/>
                <w:szCs w:val="24"/>
              </w:rPr>
              <w:t>1,52</w:t>
            </w:r>
          </w:p>
        </w:tc>
        <w:tc>
          <w:tcPr>
            <w:tcW w:w="7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647A5E"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B729A4"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C82BCC" w14:paraId="4DC8FB48"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CDB70E" w14:textId="77777777" w:rsidR="00C82BCC" w:rsidRDefault="00C82BCC" w:rsidP="00BF6D8E">
            <w:pPr>
              <w:spacing w:after="0" w:line="240" w:lineRule="auto"/>
              <w:jc w:val="center"/>
              <w:rPr>
                <w:rFonts w:cs="Times New Roman"/>
                <w:color w:val="000000"/>
                <w:szCs w:val="24"/>
              </w:rPr>
            </w:pPr>
            <w:r>
              <w:rPr>
                <w:rFonts w:cs="Times New Roman"/>
                <w:color w:val="000000"/>
                <w:szCs w:val="24"/>
              </w:rPr>
              <w:t>100</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F45BA4" w14:textId="77777777" w:rsidR="00C82BCC" w:rsidRDefault="00C82BCC" w:rsidP="00BF6D8E">
            <w:pPr>
              <w:spacing w:after="0" w:line="240" w:lineRule="auto"/>
              <w:jc w:val="center"/>
              <w:rPr>
                <w:rFonts w:cs="Times New Roman"/>
                <w:color w:val="000000"/>
                <w:szCs w:val="24"/>
              </w:rPr>
            </w:pPr>
            <w:r>
              <w:rPr>
                <w:rFonts w:cs="Times New Roman"/>
                <w:color w:val="000000"/>
                <w:szCs w:val="24"/>
              </w:rPr>
              <w:t>10,42</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6C99D4" w14:textId="77777777" w:rsidR="00C82BCC" w:rsidRDefault="00C82BCC" w:rsidP="00BF6D8E">
            <w:pPr>
              <w:spacing w:after="0" w:line="240" w:lineRule="auto"/>
              <w:jc w:val="center"/>
              <w:rPr>
                <w:rFonts w:cs="Times New Roman"/>
                <w:color w:val="000000"/>
                <w:szCs w:val="24"/>
              </w:rPr>
            </w:pPr>
            <w:r>
              <w:rPr>
                <w:rFonts w:cs="Times New Roman"/>
                <w:color w:val="000000"/>
                <w:szCs w:val="24"/>
              </w:rPr>
              <w:t>32</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5623BF" w14:textId="77777777" w:rsidR="00C82BCC" w:rsidRDefault="00C82BCC" w:rsidP="00BF6D8E">
            <w:pPr>
              <w:spacing w:after="0" w:line="240" w:lineRule="auto"/>
              <w:jc w:val="center"/>
              <w:rPr>
                <w:rFonts w:cs="Times New Roman"/>
                <w:color w:val="000000"/>
                <w:szCs w:val="24"/>
              </w:rPr>
            </w:pPr>
            <w:r>
              <w:rPr>
                <w:rFonts w:cs="Times New Roman"/>
                <w:color w:val="000000"/>
                <w:szCs w:val="24"/>
              </w:rPr>
              <w:t>1,57</w:t>
            </w:r>
          </w:p>
        </w:tc>
        <w:tc>
          <w:tcPr>
            <w:tcW w:w="7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A62609"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0E0454"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C82BCC" w14:paraId="2E34707F"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5CE13C" w14:textId="77777777" w:rsidR="00C82BCC" w:rsidRDefault="00C82BCC" w:rsidP="00BF6D8E">
            <w:pPr>
              <w:spacing w:after="0" w:line="240" w:lineRule="auto"/>
              <w:jc w:val="center"/>
              <w:rPr>
                <w:rFonts w:cs="Times New Roman"/>
                <w:color w:val="000000"/>
                <w:szCs w:val="24"/>
              </w:rPr>
            </w:pPr>
            <w:r>
              <w:rPr>
                <w:rFonts w:cs="Times New Roman"/>
                <w:color w:val="000000"/>
                <w:szCs w:val="24"/>
              </w:rPr>
              <w:t>0</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3979BD" w14:textId="77777777" w:rsidR="00C82BCC" w:rsidRDefault="00C82BCC" w:rsidP="00BF6D8E">
            <w:pPr>
              <w:spacing w:after="0" w:line="240" w:lineRule="auto"/>
              <w:jc w:val="center"/>
              <w:rPr>
                <w:rFonts w:cs="Times New Roman"/>
                <w:color w:val="000000"/>
                <w:szCs w:val="24"/>
              </w:rPr>
            </w:pPr>
            <w:r>
              <w:rPr>
                <w:rFonts w:cs="Times New Roman"/>
                <w:color w:val="000000"/>
                <w:szCs w:val="24"/>
              </w:rPr>
              <w:t>11,37</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001151" w14:textId="77777777" w:rsidR="00C82BCC" w:rsidRDefault="00C82BCC" w:rsidP="00BF6D8E">
            <w:pPr>
              <w:spacing w:after="0" w:line="240" w:lineRule="auto"/>
              <w:jc w:val="center"/>
              <w:rPr>
                <w:rFonts w:cs="Times New Roman"/>
                <w:color w:val="000000"/>
                <w:szCs w:val="24"/>
              </w:rPr>
            </w:pPr>
            <w:r>
              <w:rPr>
                <w:rFonts w:cs="Times New Roman"/>
                <w:color w:val="000000"/>
                <w:szCs w:val="24"/>
              </w:rPr>
              <w:t>74</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A5191C" w14:textId="77777777" w:rsidR="00C82BCC" w:rsidRDefault="00C82BCC" w:rsidP="00BF6D8E">
            <w:pPr>
              <w:spacing w:after="0" w:line="240" w:lineRule="auto"/>
              <w:jc w:val="center"/>
              <w:rPr>
                <w:rFonts w:cs="Times New Roman"/>
                <w:color w:val="000000"/>
                <w:szCs w:val="24"/>
              </w:rPr>
            </w:pPr>
            <w:r>
              <w:rPr>
                <w:rFonts w:cs="Times New Roman"/>
                <w:color w:val="000000"/>
                <w:szCs w:val="24"/>
              </w:rPr>
              <w:t>1,05</w:t>
            </w:r>
          </w:p>
        </w:tc>
        <w:tc>
          <w:tcPr>
            <w:tcW w:w="7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C101FE"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76374E"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C82BCC" w14:paraId="37F18E52"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CC84B7" w14:textId="77777777" w:rsidR="00C82BCC" w:rsidRDefault="00C82BCC" w:rsidP="00BF6D8E">
            <w:pPr>
              <w:spacing w:after="0" w:line="240" w:lineRule="auto"/>
              <w:jc w:val="center"/>
              <w:rPr>
                <w:rFonts w:cs="Times New Roman"/>
                <w:color w:val="000000"/>
                <w:szCs w:val="24"/>
              </w:rPr>
            </w:pPr>
            <w:r>
              <w:rPr>
                <w:rFonts w:cs="Times New Roman"/>
                <w:color w:val="000000"/>
                <w:szCs w:val="24"/>
              </w:rPr>
              <w:t>150</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0C2C62" w14:textId="77777777" w:rsidR="00C82BCC" w:rsidRDefault="00C82BCC" w:rsidP="00BF6D8E">
            <w:pPr>
              <w:spacing w:after="0" w:line="240" w:lineRule="auto"/>
              <w:jc w:val="center"/>
              <w:rPr>
                <w:rFonts w:cs="Times New Roman"/>
                <w:color w:val="000000"/>
                <w:szCs w:val="24"/>
              </w:rPr>
            </w:pPr>
            <w:r>
              <w:rPr>
                <w:rFonts w:cs="Times New Roman"/>
                <w:color w:val="000000"/>
                <w:szCs w:val="24"/>
              </w:rPr>
              <w:t>11,53</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0F8585" w14:textId="77777777" w:rsidR="00C82BCC" w:rsidRDefault="00C82BCC" w:rsidP="00BF6D8E">
            <w:pPr>
              <w:spacing w:after="0" w:line="240" w:lineRule="auto"/>
              <w:jc w:val="center"/>
              <w:rPr>
                <w:rFonts w:cs="Times New Roman"/>
                <w:color w:val="000000"/>
                <w:szCs w:val="24"/>
              </w:rPr>
            </w:pPr>
            <w:r>
              <w:rPr>
                <w:rFonts w:cs="Times New Roman"/>
                <w:color w:val="000000"/>
                <w:szCs w:val="24"/>
              </w:rPr>
              <w:t>4</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81F198" w14:textId="77777777" w:rsidR="00C82BCC" w:rsidRDefault="00C82BCC" w:rsidP="00BF6D8E">
            <w:pPr>
              <w:spacing w:after="0" w:line="240" w:lineRule="auto"/>
              <w:jc w:val="center"/>
              <w:rPr>
                <w:rFonts w:cs="Times New Roman"/>
                <w:color w:val="000000"/>
                <w:szCs w:val="24"/>
              </w:rPr>
            </w:pPr>
            <w:r>
              <w:rPr>
                <w:rFonts w:cs="Times New Roman"/>
                <w:color w:val="000000"/>
                <w:szCs w:val="24"/>
              </w:rPr>
              <w:t>4,2</w:t>
            </w:r>
          </w:p>
        </w:tc>
        <w:tc>
          <w:tcPr>
            <w:tcW w:w="7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1E297D"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2A6F03"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C82BCC" w14:paraId="2EB90100"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EDBD86" w14:textId="77777777" w:rsidR="00C82BCC" w:rsidRDefault="00C82BCC" w:rsidP="00BF6D8E">
            <w:pPr>
              <w:spacing w:after="0" w:line="240" w:lineRule="auto"/>
              <w:jc w:val="center"/>
              <w:rPr>
                <w:rFonts w:cs="Times New Roman"/>
                <w:color w:val="000000"/>
                <w:szCs w:val="24"/>
              </w:rPr>
            </w:pPr>
            <w:r>
              <w:rPr>
                <w:rFonts w:cs="Times New Roman"/>
                <w:color w:val="000000"/>
                <w:szCs w:val="24"/>
              </w:rPr>
              <w:t>50</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8CA06F" w14:textId="77777777" w:rsidR="00C82BCC" w:rsidRDefault="00C82BCC" w:rsidP="00BF6D8E">
            <w:pPr>
              <w:spacing w:after="0" w:line="240" w:lineRule="auto"/>
              <w:jc w:val="center"/>
              <w:rPr>
                <w:rFonts w:cs="Times New Roman"/>
                <w:color w:val="000000"/>
                <w:szCs w:val="24"/>
              </w:rPr>
            </w:pPr>
            <w:r>
              <w:rPr>
                <w:rFonts w:cs="Times New Roman"/>
                <w:color w:val="000000"/>
                <w:szCs w:val="24"/>
              </w:rPr>
              <w:t>12,21</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F3AB9A" w14:textId="77777777" w:rsidR="00C82BCC" w:rsidRDefault="00C82BCC" w:rsidP="00BF6D8E">
            <w:pPr>
              <w:spacing w:after="0" w:line="240" w:lineRule="auto"/>
              <w:jc w:val="center"/>
              <w:rPr>
                <w:rFonts w:cs="Times New Roman"/>
                <w:color w:val="000000"/>
                <w:szCs w:val="24"/>
              </w:rPr>
            </w:pPr>
            <w:r>
              <w:rPr>
                <w:rFonts w:cs="Times New Roman"/>
                <w:color w:val="000000"/>
                <w:szCs w:val="24"/>
              </w:rPr>
              <w:t>11</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0AEE4A" w14:textId="77777777" w:rsidR="00C82BCC" w:rsidRDefault="00C82BCC" w:rsidP="00BF6D8E">
            <w:pPr>
              <w:spacing w:after="0" w:line="240" w:lineRule="auto"/>
              <w:jc w:val="center"/>
              <w:rPr>
                <w:rFonts w:cs="Times New Roman"/>
                <w:color w:val="000000"/>
                <w:szCs w:val="24"/>
              </w:rPr>
            </w:pPr>
            <w:r>
              <w:rPr>
                <w:rFonts w:cs="Times New Roman"/>
                <w:color w:val="000000"/>
                <w:szCs w:val="24"/>
              </w:rPr>
              <w:t>2,86</w:t>
            </w:r>
          </w:p>
        </w:tc>
        <w:tc>
          <w:tcPr>
            <w:tcW w:w="7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646154"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F6A231"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C82BCC" w14:paraId="3D03D2C7"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68369E" w14:textId="77777777" w:rsidR="00C82BCC" w:rsidRDefault="00C82BCC" w:rsidP="00BF6D8E">
            <w:pPr>
              <w:spacing w:after="0" w:line="240" w:lineRule="auto"/>
              <w:jc w:val="center"/>
              <w:rPr>
                <w:rFonts w:cs="Times New Roman"/>
                <w:color w:val="000000"/>
                <w:szCs w:val="24"/>
              </w:rPr>
            </w:pPr>
            <w:r>
              <w:rPr>
                <w:rFonts w:cs="Times New Roman"/>
                <w:color w:val="000000"/>
                <w:szCs w:val="24"/>
              </w:rPr>
              <w:t>200</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04082A" w14:textId="77777777" w:rsidR="00C82BCC" w:rsidRDefault="00C82BCC" w:rsidP="00BF6D8E">
            <w:pPr>
              <w:spacing w:after="0" w:line="240" w:lineRule="auto"/>
              <w:jc w:val="center"/>
              <w:rPr>
                <w:rFonts w:cs="Times New Roman"/>
                <w:color w:val="000000"/>
                <w:szCs w:val="24"/>
              </w:rPr>
            </w:pPr>
            <w:r>
              <w:rPr>
                <w:rFonts w:cs="Times New Roman"/>
                <w:color w:val="000000"/>
                <w:szCs w:val="24"/>
              </w:rPr>
              <w:t>12,31</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BA1903" w14:textId="77777777" w:rsidR="00C82BCC" w:rsidRDefault="00C82BCC" w:rsidP="00BF6D8E">
            <w:pPr>
              <w:spacing w:after="0" w:line="240" w:lineRule="auto"/>
              <w:jc w:val="center"/>
              <w:rPr>
                <w:rFonts w:cs="Times New Roman"/>
                <w:color w:val="000000"/>
                <w:szCs w:val="24"/>
              </w:rPr>
            </w:pPr>
            <w:r>
              <w:rPr>
                <w:rFonts w:cs="Times New Roman"/>
                <w:color w:val="000000"/>
                <w:szCs w:val="24"/>
              </w:rPr>
              <w:t>4</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5E5531" w14:textId="77777777" w:rsidR="00C82BCC" w:rsidRDefault="00C82BCC" w:rsidP="00BF6D8E">
            <w:pPr>
              <w:spacing w:after="0" w:line="240" w:lineRule="auto"/>
              <w:jc w:val="center"/>
              <w:rPr>
                <w:rFonts w:cs="Times New Roman"/>
                <w:color w:val="000000"/>
                <w:szCs w:val="24"/>
              </w:rPr>
            </w:pPr>
            <w:r>
              <w:rPr>
                <w:rFonts w:cs="Times New Roman"/>
                <w:color w:val="000000"/>
                <w:szCs w:val="24"/>
              </w:rPr>
              <w:t>4,27</w:t>
            </w:r>
          </w:p>
        </w:tc>
        <w:tc>
          <w:tcPr>
            <w:tcW w:w="7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F70F1E"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0BD555"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C82BCC" w14:paraId="5B854469" w14:textId="77777777" w:rsidTr="00C82BCC">
        <w:trPr>
          <w:trHeight w:val="300"/>
        </w:trPr>
        <w:tc>
          <w:tcPr>
            <w:tcW w:w="212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B9FF46" w14:textId="77777777" w:rsidR="00C82BCC" w:rsidRDefault="00C82BCC" w:rsidP="00BF6D8E">
            <w:pPr>
              <w:spacing w:after="0" w:line="240" w:lineRule="auto"/>
              <w:jc w:val="center"/>
              <w:rPr>
                <w:rFonts w:cs="Times New Roman"/>
                <w:color w:val="000000"/>
                <w:szCs w:val="24"/>
              </w:rPr>
            </w:pPr>
            <w:r>
              <w:rPr>
                <w:rFonts w:cs="Times New Roman"/>
                <w:color w:val="000000"/>
                <w:szCs w:val="24"/>
              </w:rPr>
              <w:t>120</w:t>
            </w:r>
          </w:p>
        </w:tc>
        <w:tc>
          <w:tcPr>
            <w:tcW w:w="13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82F83F" w14:textId="77777777" w:rsidR="00C82BCC" w:rsidRDefault="00C82BCC" w:rsidP="00BF6D8E">
            <w:pPr>
              <w:spacing w:after="0" w:line="240" w:lineRule="auto"/>
              <w:jc w:val="center"/>
              <w:rPr>
                <w:rFonts w:cs="Times New Roman"/>
                <w:color w:val="000000"/>
                <w:szCs w:val="24"/>
              </w:rPr>
            </w:pPr>
            <w:r>
              <w:rPr>
                <w:rFonts w:cs="Times New Roman"/>
                <w:color w:val="000000"/>
                <w:szCs w:val="24"/>
              </w:rPr>
              <w:t>14,89</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7A5E3C" w14:textId="77777777" w:rsidR="00C82BCC" w:rsidRDefault="00C82BCC" w:rsidP="00BF6D8E">
            <w:pPr>
              <w:spacing w:after="0" w:line="240" w:lineRule="auto"/>
              <w:jc w:val="center"/>
              <w:rPr>
                <w:rFonts w:cs="Times New Roman"/>
                <w:color w:val="000000"/>
                <w:szCs w:val="24"/>
              </w:rPr>
            </w:pPr>
            <w:r>
              <w:rPr>
                <w:rFonts w:cs="Times New Roman"/>
                <w:color w:val="000000"/>
                <w:szCs w:val="24"/>
              </w:rPr>
              <w:t>78</w:t>
            </w:r>
          </w:p>
        </w:tc>
        <w:tc>
          <w:tcPr>
            <w:tcW w:w="196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7DD300" w14:textId="77777777" w:rsidR="00C82BCC" w:rsidRDefault="00C82BCC" w:rsidP="00BF6D8E">
            <w:pPr>
              <w:spacing w:after="0" w:line="240" w:lineRule="auto"/>
              <w:jc w:val="center"/>
              <w:rPr>
                <w:rFonts w:cs="Times New Roman"/>
                <w:color w:val="000000"/>
                <w:szCs w:val="24"/>
              </w:rPr>
            </w:pPr>
            <w:r>
              <w:rPr>
                <w:rFonts w:cs="Times New Roman"/>
                <w:color w:val="000000"/>
                <w:szCs w:val="24"/>
              </w:rPr>
              <w:t>1,09</w:t>
            </w:r>
          </w:p>
        </w:tc>
        <w:tc>
          <w:tcPr>
            <w:tcW w:w="7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149178"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1DAD12"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bl>
    <w:p w14:paraId="28876763" w14:textId="198E1079" w:rsidR="00C82BCC" w:rsidRPr="00BF6D8E" w:rsidRDefault="00C82BCC" w:rsidP="00BF6D8E">
      <w:pPr>
        <w:pStyle w:val="Sinespaciado"/>
        <w:rPr>
          <w:rFonts w:ascii="Times New Roman" w:hAnsi="Times New Roman" w:cs="Times New Roman"/>
          <w:sz w:val="24"/>
          <w:szCs w:val="24"/>
        </w:rPr>
      </w:pPr>
      <w:r w:rsidRPr="00BF6D8E">
        <w:rPr>
          <w:rFonts w:ascii="Times New Roman" w:hAnsi="Times New Roman" w:cs="Times New Roman"/>
          <w:sz w:val="24"/>
          <w:szCs w:val="24"/>
        </w:rPr>
        <w:t>Medias con una letra común no son significativamente diferentes (p &gt; 0,05)</w:t>
      </w:r>
    </w:p>
    <w:p w14:paraId="31BEA893" w14:textId="54234795" w:rsidR="008A6AF7" w:rsidRPr="008A6AF7" w:rsidRDefault="008A6AF7" w:rsidP="00BF6D8E">
      <w:pPr>
        <w:pStyle w:val="Descripcin"/>
        <w:keepNext/>
        <w:spacing w:before="360"/>
        <w:rPr>
          <w:rFonts w:cs="Times New Roman"/>
          <w:i w:val="0"/>
          <w:iCs w:val="0"/>
          <w:color w:val="auto"/>
          <w:sz w:val="24"/>
          <w:szCs w:val="24"/>
          <w:lang w:eastAsia="en-US"/>
        </w:rPr>
      </w:pPr>
      <w:bookmarkStart w:id="2174" w:name="_Toc79314164"/>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172</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 xml:space="preserve">. </w:t>
      </w:r>
      <w:r w:rsidRPr="008A6AF7">
        <w:rPr>
          <w:rFonts w:cs="Times New Roman"/>
          <w:i w:val="0"/>
          <w:iCs w:val="0"/>
          <w:color w:val="auto"/>
          <w:sz w:val="24"/>
          <w:szCs w:val="24"/>
          <w:lang w:eastAsia="en-US"/>
        </w:rPr>
        <w:t>Absorción total de azufre en plantas de maíz suave para diversas dosis de fósforo evaluado en las provincias de Bolívar, Chimborazo, Imbabura 2006-2015.</w:t>
      </w:r>
      <w:bookmarkEnd w:id="2174"/>
    </w:p>
    <w:tbl>
      <w:tblPr>
        <w:tblW w:w="5000" w:type="pct"/>
        <w:tblCellMar>
          <w:left w:w="0" w:type="dxa"/>
          <w:right w:w="0" w:type="dxa"/>
        </w:tblCellMar>
        <w:tblLook w:val="04A0" w:firstRow="1" w:lastRow="0" w:firstColumn="1" w:lastColumn="0" w:noHBand="0" w:noVBand="1"/>
      </w:tblPr>
      <w:tblGrid>
        <w:gridCol w:w="2900"/>
        <w:gridCol w:w="777"/>
        <w:gridCol w:w="713"/>
        <w:gridCol w:w="2121"/>
        <w:gridCol w:w="1416"/>
      </w:tblGrid>
      <w:tr w:rsidR="00C82BCC" w14:paraId="3EA23BF8" w14:textId="77777777" w:rsidTr="00C82BCC">
        <w:trPr>
          <w:trHeight w:val="300"/>
        </w:trPr>
        <w:tc>
          <w:tcPr>
            <w:tcW w:w="182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92D9D9"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Dosis P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49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CBC2DC1"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Medias</w:t>
            </w:r>
          </w:p>
        </w:tc>
        <w:tc>
          <w:tcPr>
            <w:tcW w:w="45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A34095F"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n </w:t>
            </w:r>
          </w:p>
        </w:tc>
        <w:tc>
          <w:tcPr>
            <w:tcW w:w="133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9586D8F"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89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06FDDF0"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Lsd 0,05  </w:t>
            </w:r>
          </w:p>
        </w:tc>
      </w:tr>
      <w:tr w:rsidR="00C82BCC" w14:paraId="6AC0E94D" w14:textId="77777777" w:rsidTr="00C82BCC">
        <w:trPr>
          <w:trHeight w:val="300"/>
        </w:trPr>
        <w:tc>
          <w:tcPr>
            <w:tcW w:w="182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E375A1" w14:textId="77777777" w:rsidR="00C82BCC" w:rsidRDefault="00C82BCC" w:rsidP="00BF6D8E">
            <w:pPr>
              <w:spacing w:after="0" w:line="240" w:lineRule="auto"/>
              <w:jc w:val="center"/>
              <w:rPr>
                <w:rFonts w:cs="Times New Roman"/>
                <w:color w:val="000000"/>
                <w:szCs w:val="24"/>
              </w:rPr>
            </w:pPr>
            <w:r>
              <w:rPr>
                <w:rFonts w:cs="Times New Roman"/>
                <w:color w:val="000000"/>
                <w:szCs w:val="24"/>
              </w:rPr>
              <w:t>50</w:t>
            </w:r>
          </w:p>
        </w:tc>
        <w:tc>
          <w:tcPr>
            <w:tcW w:w="4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2487D7" w14:textId="77777777" w:rsidR="00C82BCC" w:rsidRDefault="00C82BCC" w:rsidP="00BF6D8E">
            <w:pPr>
              <w:spacing w:after="0" w:line="240" w:lineRule="auto"/>
              <w:jc w:val="center"/>
              <w:rPr>
                <w:rFonts w:cs="Times New Roman"/>
                <w:color w:val="000000"/>
                <w:szCs w:val="24"/>
              </w:rPr>
            </w:pPr>
            <w:r>
              <w:rPr>
                <w:rFonts w:cs="Times New Roman"/>
                <w:color w:val="000000"/>
                <w:szCs w:val="24"/>
              </w:rPr>
              <w:t>7,08</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7C21BD" w14:textId="77777777" w:rsidR="00C82BCC" w:rsidRDefault="00C82BCC" w:rsidP="00BF6D8E">
            <w:pPr>
              <w:spacing w:after="0" w:line="240" w:lineRule="auto"/>
              <w:jc w:val="center"/>
              <w:rPr>
                <w:rFonts w:cs="Times New Roman"/>
                <w:color w:val="000000"/>
                <w:szCs w:val="24"/>
              </w:rPr>
            </w:pPr>
            <w:r>
              <w:rPr>
                <w:rFonts w:cs="Times New Roman"/>
                <w:color w:val="000000"/>
                <w:szCs w:val="24"/>
              </w:rPr>
              <w:t>20</w:t>
            </w:r>
          </w:p>
        </w:tc>
        <w:tc>
          <w:tcPr>
            <w:tcW w:w="133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273950" w14:textId="77777777" w:rsidR="00C82BCC" w:rsidRDefault="00C82BCC" w:rsidP="00BF6D8E">
            <w:pPr>
              <w:spacing w:after="0" w:line="240" w:lineRule="auto"/>
              <w:jc w:val="center"/>
              <w:rPr>
                <w:rFonts w:cs="Times New Roman"/>
                <w:color w:val="000000"/>
                <w:szCs w:val="24"/>
              </w:rPr>
            </w:pPr>
            <w:r>
              <w:rPr>
                <w:rFonts w:cs="Times New Roman"/>
                <w:color w:val="000000"/>
                <w:szCs w:val="24"/>
              </w:rPr>
              <w:t>1,87</w:t>
            </w:r>
          </w:p>
        </w:tc>
        <w:tc>
          <w:tcPr>
            <w:tcW w:w="8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CE69E2"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r>
      <w:tr w:rsidR="00C82BCC" w14:paraId="75C14543" w14:textId="77777777" w:rsidTr="00C82BCC">
        <w:trPr>
          <w:trHeight w:val="300"/>
        </w:trPr>
        <w:tc>
          <w:tcPr>
            <w:tcW w:w="182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C325E3" w14:textId="77777777" w:rsidR="00C82BCC" w:rsidRDefault="00C82BCC" w:rsidP="00BF6D8E">
            <w:pPr>
              <w:spacing w:after="0" w:line="240" w:lineRule="auto"/>
              <w:jc w:val="center"/>
              <w:rPr>
                <w:rFonts w:cs="Times New Roman"/>
                <w:color w:val="000000"/>
                <w:szCs w:val="24"/>
              </w:rPr>
            </w:pPr>
            <w:r>
              <w:rPr>
                <w:rFonts w:cs="Times New Roman"/>
                <w:color w:val="000000"/>
                <w:szCs w:val="24"/>
              </w:rPr>
              <w:t>70</w:t>
            </w:r>
          </w:p>
        </w:tc>
        <w:tc>
          <w:tcPr>
            <w:tcW w:w="4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91330F" w14:textId="77777777" w:rsidR="00C82BCC" w:rsidRDefault="00C82BCC" w:rsidP="00BF6D8E">
            <w:pPr>
              <w:spacing w:after="0" w:line="240" w:lineRule="auto"/>
              <w:jc w:val="center"/>
              <w:rPr>
                <w:rFonts w:cs="Times New Roman"/>
                <w:color w:val="000000"/>
                <w:szCs w:val="24"/>
              </w:rPr>
            </w:pPr>
            <w:r>
              <w:rPr>
                <w:rFonts w:cs="Times New Roman"/>
                <w:color w:val="000000"/>
                <w:szCs w:val="24"/>
              </w:rPr>
              <w:t>9,82</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6085C4" w14:textId="77777777" w:rsidR="00C82BCC" w:rsidRDefault="00C82BCC" w:rsidP="00BF6D8E">
            <w:pPr>
              <w:spacing w:after="0" w:line="240" w:lineRule="auto"/>
              <w:jc w:val="center"/>
              <w:rPr>
                <w:rFonts w:cs="Times New Roman"/>
                <w:color w:val="000000"/>
                <w:szCs w:val="24"/>
              </w:rPr>
            </w:pPr>
            <w:r>
              <w:rPr>
                <w:rFonts w:cs="Times New Roman"/>
                <w:color w:val="000000"/>
                <w:szCs w:val="24"/>
              </w:rPr>
              <w:t>38</w:t>
            </w:r>
          </w:p>
        </w:tc>
        <w:tc>
          <w:tcPr>
            <w:tcW w:w="133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F87656" w14:textId="77777777" w:rsidR="00C82BCC" w:rsidRDefault="00C82BCC" w:rsidP="00BF6D8E">
            <w:pPr>
              <w:spacing w:after="0" w:line="240" w:lineRule="auto"/>
              <w:jc w:val="center"/>
              <w:rPr>
                <w:rFonts w:cs="Times New Roman"/>
                <w:color w:val="000000"/>
                <w:szCs w:val="24"/>
              </w:rPr>
            </w:pPr>
            <w:r>
              <w:rPr>
                <w:rFonts w:cs="Times New Roman"/>
                <w:color w:val="000000"/>
                <w:szCs w:val="24"/>
              </w:rPr>
              <w:t>1,64</w:t>
            </w:r>
          </w:p>
        </w:tc>
        <w:tc>
          <w:tcPr>
            <w:tcW w:w="8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E09BAE"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r>
      <w:tr w:rsidR="00C82BCC" w14:paraId="64D69FE1" w14:textId="77777777" w:rsidTr="00C82BCC">
        <w:trPr>
          <w:trHeight w:val="300"/>
        </w:trPr>
        <w:tc>
          <w:tcPr>
            <w:tcW w:w="182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8B207E" w14:textId="77777777" w:rsidR="00C82BCC" w:rsidRDefault="00C82BCC" w:rsidP="00BF6D8E">
            <w:pPr>
              <w:spacing w:after="0" w:line="240" w:lineRule="auto"/>
              <w:jc w:val="center"/>
              <w:rPr>
                <w:rFonts w:cs="Times New Roman"/>
                <w:color w:val="000000"/>
                <w:szCs w:val="24"/>
              </w:rPr>
            </w:pPr>
            <w:r>
              <w:rPr>
                <w:rFonts w:cs="Times New Roman"/>
                <w:color w:val="000000"/>
                <w:szCs w:val="24"/>
              </w:rPr>
              <w:t>15</w:t>
            </w:r>
          </w:p>
        </w:tc>
        <w:tc>
          <w:tcPr>
            <w:tcW w:w="4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6A2CB4" w14:textId="77777777" w:rsidR="00C82BCC" w:rsidRDefault="00C82BCC" w:rsidP="00BF6D8E">
            <w:pPr>
              <w:spacing w:after="0" w:line="240" w:lineRule="auto"/>
              <w:jc w:val="center"/>
              <w:rPr>
                <w:rFonts w:cs="Times New Roman"/>
                <w:color w:val="000000"/>
                <w:szCs w:val="24"/>
              </w:rPr>
            </w:pPr>
            <w:r>
              <w:rPr>
                <w:rFonts w:cs="Times New Roman"/>
                <w:color w:val="000000"/>
                <w:szCs w:val="24"/>
              </w:rPr>
              <w:t>10,12</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41F8AA" w14:textId="77777777" w:rsidR="00C82BCC" w:rsidRDefault="00C82BCC" w:rsidP="00BF6D8E">
            <w:pPr>
              <w:spacing w:after="0" w:line="240" w:lineRule="auto"/>
              <w:jc w:val="center"/>
              <w:rPr>
                <w:rFonts w:cs="Times New Roman"/>
                <w:color w:val="000000"/>
                <w:szCs w:val="24"/>
              </w:rPr>
            </w:pPr>
            <w:r>
              <w:rPr>
                <w:rFonts w:cs="Times New Roman"/>
                <w:color w:val="000000"/>
                <w:szCs w:val="24"/>
              </w:rPr>
              <w:t>1</w:t>
            </w:r>
          </w:p>
        </w:tc>
        <w:tc>
          <w:tcPr>
            <w:tcW w:w="133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ED7496" w14:textId="77777777" w:rsidR="00C82BCC" w:rsidRDefault="00C82BCC" w:rsidP="00BF6D8E">
            <w:pPr>
              <w:spacing w:after="0" w:line="240" w:lineRule="auto"/>
              <w:jc w:val="center"/>
              <w:rPr>
                <w:rFonts w:cs="Times New Roman"/>
                <w:color w:val="000000"/>
                <w:szCs w:val="24"/>
              </w:rPr>
            </w:pPr>
            <w:r>
              <w:rPr>
                <w:rFonts w:cs="Times New Roman"/>
                <w:color w:val="000000"/>
                <w:szCs w:val="24"/>
              </w:rPr>
              <w:t>8,32</w:t>
            </w:r>
          </w:p>
        </w:tc>
        <w:tc>
          <w:tcPr>
            <w:tcW w:w="8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9E8EBC"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r>
      <w:tr w:rsidR="00C82BCC" w14:paraId="6FE41F54" w14:textId="77777777" w:rsidTr="00C82BCC">
        <w:trPr>
          <w:trHeight w:val="300"/>
        </w:trPr>
        <w:tc>
          <w:tcPr>
            <w:tcW w:w="182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C075EC" w14:textId="77777777" w:rsidR="00C82BCC" w:rsidRDefault="00C82BCC" w:rsidP="00BF6D8E">
            <w:pPr>
              <w:spacing w:after="0" w:line="240" w:lineRule="auto"/>
              <w:jc w:val="center"/>
              <w:rPr>
                <w:rFonts w:cs="Times New Roman"/>
                <w:color w:val="000000"/>
                <w:szCs w:val="24"/>
              </w:rPr>
            </w:pPr>
            <w:r>
              <w:rPr>
                <w:rFonts w:cs="Times New Roman"/>
                <w:color w:val="000000"/>
                <w:szCs w:val="24"/>
              </w:rPr>
              <w:t>40</w:t>
            </w:r>
          </w:p>
        </w:tc>
        <w:tc>
          <w:tcPr>
            <w:tcW w:w="4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78A9E4" w14:textId="77777777" w:rsidR="00C82BCC" w:rsidRDefault="00C82BCC" w:rsidP="00BF6D8E">
            <w:pPr>
              <w:spacing w:after="0" w:line="240" w:lineRule="auto"/>
              <w:jc w:val="center"/>
              <w:rPr>
                <w:rFonts w:cs="Times New Roman"/>
                <w:color w:val="000000"/>
                <w:szCs w:val="24"/>
              </w:rPr>
            </w:pPr>
            <w:r>
              <w:rPr>
                <w:rFonts w:cs="Times New Roman"/>
                <w:color w:val="000000"/>
                <w:szCs w:val="24"/>
              </w:rPr>
              <w:t>12,21</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1A4A6B" w14:textId="77777777" w:rsidR="00C82BCC" w:rsidRDefault="00C82BCC" w:rsidP="00BF6D8E">
            <w:pPr>
              <w:spacing w:after="0" w:line="240" w:lineRule="auto"/>
              <w:jc w:val="center"/>
              <w:rPr>
                <w:rFonts w:cs="Times New Roman"/>
                <w:color w:val="000000"/>
                <w:szCs w:val="24"/>
              </w:rPr>
            </w:pPr>
            <w:r>
              <w:rPr>
                <w:rFonts w:cs="Times New Roman"/>
                <w:color w:val="000000"/>
                <w:szCs w:val="24"/>
              </w:rPr>
              <w:t>5</w:t>
            </w:r>
          </w:p>
        </w:tc>
        <w:tc>
          <w:tcPr>
            <w:tcW w:w="133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A5ECB8" w14:textId="77777777" w:rsidR="00C82BCC" w:rsidRDefault="00C82BCC" w:rsidP="00BF6D8E">
            <w:pPr>
              <w:spacing w:after="0" w:line="240" w:lineRule="auto"/>
              <w:jc w:val="center"/>
              <w:rPr>
                <w:rFonts w:cs="Times New Roman"/>
                <w:color w:val="000000"/>
                <w:szCs w:val="24"/>
              </w:rPr>
            </w:pPr>
            <w:r>
              <w:rPr>
                <w:rFonts w:cs="Times New Roman"/>
                <w:color w:val="000000"/>
                <w:szCs w:val="24"/>
              </w:rPr>
              <w:t>3,82</w:t>
            </w:r>
          </w:p>
        </w:tc>
        <w:tc>
          <w:tcPr>
            <w:tcW w:w="8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7746CD"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r>
      <w:tr w:rsidR="00C82BCC" w14:paraId="1D80CA27" w14:textId="77777777" w:rsidTr="00C82BCC">
        <w:trPr>
          <w:trHeight w:val="300"/>
        </w:trPr>
        <w:tc>
          <w:tcPr>
            <w:tcW w:w="182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92D945" w14:textId="77777777" w:rsidR="00C82BCC" w:rsidRDefault="00C82BCC" w:rsidP="00BF6D8E">
            <w:pPr>
              <w:spacing w:after="0" w:line="240" w:lineRule="auto"/>
              <w:jc w:val="center"/>
              <w:rPr>
                <w:rFonts w:cs="Times New Roman"/>
                <w:color w:val="000000"/>
                <w:szCs w:val="24"/>
              </w:rPr>
            </w:pPr>
            <w:r>
              <w:rPr>
                <w:rFonts w:cs="Times New Roman"/>
                <w:color w:val="000000"/>
                <w:szCs w:val="24"/>
              </w:rPr>
              <w:t>0</w:t>
            </w:r>
          </w:p>
        </w:tc>
        <w:tc>
          <w:tcPr>
            <w:tcW w:w="4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A5FA5E" w14:textId="77777777" w:rsidR="00C82BCC" w:rsidRDefault="00C82BCC" w:rsidP="00BF6D8E">
            <w:pPr>
              <w:spacing w:after="0" w:line="240" w:lineRule="auto"/>
              <w:jc w:val="center"/>
              <w:rPr>
                <w:rFonts w:cs="Times New Roman"/>
                <w:color w:val="000000"/>
                <w:szCs w:val="24"/>
              </w:rPr>
            </w:pPr>
            <w:r>
              <w:rPr>
                <w:rFonts w:cs="Times New Roman"/>
                <w:color w:val="000000"/>
                <w:szCs w:val="24"/>
              </w:rPr>
              <w:t>13,1</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82BADE" w14:textId="77777777" w:rsidR="00C82BCC" w:rsidRDefault="00C82BCC" w:rsidP="00BF6D8E">
            <w:pPr>
              <w:spacing w:after="0" w:line="240" w:lineRule="auto"/>
              <w:jc w:val="center"/>
              <w:rPr>
                <w:rFonts w:cs="Times New Roman"/>
                <w:color w:val="000000"/>
                <w:szCs w:val="24"/>
              </w:rPr>
            </w:pPr>
            <w:r>
              <w:rPr>
                <w:rFonts w:cs="Times New Roman"/>
                <w:color w:val="000000"/>
                <w:szCs w:val="24"/>
              </w:rPr>
              <w:t>73</w:t>
            </w:r>
          </w:p>
        </w:tc>
        <w:tc>
          <w:tcPr>
            <w:tcW w:w="133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47C4DF" w14:textId="77777777" w:rsidR="00C82BCC" w:rsidRDefault="00C82BCC" w:rsidP="00BF6D8E">
            <w:pPr>
              <w:spacing w:after="0" w:line="240" w:lineRule="auto"/>
              <w:jc w:val="center"/>
              <w:rPr>
                <w:rFonts w:cs="Times New Roman"/>
                <w:color w:val="000000"/>
                <w:szCs w:val="24"/>
              </w:rPr>
            </w:pPr>
            <w:r>
              <w:rPr>
                <w:rFonts w:cs="Times New Roman"/>
                <w:color w:val="000000"/>
                <w:szCs w:val="24"/>
              </w:rPr>
              <w:t>1,08</w:t>
            </w:r>
          </w:p>
        </w:tc>
        <w:tc>
          <w:tcPr>
            <w:tcW w:w="8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5859FC"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r>
      <w:tr w:rsidR="00C82BCC" w14:paraId="7543110B" w14:textId="77777777" w:rsidTr="00C82BCC">
        <w:trPr>
          <w:trHeight w:val="300"/>
        </w:trPr>
        <w:tc>
          <w:tcPr>
            <w:tcW w:w="182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D7F715" w14:textId="77777777" w:rsidR="00C82BCC" w:rsidRDefault="00C82BCC" w:rsidP="00BF6D8E">
            <w:pPr>
              <w:spacing w:after="0" w:line="240" w:lineRule="auto"/>
              <w:jc w:val="center"/>
              <w:rPr>
                <w:rFonts w:cs="Times New Roman"/>
                <w:color w:val="000000"/>
                <w:szCs w:val="24"/>
              </w:rPr>
            </w:pPr>
            <w:r>
              <w:rPr>
                <w:rFonts w:cs="Times New Roman"/>
                <w:color w:val="000000"/>
                <w:szCs w:val="24"/>
              </w:rPr>
              <w:t>60</w:t>
            </w:r>
          </w:p>
        </w:tc>
        <w:tc>
          <w:tcPr>
            <w:tcW w:w="4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2ED452" w14:textId="77777777" w:rsidR="00C82BCC" w:rsidRDefault="00C82BCC" w:rsidP="00BF6D8E">
            <w:pPr>
              <w:spacing w:after="0" w:line="240" w:lineRule="auto"/>
              <w:jc w:val="center"/>
              <w:rPr>
                <w:rFonts w:cs="Times New Roman"/>
                <w:color w:val="000000"/>
                <w:szCs w:val="24"/>
              </w:rPr>
            </w:pPr>
            <w:r>
              <w:rPr>
                <w:rFonts w:cs="Times New Roman"/>
                <w:color w:val="000000"/>
                <w:szCs w:val="24"/>
              </w:rPr>
              <w:t>13,55</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9412A6" w14:textId="77777777" w:rsidR="00C82BCC" w:rsidRDefault="00C82BCC" w:rsidP="00BF6D8E">
            <w:pPr>
              <w:spacing w:after="0" w:line="240" w:lineRule="auto"/>
              <w:jc w:val="center"/>
              <w:rPr>
                <w:rFonts w:cs="Times New Roman"/>
                <w:color w:val="000000"/>
                <w:szCs w:val="24"/>
              </w:rPr>
            </w:pPr>
            <w:r>
              <w:rPr>
                <w:rFonts w:cs="Times New Roman"/>
                <w:color w:val="000000"/>
                <w:szCs w:val="24"/>
              </w:rPr>
              <w:t>84</w:t>
            </w:r>
          </w:p>
        </w:tc>
        <w:tc>
          <w:tcPr>
            <w:tcW w:w="133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9C415E" w14:textId="77777777" w:rsidR="00C82BCC" w:rsidRDefault="00C82BCC" w:rsidP="00BF6D8E">
            <w:pPr>
              <w:spacing w:after="0" w:line="240" w:lineRule="auto"/>
              <w:jc w:val="center"/>
              <w:rPr>
                <w:rFonts w:cs="Times New Roman"/>
                <w:color w:val="000000"/>
                <w:szCs w:val="24"/>
              </w:rPr>
            </w:pPr>
            <w:r>
              <w:rPr>
                <w:rFonts w:cs="Times New Roman"/>
                <w:color w:val="000000"/>
                <w:szCs w:val="24"/>
              </w:rPr>
              <w:t>1,11</w:t>
            </w:r>
          </w:p>
        </w:tc>
        <w:tc>
          <w:tcPr>
            <w:tcW w:w="8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84B5E5"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r>
      <w:tr w:rsidR="00C82BCC" w14:paraId="01556155" w14:textId="77777777" w:rsidTr="00C82BCC">
        <w:trPr>
          <w:trHeight w:val="300"/>
        </w:trPr>
        <w:tc>
          <w:tcPr>
            <w:tcW w:w="182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F1C0B1" w14:textId="77777777" w:rsidR="00C82BCC" w:rsidRDefault="00C82BCC" w:rsidP="00BF6D8E">
            <w:pPr>
              <w:spacing w:after="0" w:line="240" w:lineRule="auto"/>
              <w:jc w:val="center"/>
              <w:rPr>
                <w:rFonts w:cs="Times New Roman"/>
                <w:color w:val="000000"/>
                <w:szCs w:val="24"/>
              </w:rPr>
            </w:pPr>
            <w:r>
              <w:rPr>
                <w:rFonts w:cs="Times New Roman"/>
                <w:color w:val="000000"/>
                <w:szCs w:val="24"/>
              </w:rPr>
              <w:t>30</w:t>
            </w:r>
          </w:p>
        </w:tc>
        <w:tc>
          <w:tcPr>
            <w:tcW w:w="4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7A1D24" w14:textId="77777777" w:rsidR="00C82BCC" w:rsidRDefault="00C82BCC" w:rsidP="00BF6D8E">
            <w:pPr>
              <w:spacing w:after="0" w:line="240" w:lineRule="auto"/>
              <w:jc w:val="center"/>
              <w:rPr>
                <w:rFonts w:cs="Times New Roman"/>
                <w:color w:val="000000"/>
                <w:szCs w:val="24"/>
              </w:rPr>
            </w:pPr>
            <w:r>
              <w:rPr>
                <w:rFonts w:cs="Times New Roman"/>
                <w:color w:val="000000"/>
                <w:szCs w:val="24"/>
              </w:rPr>
              <w:t>14,33</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BCDBED" w14:textId="77777777" w:rsidR="00C82BCC" w:rsidRDefault="00C82BCC" w:rsidP="00BF6D8E">
            <w:pPr>
              <w:spacing w:after="0" w:line="240" w:lineRule="auto"/>
              <w:jc w:val="center"/>
              <w:rPr>
                <w:rFonts w:cs="Times New Roman"/>
                <w:color w:val="000000"/>
                <w:szCs w:val="24"/>
              </w:rPr>
            </w:pPr>
            <w:r>
              <w:rPr>
                <w:rFonts w:cs="Times New Roman"/>
                <w:color w:val="000000"/>
                <w:szCs w:val="24"/>
              </w:rPr>
              <w:t>19</w:t>
            </w:r>
          </w:p>
        </w:tc>
        <w:tc>
          <w:tcPr>
            <w:tcW w:w="133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4DD183" w14:textId="77777777" w:rsidR="00C82BCC" w:rsidRDefault="00C82BCC" w:rsidP="00BF6D8E">
            <w:pPr>
              <w:spacing w:after="0" w:line="240" w:lineRule="auto"/>
              <w:jc w:val="center"/>
              <w:rPr>
                <w:rFonts w:cs="Times New Roman"/>
                <w:color w:val="000000"/>
                <w:szCs w:val="24"/>
              </w:rPr>
            </w:pPr>
            <w:r>
              <w:rPr>
                <w:rFonts w:cs="Times New Roman"/>
                <w:color w:val="000000"/>
                <w:szCs w:val="24"/>
              </w:rPr>
              <w:t>2,14</w:t>
            </w:r>
          </w:p>
        </w:tc>
        <w:tc>
          <w:tcPr>
            <w:tcW w:w="8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6B7431"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r>
      <w:tr w:rsidR="00C82BCC" w14:paraId="4A32AC74" w14:textId="77777777" w:rsidTr="00C82BCC">
        <w:trPr>
          <w:trHeight w:val="300"/>
        </w:trPr>
        <w:tc>
          <w:tcPr>
            <w:tcW w:w="182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83B213" w14:textId="77777777" w:rsidR="00C82BCC" w:rsidRDefault="00C82BCC" w:rsidP="00BF6D8E">
            <w:pPr>
              <w:spacing w:after="0" w:line="240" w:lineRule="auto"/>
              <w:jc w:val="center"/>
              <w:rPr>
                <w:rFonts w:cs="Times New Roman"/>
                <w:color w:val="000000"/>
                <w:szCs w:val="24"/>
              </w:rPr>
            </w:pPr>
            <w:r>
              <w:rPr>
                <w:rFonts w:cs="Times New Roman"/>
                <w:color w:val="000000"/>
                <w:szCs w:val="24"/>
              </w:rPr>
              <w:t>46</w:t>
            </w:r>
          </w:p>
        </w:tc>
        <w:tc>
          <w:tcPr>
            <w:tcW w:w="49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536596" w14:textId="77777777" w:rsidR="00C82BCC" w:rsidRDefault="00C82BCC" w:rsidP="00BF6D8E">
            <w:pPr>
              <w:spacing w:after="0" w:line="240" w:lineRule="auto"/>
              <w:jc w:val="center"/>
              <w:rPr>
                <w:rFonts w:cs="Times New Roman"/>
                <w:color w:val="000000"/>
                <w:szCs w:val="24"/>
              </w:rPr>
            </w:pPr>
            <w:r>
              <w:rPr>
                <w:rFonts w:cs="Times New Roman"/>
                <w:color w:val="000000"/>
                <w:szCs w:val="24"/>
              </w:rPr>
              <w:t>18,44</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6CF2E6" w14:textId="77777777" w:rsidR="00C82BCC" w:rsidRDefault="00C82BCC" w:rsidP="00BF6D8E">
            <w:pPr>
              <w:spacing w:after="0" w:line="240" w:lineRule="auto"/>
              <w:jc w:val="center"/>
              <w:rPr>
                <w:rFonts w:cs="Times New Roman"/>
                <w:color w:val="000000"/>
                <w:szCs w:val="24"/>
              </w:rPr>
            </w:pPr>
            <w:r>
              <w:rPr>
                <w:rFonts w:cs="Times New Roman"/>
                <w:color w:val="000000"/>
                <w:szCs w:val="24"/>
              </w:rPr>
              <w:t>1</w:t>
            </w:r>
          </w:p>
        </w:tc>
        <w:tc>
          <w:tcPr>
            <w:tcW w:w="133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AF3F5D" w14:textId="77777777" w:rsidR="00C82BCC" w:rsidRDefault="00C82BCC" w:rsidP="00BF6D8E">
            <w:pPr>
              <w:spacing w:after="0" w:line="240" w:lineRule="auto"/>
              <w:jc w:val="center"/>
              <w:rPr>
                <w:rFonts w:cs="Times New Roman"/>
                <w:color w:val="000000"/>
                <w:szCs w:val="24"/>
              </w:rPr>
            </w:pPr>
            <w:r>
              <w:rPr>
                <w:rFonts w:cs="Times New Roman"/>
                <w:color w:val="000000"/>
                <w:szCs w:val="24"/>
              </w:rPr>
              <w:t>8,32</w:t>
            </w:r>
          </w:p>
        </w:tc>
        <w:tc>
          <w:tcPr>
            <w:tcW w:w="89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1EBC83"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r>
    </w:tbl>
    <w:p w14:paraId="150EC731" w14:textId="4A6128A1" w:rsidR="00C82BCC" w:rsidRDefault="00C82BCC" w:rsidP="00C82BCC">
      <w:pPr>
        <w:autoSpaceDE w:val="0"/>
        <w:autoSpaceDN w:val="0"/>
        <w:adjustRightInd w:val="0"/>
        <w:spacing w:after="0" w:line="360" w:lineRule="auto"/>
        <w:rPr>
          <w:rFonts w:cs="Times New Roman"/>
          <w:szCs w:val="24"/>
        </w:rPr>
      </w:pPr>
      <w:r>
        <w:rPr>
          <w:rFonts w:cs="Times New Roman"/>
          <w:szCs w:val="24"/>
        </w:rPr>
        <w:t xml:space="preserve"> Medias con una letra común no son significativamente diferentes (p &gt; 0,05)</w:t>
      </w:r>
    </w:p>
    <w:p w14:paraId="7DAC4E01" w14:textId="316B3703" w:rsidR="008A6AF7" w:rsidRPr="008A6AF7" w:rsidRDefault="008A6AF7" w:rsidP="00BF6D8E">
      <w:pPr>
        <w:pStyle w:val="Descripcin"/>
        <w:keepNext/>
        <w:spacing w:before="360"/>
        <w:rPr>
          <w:rFonts w:cs="Times New Roman"/>
          <w:i w:val="0"/>
          <w:iCs w:val="0"/>
          <w:color w:val="auto"/>
          <w:sz w:val="24"/>
          <w:szCs w:val="24"/>
          <w:lang w:eastAsia="en-US"/>
        </w:rPr>
      </w:pPr>
      <w:bookmarkStart w:id="2175" w:name="_Toc79314165"/>
      <w:r w:rsidRPr="008A6AF7">
        <w:rPr>
          <w:rFonts w:cs="Times New Roman"/>
          <w:b/>
          <w:i w:val="0"/>
          <w:iCs w:val="0"/>
          <w:color w:val="auto"/>
          <w:sz w:val="24"/>
          <w:szCs w:val="24"/>
          <w:lang w:eastAsia="en-US"/>
        </w:rPr>
        <w:lastRenderedPageBreak/>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173</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w:t>
      </w:r>
      <w:r w:rsidRPr="008A6AF7">
        <w:rPr>
          <w:rFonts w:cs="Times New Roman"/>
          <w:i w:val="0"/>
          <w:iCs w:val="0"/>
          <w:color w:val="auto"/>
          <w:sz w:val="24"/>
          <w:szCs w:val="24"/>
          <w:lang w:eastAsia="en-US"/>
        </w:rPr>
        <w:t xml:space="preserve"> Absorción total de azufre en plantas de maíz suave para diversas dosis de potasio evaluado en las provincias de Bolívar, Chimborazo, Imbabura 2006-2015.</w:t>
      </w:r>
      <w:bookmarkEnd w:id="2175"/>
    </w:p>
    <w:tbl>
      <w:tblPr>
        <w:tblW w:w="8217" w:type="dxa"/>
        <w:tblCellMar>
          <w:left w:w="70" w:type="dxa"/>
          <w:right w:w="70" w:type="dxa"/>
        </w:tblCellMar>
        <w:tblLook w:val="04A0" w:firstRow="1" w:lastRow="0" w:firstColumn="1" w:lastColumn="0" w:noHBand="0" w:noVBand="1"/>
      </w:tblPr>
      <w:tblGrid>
        <w:gridCol w:w="2689"/>
        <w:gridCol w:w="887"/>
        <w:gridCol w:w="672"/>
        <w:gridCol w:w="1854"/>
        <w:gridCol w:w="1263"/>
        <w:gridCol w:w="852"/>
      </w:tblGrid>
      <w:tr w:rsidR="00C82BCC" w14:paraId="69DF56BE" w14:textId="77777777" w:rsidTr="00992D02">
        <w:trPr>
          <w:trHeight w:val="291"/>
        </w:trPr>
        <w:tc>
          <w:tcPr>
            <w:tcW w:w="2689" w:type="dxa"/>
            <w:tcBorders>
              <w:top w:val="single" w:sz="4" w:space="0" w:color="auto"/>
              <w:left w:val="single" w:sz="4" w:space="0" w:color="auto"/>
              <w:bottom w:val="single" w:sz="4" w:space="0" w:color="auto"/>
              <w:right w:val="single" w:sz="4" w:space="0" w:color="auto"/>
            </w:tcBorders>
            <w:noWrap/>
            <w:vAlign w:val="bottom"/>
            <w:hideMark/>
          </w:tcPr>
          <w:p w14:paraId="449784AA"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887" w:type="dxa"/>
            <w:tcBorders>
              <w:top w:val="single" w:sz="4" w:space="0" w:color="auto"/>
              <w:left w:val="nil"/>
              <w:bottom w:val="single" w:sz="4" w:space="0" w:color="auto"/>
              <w:right w:val="single" w:sz="4" w:space="0" w:color="auto"/>
            </w:tcBorders>
            <w:noWrap/>
            <w:vAlign w:val="bottom"/>
            <w:hideMark/>
          </w:tcPr>
          <w:p w14:paraId="03C94787"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72" w:type="dxa"/>
            <w:tcBorders>
              <w:top w:val="single" w:sz="4" w:space="0" w:color="auto"/>
              <w:left w:val="nil"/>
              <w:bottom w:val="single" w:sz="4" w:space="0" w:color="auto"/>
              <w:right w:val="single" w:sz="4" w:space="0" w:color="auto"/>
            </w:tcBorders>
            <w:noWrap/>
            <w:vAlign w:val="bottom"/>
            <w:hideMark/>
          </w:tcPr>
          <w:p w14:paraId="5BC9AA62"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54" w:type="dxa"/>
            <w:tcBorders>
              <w:top w:val="single" w:sz="4" w:space="0" w:color="auto"/>
              <w:left w:val="nil"/>
              <w:bottom w:val="single" w:sz="4" w:space="0" w:color="auto"/>
              <w:right w:val="single" w:sz="4" w:space="0" w:color="auto"/>
            </w:tcBorders>
            <w:noWrap/>
            <w:vAlign w:val="bottom"/>
            <w:hideMark/>
          </w:tcPr>
          <w:p w14:paraId="629A4F1C" w14:textId="77777777" w:rsidR="00C82BCC"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63" w:type="dxa"/>
            <w:tcBorders>
              <w:top w:val="single" w:sz="4" w:space="0" w:color="auto"/>
              <w:left w:val="single" w:sz="4" w:space="0" w:color="auto"/>
              <w:bottom w:val="single" w:sz="4" w:space="0" w:color="auto"/>
              <w:right w:val="nil"/>
            </w:tcBorders>
            <w:noWrap/>
            <w:vAlign w:val="bottom"/>
            <w:hideMark/>
          </w:tcPr>
          <w:p w14:paraId="54D9D962" w14:textId="77777777" w:rsidR="00C82BCC" w:rsidRDefault="00C82BCC" w:rsidP="00BF6D8E">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852" w:type="dxa"/>
            <w:tcBorders>
              <w:top w:val="single" w:sz="4" w:space="0" w:color="auto"/>
              <w:left w:val="nil"/>
              <w:bottom w:val="single" w:sz="4" w:space="0" w:color="auto"/>
              <w:right w:val="single" w:sz="4" w:space="0" w:color="auto"/>
            </w:tcBorders>
            <w:noWrap/>
            <w:vAlign w:val="bottom"/>
            <w:hideMark/>
          </w:tcPr>
          <w:p w14:paraId="44757A3D" w14:textId="77777777" w:rsidR="00C82BCC" w:rsidRDefault="00C82BCC" w:rsidP="00BF6D8E">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44BAF260" w14:textId="77777777" w:rsidTr="00992D02">
        <w:trPr>
          <w:trHeight w:val="291"/>
        </w:trPr>
        <w:tc>
          <w:tcPr>
            <w:tcW w:w="2689" w:type="dxa"/>
            <w:tcBorders>
              <w:top w:val="nil"/>
              <w:left w:val="single" w:sz="4" w:space="0" w:color="auto"/>
              <w:bottom w:val="single" w:sz="4" w:space="0" w:color="auto"/>
              <w:right w:val="single" w:sz="4" w:space="0" w:color="auto"/>
            </w:tcBorders>
            <w:noWrap/>
            <w:vAlign w:val="bottom"/>
            <w:hideMark/>
          </w:tcPr>
          <w:p w14:paraId="380F960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887" w:type="dxa"/>
            <w:tcBorders>
              <w:top w:val="nil"/>
              <w:left w:val="nil"/>
              <w:bottom w:val="single" w:sz="4" w:space="0" w:color="auto"/>
              <w:right w:val="single" w:sz="4" w:space="0" w:color="auto"/>
            </w:tcBorders>
            <w:noWrap/>
            <w:vAlign w:val="bottom"/>
            <w:hideMark/>
          </w:tcPr>
          <w:p w14:paraId="48FB970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8,66</w:t>
            </w:r>
          </w:p>
        </w:tc>
        <w:tc>
          <w:tcPr>
            <w:tcW w:w="672" w:type="dxa"/>
            <w:tcBorders>
              <w:top w:val="nil"/>
              <w:left w:val="nil"/>
              <w:bottom w:val="single" w:sz="4" w:space="0" w:color="auto"/>
              <w:right w:val="single" w:sz="4" w:space="0" w:color="auto"/>
            </w:tcBorders>
            <w:noWrap/>
            <w:vAlign w:val="bottom"/>
            <w:hideMark/>
          </w:tcPr>
          <w:p w14:paraId="76DDFDD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55</w:t>
            </w:r>
          </w:p>
        </w:tc>
        <w:tc>
          <w:tcPr>
            <w:tcW w:w="1854" w:type="dxa"/>
            <w:tcBorders>
              <w:top w:val="nil"/>
              <w:left w:val="nil"/>
              <w:bottom w:val="single" w:sz="4" w:space="0" w:color="auto"/>
              <w:right w:val="single" w:sz="4" w:space="0" w:color="auto"/>
            </w:tcBorders>
            <w:noWrap/>
            <w:vAlign w:val="bottom"/>
            <w:hideMark/>
          </w:tcPr>
          <w:p w14:paraId="3D6055E8"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2,11</w:t>
            </w:r>
          </w:p>
        </w:tc>
        <w:tc>
          <w:tcPr>
            <w:tcW w:w="1263" w:type="dxa"/>
            <w:tcBorders>
              <w:top w:val="single" w:sz="4" w:space="0" w:color="auto"/>
              <w:left w:val="nil"/>
              <w:bottom w:val="single" w:sz="4" w:space="0" w:color="auto"/>
              <w:right w:val="single" w:sz="4" w:space="0" w:color="auto"/>
            </w:tcBorders>
            <w:noWrap/>
            <w:vAlign w:val="bottom"/>
            <w:hideMark/>
          </w:tcPr>
          <w:p w14:paraId="33CC8AA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852" w:type="dxa"/>
            <w:tcBorders>
              <w:top w:val="single" w:sz="4" w:space="0" w:color="auto"/>
              <w:left w:val="nil"/>
              <w:bottom w:val="single" w:sz="4" w:space="0" w:color="auto"/>
              <w:right w:val="single" w:sz="4" w:space="0" w:color="auto"/>
            </w:tcBorders>
            <w:noWrap/>
            <w:vAlign w:val="bottom"/>
            <w:hideMark/>
          </w:tcPr>
          <w:p w14:paraId="48F04604"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2B40D007" w14:textId="77777777" w:rsidTr="00992D02">
        <w:trPr>
          <w:trHeight w:val="291"/>
        </w:trPr>
        <w:tc>
          <w:tcPr>
            <w:tcW w:w="2689" w:type="dxa"/>
            <w:tcBorders>
              <w:top w:val="nil"/>
              <w:left w:val="single" w:sz="4" w:space="0" w:color="auto"/>
              <w:bottom w:val="single" w:sz="4" w:space="0" w:color="auto"/>
              <w:right w:val="single" w:sz="4" w:space="0" w:color="auto"/>
            </w:tcBorders>
            <w:noWrap/>
            <w:vAlign w:val="bottom"/>
            <w:hideMark/>
          </w:tcPr>
          <w:p w14:paraId="52F12E6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887" w:type="dxa"/>
            <w:tcBorders>
              <w:top w:val="nil"/>
              <w:left w:val="nil"/>
              <w:bottom w:val="single" w:sz="4" w:space="0" w:color="auto"/>
              <w:right w:val="single" w:sz="4" w:space="0" w:color="auto"/>
            </w:tcBorders>
            <w:noWrap/>
            <w:vAlign w:val="bottom"/>
            <w:hideMark/>
          </w:tcPr>
          <w:p w14:paraId="098F1ED6"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8,84</w:t>
            </w:r>
          </w:p>
        </w:tc>
        <w:tc>
          <w:tcPr>
            <w:tcW w:w="672" w:type="dxa"/>
            <w:tcBorders>
              <w:top w:val="nil"/>
              <w:left w:val="nil"/>
              <w:bottom w:val="single" w:sz="4" w:space="0" w:color="auto"/>
              <w:right w:val="single" w:sz="4" w:space="0" w:color="auto"/>
            </w:tcBorders>
            <w:noWrap/>
            <w:vAlign w:val="bottom"/>
            <w:hideMark/>
          </w:tcPr>
          <w:p w14:paraId="529EA84B"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54" w:type="dxa"/>
            <w:tcBorders>
              <w:top w:val="nil"/>
              <w:left w:val="nil"/>
              <w:bottom w:val="single" w:sz="4" w:space="0" w:color="auto"/>
              <w:right w:val="single" w:sz="4" w:space="0" w:color="auto"/>
            </w:tcBorders>
            <w:noWrap/>
            <w:vAlign w:val="bottom"/>
            <w:hideMark/>
          </w:tcPr>
          <w:p w14:paraId="2BAB3A10"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2,42</w:t>
            </w:r>
          </w:p>
        </w:tc>
        <w:tc>
          <w:tcPr>
            <w:tcW w:w="1263" w:type="dxa"/>
            <w:tcBorders>
              <w:top w:val="nil"/>
              <w:left w:val="nil"/>
              <w:bottom w:val="single" w:sz="4" w:space="0" w:color="auto"/>
              <w:right w:val="single" w:sz="4" w:space="0" w:color="auto"/>
            </w:tcBorders>
            <w:noWrap/>
            <w:vAlign w:val="bottom"/>
            <w:hideMark/>
          </w:tcPr>
          <w:p w14:paraId="62DF321B"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852" w:type="dxa"/>
            <w:tcBorders>
              <w:top w:val="nil"/>
              <w:left w:val="nil"/>
              <w:bottom w:val="single" w:sz="4" w:space="0" w:color="auto"/>
              <w:right w:val="single" w:sz="4" w:space="0" w:color="auto"/>
            </w:tcBorders>
            <w:noWrap/>
            <w:vAlign w:val="bottom"/>
            <w:hideMark/>
          </w:tcPr>
          <w:p w14:paraId="27921BCA"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4281604" w14:textId="77777777" w:rsidTr="00992D02">
        <w:trPr>
          <w:trHeight w:val="291"/>
        </w:trPr>
        <w:tc>
          <w:tcPr>
            <w:tcW w:w="2689" w:type="dxa"/>
            <w:tcBorders>
              <w:top w:val="nil"/>
              <w:left w:val="single" w:sz="4" w:space="0" w:color="auto"/>
              <w:bottom w:val="single" w:sz="4" w:space="0" w:color="auto"/>
              <w:right w:val="single" w:sz="4" w:space="0" w:color="auto"/>
            </w:tcBorders>
            <w:noWrap/>
            <w:vAlign w:val="bottom"/>
            <w:hideMark/>
          </w:tcPr>
          <w:p w14:paraId="7079667F"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887" w:type="dxa"/>
            <w:tcBorders>
              <w:top w:val="nil"/>
              <w:left w:val="nil"/>
              <w:bottom w:val="single" w:sz="4" w:space="0" w:color="auto"/>
              <w:right w:val="single" w:sz="4" w:space="0" w:color="auto"/>
            </w:tcBorders>
            <w:noWrap/>
            <w:vAlign w:val="bottom"/>
            <w:hideMark/>
          </w:tcPr>
          <w:p w14:paraId="7C5DFAB0"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10,12</w:t>
            </w:r>
          </w:p>
        </w:tc>
        <w:tc>
          <w:tcPr>
            <w:tcW w:w="672" w:type="dxa"/>
            <w:tcBorders>
              <w:top w:val="nil"/>
              <w:left w:val="nil"/>
              <w:bottom w:val="single" w:sz="4" w:space="0" w:color="auto"/>
              <w:right w:val="single" w:sz="4" w:space="0" w:color="auto"/>
            </w:tcBorders>
            <w:noWrap/>
            <w:vAlign w:val="bottom"/>
            <w:hideMark/>
          </w:tcPr>
          <w:p w14:paraId="3C672926"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54" w:type="dxa"/>
            <w:tcBorders>
              <w:top w:val="nil"/>
              <w:left w:val="nil"/>
              <w:bottom w:val="single" w:sz="4" w:space="0" w:color="auto"/>
              <w:right w:val="single" w:sz="4" w:space="0" w:color="auto"/>
            </w:tcBorders>
            <w:noWrap/>
            <w:vAlign w:val="bottom"/>
            <w:hideMark/>
          </w:tcPr>
          <w:p w14:paraId="5CA27058"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8,32</w:t>
            </w:r>
          </w:p>
        </w:tc>
        <w:tc>
          <w:tcPr>
            <w:tcW w:w="1263" w:type="dxa"/>
            <w:tcBorders>
              <w:top w:val="nil"/>
              <w:left w:val="nil"/>
              <w:bottom w:val="single" w:sz="4" w:space="0" w:color="auto"/>
              <w:right w:val="single" w:sz="4" w:space="0" w:color="auto"/>
            </w:tcBorders>
            <w:noWrap/>
            <w:vAlign w:val="bottom"/>
            <w:hideMark/>
          </w:tcPr>
          <w:p w14:paraId="5EBCBC21"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852" w:type="dxa"/>
            <w:tcBorders>
              <w:top w:val="nil"/>
              <w:left w:val="nil"/>
              <w:bottom w:val="single" w:sz="4" w:space="0" w:color="auto"/>
              <w:right w:val="single" w:sz="4" w:space="0" w:color="auto"/>
            </w:tcBorders>
            <w:noWrap/>
            <w:vAlign w:val="bottom"/>
            <w:hideMark/>
          </w:tcPr>
          <w:p w14:paraId="098A27D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445AB97D" w14:textId="77777777" w:rsidTr="00992D02">
        <w:trPr>
          <w:trHeight w:val="291"/>
        </w:trPr>
        <w:tc>
          <w:tcPr>
            <w:tcW w:w="2689" w:type="dxa"/>
            <w:tcBorders>
              <w:top w:val="nil"/>
              <w:left w:val="single" w:sz="4" w:space="0" w:color="auto"/>
              <w:bottom w:val="single" w:sz="4" w:space="0" w:color="auto"/>
              <w:right w:val="single" w:sz="4" w:space="0" w:color="auto"/>
            </w:tcBorders>
            <w:noWrap/>
            <w:vAlign w:val="bottom"/>
            <w:hideMark/>
          </w:tcPr>
          <w:p w14:paraId="60E14AED"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887" w:type="dxa"/>
            <w:tcBorders>
              <w:top w:val="nil"/>
              <w:left w:val="nil"/>
              <w:bottom w:val="single" w:sz="4" w:space="0" w:color="auto"/>
              <w:right w:val="single" w:sz="4" w:space="0" w:color="auto"/>
            </w:tcBorders>
            <w:noWrap/>
            <w:vAlign w:val="bottom"/>
            <w:hideMark/>
          </w:tcPr>
          <w:p w14:paraId="3E045E2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11,27</w:t>
            </w:r>
          </w:p>
        </w:tc>
        <w:tc>
          <w:tcPr>
            <w:tcW w:w="672" w:type="dxa"/>
            <w:tcBorders>
              <w:top w:val="nil"/>
              <w:left w:val="nil"/>
              <w:bottom w:val="single" w:sz="4" w:space="0" w:color="auto"/>
              <w:right w:val="single" w:sz="4" w:space="0" w:color="auto"/>
            </w:tcBorders>
            <w:noWrap/>
            <w:vAlign w:val="bottom"/>
            <w:hideMark/>
          </w:tcPr>
          <w:p w14:paraId="489C17B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54" w:type="dxa"/>
            <w:tcBorders>
              <w:top w:val="nil"/>
              <w:left w:val="nil"/>
              <w:bottom w:val="single" w:sz="4" w:space="0" w:color="auto"/>
              <w:right w:val="single" w:sz="4" w:space="0" w:color="auto"/>
            </w:tcBorders>
            <w:noWrap/>
            <w:vAlign w:val="bottom"/>
            <w:hideMark/>
          </w:tcPr>
          <w:p w14:paraId="2747A240"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8,32</w:t>
            </w:r>
          </w:p>
        </w:tc>
        <w:tc>
          <w:tcPr>
            <w:tcW w:w="1263" w:type="dxa"/>
            <w:tcBorders>
              <w:top w:val="nil"/>
              <w:left w:val="nil"/>
              <w:bottom w:val="single" w:sz="4" w:space="0" w:color="auto"/>
              <w:right w:val="single" w:sz="4" w:space="0" w:color="auto"/>
            </w:tcBorders>
            <w:noWrap/>
            <w:vAlign w:val="bottom"/>
            <w:hideMark/>
          </w:tcPr>
          <w:p w14:paraId="02283D0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852" w:type="dxa"/>
            <w:tcBorders>
              <w:top w:val="nil"/>
              <w:left w:val="nil"/>
              <w:bottom w:val="single" w:sz="4" w:space="0" w:color="auto"/>
              <w:right w:val="single" w:sz="4" w:space="0" w:color="auto"/>
            </w:tcBorders>
            <w:noWrap/>
            <w:vAlign w:val="bottom"/>
            <w:hideMark/>
          </w:tcPr>
          <w:p w14:paraId="5CB91B57"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1715ECF3" w14:textId="77777777" w:rsidTr="00992D02">
        <w:trPr>
          <w:trHeight w:val="291"/>
        </w:trPr>
        <w:tc>
          <w:tcPr>
            <w:tcW w:w="2689" w:type="dxa"/>
            <w:tcBorders>
              <w:top w:val="nil"/>
              <w:left w:val="single" w:sz="4" w:space="0" w:color="auto"/>
              <w:bottom w:val="single" w:sz="4" w:space="0" w:color="auto"/>
              <w:right w:val="single" w:sz="4" w:space="0" w:color="auto"/>
            </w:tcBorders>
            <w:noWrap/>
            <w:vAlign w:val="bottom"/>
            <w:hideMark/>
          </w:tcPr>
          <w:p w14:paraId="678ADBE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887" w:type="dxa"/>
            <w:tcBorders>
              <w:top w:val="nil"/>
              <w:left w:val="nil"/>
              <w:bottom w:val="single" w:sz="4" w:space="0" w:color="auto"/>
              <w:right w:val="single" w:sz="4" w:space="0" w:color="auto"/>
            </w:tcBorders>
            <w:noWrap/>
            <w:vAlign w:val="bottom"/>
            <w:hideMark/>
          </w:tcPr>
          <w:p w14:paraId="55242C66"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12,88</w:t>
            </w:r>
          </w:p>
        </w:tc>
        <w:tc>
          <w:tcPr>
            <w:tcW w:w="672" w:type="dxa"/>
            <w:tcBorders>
              <w:top w:val="nil"/>
              <w:left w:val="nil"/>
              <w:bottom w:val="single" w:sz="4" w:space="0" w:color="auto"/>
              <w:right w:val="single" w:sz="4" w:space="0" w:color="auto"/>
            </w:tcBorders>
            <w:noWrap/>
            <w:vAlign w:val="bottom"/>
            <w:hideMark/>
          </w:tcPr>
          <w:p w14:paraId="67C83751"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854" w:type="dxa"/>
            <w:tcBorders>
              <w:top w:val="nil"/>
              <w:left w:val="nil"/>
              <w:bottom w:val="single" w:sz="4" w:space="0" w:color="auto"/>
              <w:right w:val="single" w:sz="4" w:space="0" w:color="auto"/>
            </w:tcBorders>
            <w:noWrap/>
            <w:vAlign w:val="bottom"/>
            <w:hideMark/>
          </w:tcPr>
          <w:p w14:paraId="06FF1EB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1,15</w:t>
            </w:r>
          </w:p>
        </w:tc>
        <w:tc>
          <w:tcPr>
            <w:tcW w:w="1263" w:type="dxa"/>
            <w:tcBorders>
              <w:top w:val="nil"/>
              <w:left w:val="nil"/>
              <w:bottom w:val="single" w:sz="4" w:space="0" w:color="auto"/>
              <w:right w:val="single" w:sz="4" w:space="0" w:color="auto"/>
            </w:tcBorders>
            <w:noWrap/>
            <w:vAlign w:val="bottom"/>
            <w:hideMark/>
          </w:tcPr>
          <w:p w14:paraId="0449B809"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852" w:type="dxa"/>
            <w:tcBorders>
              <w:top w:val="nil"/>
              <w:left w:val="nil"/>
              <w:bottom w:val="single" w:sz="4" w:space="0" w:color="auto"/>
              <w:right w:val="single" w:sz="4" w:space="0" w:color="auto"/>
            </w:tcBorders>
            <w:noWrap/>
            <w:vAlign w:val="bottom"/>
            <w:hideMark/>
          </w:tcPr>
          <w:p w14:paraId="1B25E02D"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532506E1" w14:textId="77777777" w:rsidTr="00992D02">
        <w:trPr>
          <w:trHeight w:val="291"/>
        </w:trPr>
        <w:tc>
          <w:tcPr>
            <w:tcW w:w="2689" w:type="dxa"/>
            <w:tcBorders>
              <w:top w:val="nil"/>
              <w:left w:val="single" w:sz="4" w:space="0" w:color="auto"/>
              <w:bottom w:val="single" w:sz="4" w:space="0" w:color="auto"/>
              <w:right w:val="single" w:sz="4" w:space="0" w:color="auto"/>
            </w:tcBorders>
            <w:noWrap/>
            <w:vAlign w:val="bottom"/>
            <w:hideMark/>
          </w:tcPr>
          <w:p w14:paraId="3F2FEE8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887" w:type="dxa"/>
            <w:tcBorders>
              <w:top w:val="nil"/>
              <w:left w:val="nil"/>
              <w:bottom w:val="single" w:sz="4" w:space="0" w:color="auto"/>
              <w:right w:val="single" w:sz="4" w:space="0" w:color="auto"/>
            </w:tcBorders>
            <w:noWrap/>
            <w:vAlign w:val="bottom"/>
            <w:hideMark/>
          </w:tcPr>
          <w:p w14:paraId="2CDDCEF7"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12,91</w:t>
            </w:r>
          </w:p>
        </w:tc>
        <w:tc>
          <w:tcPr>
            <w:tcW w:w="672" w:type="dxa"/>
            <w:tcBorders>
              <w:top w:val="nil"/>
              <w:left w:val="nil"/>
              <w:bottom w:val="single" w:sz="4" w:space="0" w:color="auto"/>
              <w:right w:val="single" w:sz="4" w:space="0" w:color="auto"/>
            </w:tcBorders>
            <w:noWrap/>
            <w:vAlign w:val="bottom"/>
            <w:hideMark/>
          </w:tcPr>
          <w:p w14:paraId="5459961F"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w:t>
            </w:r>
          </w:p>
        </w:tc>
        <w:tc>
          <w:tcPr>
            <w:tcW w:w="1854" w:type="dxa"/>
            <w:tcBorders>
              <w:top w:val="nil"/>
              <w:left w:val="nil"/>
              <w:bottom w:val="single" w:sz="4" w:space="0" w:color="auto"/>
              <w:right w:val="single" w:sz="4" w:space="0" w:color="auto"/>
            </w:tcBorders>
            <w:noWrap/>
            <w:vAlign w:val="bottom"/>
            <w:hideMark/>
          </w:tcPr>
          <w:p w14:paraId="0BE10C8A"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1,36</w:t>
            </w:r>
          </w:p>
        </w:tc>
        <w:tc>
          <w:tcPr>
            <w:tcW w:w="1263" w:type="dxa"/>
            <w:tcBorders>
              <w:top w:val="nil"/>
              <w:left w:val="nil"/>
              <w:bottom w:val="single" w:sz="4" w:space="0" w:color="auto"/>
              <w:right w:val="single" w:sz="4" w:space="0" w:color="auto"/>
            </w:tcBorders>
            <w:noWrap/>
            <w:vAlign w:val="bottom"/>
            <w:hideMark/>
          </w:tcPr>
          <w:p w14:paraId="53AAC57A"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852" w:type="dxa"/>
            <w:tcBorders>
              <w:top w:val="nil"/>
              <w:left w:val="nil"/>
              <w:bottom w:val="single" w:sz="4" w:space="0" w:color="auto"/>
              <w:right w:val="single" w:sz="4" w:space="0" w:color="auto"/>
            </w:tcBorders>
            <w:noWrap/>
            <w:vAlign w:val="bottom"/>
            <w:hideMark/>
          </w:tcPr>
          <w:p w14:paraId="5966ADC3"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3838B80B" w14:textId="77777777" w:rsidTr="00992D02">
        <w:trPr>
          <w:trHeight w:val="291"/>
        </w:trPr>
        <w:tc>
          <w:tcPr>
            <w:tcW w:w="2689" w:type="dxa"/>
            <w:tcBorders>
              <w:top w:val="nil"/>
              <w:left w:val="single" w:sz="4" w:space="0" w:color="auto"/>
              <w:bottom w:val="single" w:sz="4" w:space="0" w:color="auto"/>
              <w:right w:val="single" w:sz="4" w:space="0" w:color="auto"/>
            </w:tcBorders>
            <w:noWrap/>
            <w:vAlign w:val="bottom"/>
            <w:hideMark/>
          </w:tcPr>
          <w:p w14:paraId="4E85B4F0"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887" w:type="dxa"/>
            <w:tcBorders>
              <w:top w:val="nil"/>
              <w:left w:val="nil"/>
              <w:bottom w:val="single" w:sz="4" w:space="0" w:color="auto"/>
              <w:right w:val="single" w:sz="4" w:space="0" w:color="auto"/>
            </w:tcBorders>
            <w:noWrap/>
            <w:vAlign w:val="bottom"/>
            <w:hideMark/>
          </w:tcPr>
          <w:p w14:paraId="7A7B34CC"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13,28</w:t>
            </w:r>
          </w:p>
        </w:tc>
        <w:tc>
          <w:tcPr>
            <w:tcW w:w="672" w:type="dxa"/>
            <w:tcBorders>
              <w:top w:val="nil"/>
              <w:left w:val="nil"/>
              <w:bottom w:val="single" w:sz="4" w:space="0" w:color="auto"/>
              <w:right w:val="single" w:sz="4" w:space="0" w:color="auto"/>
            </w:tcBorders>
            <w:noWrap/>
            <w:vAlign w:val="bottom"/>
            <w:hideMark/>
          </w:tcPr>
          <w:p w14:paraId="63A57F9A"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854" w:type="dxa"/>
            <w:tcBorders>
              <w:top w:val="nil"/>
              <w:left w:val="nil"/>
              <w:bottom w:val="single" w:sz="4" w:space="0" w:color="auto"/>
              <w:right w:val="single" w:sz="4" w:space="0" w:color="auto"/>
            </w:tcBorders>
            <w:noWrap/>
            <w:vAlign w:val="bottom"/>
            <w:hideMark/>
          </w:tcPr>
          <w:p w14:paraId="5F1D1CC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w:t>
            </w:r>
          </w:p>
        </w:tc>
        <w:tc>
          <w:tcPr>
            <w:tcW w:w="1263" w:type="dxa"/>
            <w:tcBorders>
              <w:top w:val="nil"/>
              <w:left w:val="nil"/>
              <w:bottom w:val="single" w:sz="4" w:space="0" w:color="auto"/>
              <w:right w:val="single" w:sz="4" w:space="0" w:color="auto"/>
            </w:tcBorders>
            <w:noWrap/>
            <w:vAlign w:val="bottom"/>
            <w:hideMark/>
          </w:tcPr>
          <w:p w14:paraId="7AE5ABFF"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852" w:type="dxa"/>
            <w:tcBorders>
              <w:top w:val="nil"/>
              <w:left w:val="nil"/>
              <w:bottom w:val="single" w:sz="4" w:space="0" w:color="auto"/>
              <w:right w:val="single" w:sz="4" w:space="0" w:color="auto"/>
            </w:tcBorders>
            <w:noWrap/>
            <w:vAlign w:val="bottom"/>
            <w:hideMark/>
          </w:tcPr>
          <w:p w14:paraId="58044E3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6E9E1D8D" w14:textId="77777777" w:rsidTr="00992D02">
        <w:trPr>
          <w:trHeight w:val="291"/>
        </w:trPr>
        <w:tc>
          <w:tcPr>
            <w:tcW w:w="2689" w:type="dxa"/>
            <w:tcBorders>
              <w:top w:val="nil"/>
              <w:left w:val="single" w:sz="4" w:space="0" w:color="auto"/>
              <w:bottom w:val="single" w:sz="4" w:space="0" w:color="auto"/>
              <w:right w:val="single" w:sz="4" w:space="0" w:color="auto"/>
            </w:tcBorders>
            <w:noWrap/>
            <w:vAlign w:val="bottom"/>
            <w:hideMark/>
          </w:tcPr>
          <w:p w14:paraId="72F95CB4"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887" w:type="dxa"/>
            <w:tcBorders>
              <w:top w:val="nil"/>
              <w:left w:val="nil"/>
              <w:bottom w:val="single" w:sz="4" w:space="0" w:color="auto"/>
              <w:right w:val="single" w:sz="4" w:space="0" w:color="auto"/>
            </w:tcBorders>
            <w:noWrap/>
            <w:vAlign w:val="bottom"/>
            <w:hideMark/>
          </w:tcPr>
          <w:p w14:paraId="63665602"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15,45</w:t>
            </w:r>
          </w:p>
        </w:tc>
        <w:tc>
          <w:tcPr>
            <w:tcW w:w="672" w:type="dxa"/>
            <w:tcBorders>
              <w:top w:val="nil"/>
              <w:left w:val="nil"/>
              <w:bottom w:val="single" w:sz="4" w:space="0" w:color="auto"/>
              <w:right w:val="single" w:sz="4" w:space="0" w:color="auto"/>
            </w:tcBorders>
            <w:noWrap/>
            <w:vAlign w:val="bottom"/>
            <w:hideMark/>
          </w:tcPr>
          <w:p w14:paraId="67FE64DD"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w:t>
            </w:r>
          </w:p>
        </w:tc>
        <w:tc>
          <w:tcPr>
            <w:tcW w:w="1854" w:type="dxa"/>
            <w:tcBorders>
              <w:top w:val="nil"/>
              <w:left w:val="nil"/>
              <w:bottom w:val="single" w:sz="4" w:space="0" w:color="auto"/>
              <w:right w:val="single" w:sz="4" w:space="0" w:color="auto"/>
            </w:tcBorders>
            <w:noWrap/>
            <w:vAlign w:val="bottom"/>
            <w:hideMark/>
          </w:tcPr>
          <w:p w14:paraId="25705FD5"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1,26</w:t>
            </w:r>
          </w:p>
        </w:tc>
        <w:tc>
          <w:tcPr>
            <w:tcW w:w="1263" w:type="dxa"/>
            <w:tcBorders>
              <w:top w:val="nil"/>
              <w:left w:val="nil"/>
              <w:bottom w:val="single" w:sz="4" w:space="0" w:color="auto"/>
              <w:right w:val="single" w:sz="4" w:space="0" w:color="auto"/>
            </w:tcBorders>
            <w:noWrap/>
            <w:vAlign w:val="bottom"/>
            <w:hideMark/>
          </w:tcPr>
          <w:p w14:paraId="63193748"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852" w:type="dxa"/>
            <w:tcBorders>
              <w:top w:val="nil"/>
              <w:left w:val="nil"/>
              <w:bottom w:val="single" w:sz="4" w:space="0" w:color="auto"/>
              <w:right w:val="single" w:sz="4" w:space="0" w:color="auto"/>
            </w:tcBorders>
            <w:noWrap/>
            <w:vAlign w:val="bottom"/>
            <w:hideMark/>
          </w:tcPr>
          <w:p w14:paraId="596ABB3E" w14:textId="77777777" w:rsidR="00C82BCC" w:rsidRDefault="00C82BCC" w:rsidP="00BF6D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42E096DE" w14:textId="6A9CEB5D" w:rsidR="00C82BCC" w:rsidRPr="00BF6D8E" w:rsidRDefault="00C82BCC" w:rsidP="00BF6D8E">
      <w:pPr>
        <w:pStyle w:val="Sinespaciado"/>
        <w:rPr>
          <w:rFonts w:ascii="Times New Roman" w:hAnsi="Times New Roman" w:cs="Times New Roman"/>
          <w:sz w:val="24"/>
          <w:szCs w:val="24"/>
        </w:rPr>
      </w:pPr>
      <w:r w:rsidRPr="00BF6D8E">
        <w:rPr>
          <w:rFonts w:ascii="Times New Roman" w:hAnsi="Times New Roman" w:cs="Times New Roman"/>
          <w:sz w:val="24"/>
          <w:szCs w:val="24"/>
        </w:rPr>
        <w:t>Medias con una letra común no son significativamente diferentes (p &gt; 0,05)</w:t>
      </w:r>
    </w:p>
    <w:p w14:paraId="499697BE" w14:textId="13B6F2A1" w:rsidR="008A6AF7" w:rsidRPr="008A6AF7" w:rsidRDefault="008A6AF7" w:rsidP="00BF6D8E">
      <w:pPr>
        <w:pStyle w:val="Descripcin"/>
        <w:keepNext/>
        <w:spacing w:before="360"/>
        <w:rPr>
          <w:rFonts w:cs="Times New Roman"/>
          <w:i w:val="0"/>
          <w:iCs w:val="0"/>
          <w:color w:val="auto"/>
          <w:sz w:val="24"/>
          <w:szCs w:val="24"/>
          <w:lang w:eastAsia="en-US"/>
        </w:rPr>
      </w:pPr>
      <w:bookmarkStart w:id="2176" w:name="_Toc79314166"/>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174</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 xml:space="preserve">. </w:t>
      </w:r>
      <w:r w:rsidRPr="008A6AF7">
        <w:rPr>
          <w:rFonts w:cs="Times New Roman"/>
          <w:i w:val="0"/>
          <w:iCs w:val="0"/>
          <w:color w:val="auto"/>
          <w:sz w:val="24"/>
          <w:szCs w:val="24"/>
          <w:lang w:eastAsia="en-US"/>
        </w:rPr>
        <w:t>Absorción total de azufre en plantas de maíz suave para diversas dosis de azufre evaluado en las provincias de Bolívar, Chimborazo, Imbabura 2006-2015.</w:t>
      </w:r>
      <w:bookmarkEnd w:id="2176"/>
    </w:p>
    <w:tbl>
      <w:tblPr>
        <w:tblW w:w="5032" w:type="pct"/>
        <w:jc w:val="center"/>
        <w:tblCellMar>
          <w:left w:w="0" w:type="dxa"/>
          <w:right w:w="0" w:type="dxa"/>
        </w:tblCellMar>
        <w:tblLook w:val="04A0" w:firstRow="1" w:lastRow="0" w:firstColumn="1" w:lastColumn="0" w:noHBand="0" w:noVBand="1"/>
      </w:tblPr>
      <w:tblGrid>
        <w:gridCol w:w="1717"/>
        <w:gridCol w:w="879"/>
        <w:gridCol w:w="879"/>
        <w:gridCol w:w="1583"/>
        <w:gridCol w:w="933"/>
        <w:gridCol w:w="538"/>
        <w:gridCol w:w="838"/>
        <w:gridCol w:w="611"/>
      </w:tblGrid>
      <w:tr w:rsidR="00BF6D8E" w14:paraId="5A3E464F" w14:textId="77777777" w:rsidTr="00BF6D8E">
        <w:trPr>
          <w:trHeight w:val="368"/>
          <w:jc w:val="center"/>
        </w:trPr>
        <w:tc>
          <w:tcPr>
            <w:tcW w:w="10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4BC697" w14:textId="77777777" w:rsidR="00BF6D8E" w:rsidRDefault="00BF6D8E" w:rsidP="00BF6D8E">
            <w:pPr>
              <w:spacing w:line="240" w:lineRule="auto"/>
              <w:jc w:val="center"/>
              <w:rPr>
                <w:rFonts w:cs="Times New Roman"/>
                <w:b/>
                <w:bCs/>
                <w:color w:val="000000"/>
                <w:szCs w:val="24"/>
              </w:rPr>
            </w:pPr>
            <w:r>
              <w:rPr>
                <w:rFonts w:cs="Times New Roman"/>
                <w:b/>
                <w:bCs/>
                <w:color w:val="000000"/>
                <w:szCs w:val="24"/>
              </w:rPr>
              <w:t xml:space="preserve">Dosis S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55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F0E59C9" w14:textId="77777777" w:rsidR="00BF6D8E" w:rsidRDefault="00BF6D8E" w:rsidP="00BF6D8E">
            <w:pPr>
              <w:spacing w:line="240" w:lineRule="auto"/>
              <w:jc w:val="center"/>
              <w:rPr>
                <w:rFonts w:cs="Times New Roman"/>
                <w:b/>
                <w:bCs/>
                <w:color w:val="000000"/>
                <w:szCs w:val="24"/>
              </w:rPr>
            </w:pPr>
            <w:r>
              <w:rPr>
                <w:rFonts w:cs="Times New Roman"/>
                <w:b/>
                <w:bCs/>
                <w:color w:val="000000"/>
                <w:szCs w:val="24"/>
              </w:rPr>
              <w:t>Medias</w:t>
            </w:r>
          </w:p>
        </w:tc>
        <w:tc>
          <w:tcPr>
            <w:tcW w:w="55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4974013" w14:textId="77777777" w:rsidR="00BF6D8E" w:rsidRDefault="00BF6D8E" w:rsidP="00BF6D8E">
            <w:pPr>
              <w:spacing w:line="240" w:lineRule="auto"/>
              <w:jc w:val="center"/>
              <w:rPr>
                <w:rFonts w:cs="Times New Roman"/>
                <w:b/>
                <w:bCs/>
                <w:color w:val="000000"/>
                <w:szCs w:val="24"/>
              </w:rPr>
            </w:pPr>
            <w:r>
              <w:rPr>
                <w:rFonts w:cs="Times New Roman"/>
                <w:b/>
                <w:bCs/>
                <w:color w:val="000000"/>
                <w:szCs w:val="24"/>
              </w:rPr>
              <w:t xml:space="preserve">n </w:t>
            </w:r>
          </w:p>
        </w:tc>
        <w:tc>
          <w:tcPr>
            <w:tcW w:w="99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981DA64" w14:textId="77777777" w:rsidR="00BF6D8E" w:rsidRDefault="00BF6D8E" w:rsidP="00BF6D8E">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830" w:type="pct"/>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8A482E3" w14:textId="3CDC45F5" w:rsidR="00BF6D8E" w:rsidRDefault="00BF6D8E" w:rsidP="00BF6D8E">
            <w:pPr>
              <w:spacing w:line="240" w:lineRule="auto"/>
              <w:jc w:val="center"/>
              <w:rPr>
                <w:rFonts w:cs="Times New Roman"/>
                <w:b/>
                <w:bCs/>
                <w:color w:val="000000"/>
                <w:szCs w:val="24"/>
              </w:rPr>
            </w:pPr>
            <w:r>
              <w:rPr>
                <w:rFonts w:cs="Times New Roman"/>
                <w:b/>
                <w:bCs/>
                <w:color w:val="000000"/>
                <w:szCs w:val="24"/>
              </w:rPr>
              <w:t>Lsd 0,05</w:t>
            </w:r>
          </w:p>
        </w:tc>
      </w:tr>
      <w:tr w:rsidR="00F34FEE" w14:paraId="5BFB109C" w14:textId="77777777" w:rsidTr="00BF6D8E">
        <w:trPr>
          <w:trHeight w:val="324"/>
          <w:jc w:val="center"/>
        </w:trPr>
        <w:tc>
          <w:tcPr>
            <w:tcW w:w="10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1C2AAE"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40</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9E10DB"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5,25</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F96B84"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42</w:t>
            </w:r>
          </w:p>
        </w:tc>
        <w:tc>
          <w:tcPr>
            <w:tcW w:w="99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29E6525"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1,37</w:t>
            </w:r>
          </w:p>
        </w:tc>
        <w:tc>
          <w:tcPr>
            <w:tcW w:w="58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19B0D25" w14:textId="688FDDFA" w:rsidR="00C82BCC" w:rsidRDefault="00C82BCC" w:rsidP="00BF6D8E">
            <w:pPr>
              <w:spacing w:after="0" w:line="240" w:lineRule="auto"/>
              <w:contextualSpacing/>
              <w:jc w:val="center"/>
              <w:rPr>
                <w:rFonts w:cs="Times New Roman"/>
                <w:color w:val="000000"/>
                <w:szCs w:val="24"/>
              </w:rPr>
            </w:pPr>
            <w:r>
              <w:rPr>
                <w:rFonts w:cs="Times New Roman"/>
                <w:color w:val="000000"/>
                <w:szCs w:val="24"/>
              </w:rPr>
              <w:t>A</w:t>
            </w:r>
          </w:p>
        </w:tc>
        <w:tc>
          <w:tcPr>
            <w:tcW w:w="3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453E99B" w14:textId="7243B8AD" w:rsidR="00C82BCC" w:rsidRDefault="00C82BCC" w:rsidP="00BF6D8E">
            <w:pPr>
              <w:spacing w:after="0" w:line="240" w:lineRule="auto"/>
              <w:contextualSpacing/>
              <w:jc w:val="center"/>
              <w:rPr>
                <w:rFonts w:cs="Times New Roman"/>
                <w:color w:val="000000"/>
                <w:szCs w:val="24"/>
              </w:rPr>
            </w:pPr>
          </w:p>
        </w:tc>
        <w:tc>
          <w:tcPr>
            <w:tcW w:w="5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235BCC0" w14:textId="2B10C487" w:rsidR="00C82BCC" w:rsidRDefault="00C82BCC" w:rsidP="00BF6D8E">
            <w:pPr>
              <w:spacing w:after="0" w:line="240" w:lineRule="auto"/>
              <w:contextualSpacing/>
              <w:jc w:val="center"/>
              <w:rPr>
                <w:rFonts w:cs="Times New Roman"/>
                <w:color w:val="000000"/>
                <w:szCs w:val="24"/>
              </w:rPr>
            </w:pPr>
          </w:p>
        </w:tc>
        <w:tc>
          <w:tcPr>
            <w:tcW w:w="38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296BDC6" w14:textId="3D50364D" w:rsidR="00C82BCC" w:rsidRDefault="00C82BCC" w:rsidP="00BF6D8E">
            <w:pPr>
              <w:spacing w:after="0" w:line="240" w:lineRule="auto"/>
              <w:contextualSpacing/>
              <w:jc w:val="center"/>
              <w:rPr>
                <w:rFonts w:cs="Times New Roman"/>
                <w:color w:val="000000"/>
                <w:szCs w:val="24"/>
              </w:rPr>
            </w:pPr>
          </w:p>
        </w:tc>
      </w:tr>
      <w:tr w:rsidR="00F34FEE" w14:paraId="28262F00" w14:textId="77777777" w:rsidTr="00BF6D8E">
        <w:trPr>
          <w:trHeight w:val="300"/>
          <w:jc w:val="center"/>
        </w:trPr>
        <w:tc>
          <w:tcPr>
            <w:tcW w:w="10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B9114B"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16</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D93985"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5,92</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8083E6"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5</w:t>
            </w:r>
          </w:p>
        </w:tc>
        <w:tc>
          <w:tcPr>
            <w:tcW w:w="99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50ED90"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3,72</w:t>
            </w:r>
          </w:p>
        </w:tc>
        <w:tc>
          <w:tcPr>
            <w:tcW w:w="58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B69371" w14:textId="493FF7D9" w:rsidR="00C82BCC" w:rsidRDefault="00C82BCC" w:rsidP="00BF6D8E">
            <w:pPr>
              <w:spacing w:after="0" w:line="240" w:lineRule="auto"/>
              <w:contextualSpacing/>
              <w:jc w:val="center"/>
              <w:rPr>
                <w:rFonts w:cs="Times New Roman"/>
                <w:color w:val="000000"/>
                <w:szCs w:val="24"/>
              </w:rPr>
            </w:pPr>
            <w:r>
              <w:rPr>
                <w:rFonts w:cs="Times New Roman"/>
                <w:color w:val="000000"/>
                <w:szCs w:val="24"/>
              </w:rPr>
              <w:t>A</w:t>
            </w:r>
          </w:p>
        </w:tc>
        <w:tc>
          <w:tcPr>
            <w:tcW w:w="3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E431FA0" w14:textId="36140B70" w:rsidR="00C82BCC" w:rsidRDefault="00C82BCC" w:rsidP="00BF6D8E">
            <w:pPr>
              <w:spacing w:after="0" w:line="240" w:lineRule="auto"/>
              <w:contextualSpacing/>
              <w:jc w:val="center"/>
              <w:rPr>
                <w:rFonts w:cs="Times New Roman"/>
                <w:color w:val="000000"/>
                <w:szCs w:val="24"/>
              </w:rPr>
            </w:pPr>
            <w:r>
              <w:rPr>
                <w:rFonts w:cs="Times New Roman"/>
                <w:color w:val="000000"/>
                <w:szCs w:val="24"/>
              </w:rPr>
              <w:t>B</w:t>
            </w:r>
          </w:p>
        </w:tc>
        <w:tc>
          <w:tcPr>
            <w:tcW w:w="5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214B90" w14:textId="3A0785BB" w:rsidR="00C82BCC" w:rsidRDefault="00C82BCC" w:rsidP="00BF6D8E">
            <w:pPr>
              <w:spacing w:after="0" w:line="240" w:lineRule="auto"/>
              <w:contextualSpacing/>
              <w:jc w:val="center"/>
              <w:rPr>
                <w:rFonts w:cs="Times New Roman"/>
                <w:color w:val="000000"/>
                <w:szCs w:val="24"/>
              </w:rPr>
            </w:pPr>
          </w:p>
        </w:tc>
        <w:tc>
          <w:tcPr>
            <w:tcW w:w="38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85CB8B1" w14:textId="4DA219B2" w:rsidR="00C82BCC" w:rsidRDefault="00C82BCC" w:rsidP="00BF6D8E">
            <w:pPr>
              <w:spacing w:after="0" w:line="240" w:lineRule="auto"/>
              <w:contextualSpacing/>
              <w:jc w:val="center"/>
              <w:rPr>
                <w:rFonts w:cs="Times New Roman"/>
                <w:color w:val="000000"/>
                <w:szCs w:val="24"/>
              </w:rPr>
            </w:pPr>
          </w:p>
        </w:tc>
      </w:tr>
      <w:tr w:rsidR="00F34FEE" w14:paraId="6BE9AC41" w14:textId="77777777" w:rsidTr="00BF6D8E">
        <w:trPr>
          <w:trHeight w:val="300"/>
          <w:jc w:val="center"/>
        </w:trPr>
        <w:tc>
          <w:tcPr>
            <w:tcW w:w="10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E5DE87"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20</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96BE7B"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10,19</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163B90"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76</w:t>
            </w:r>
          </w:p>
        </w:tc>
        <w:tc>
          <w:tcPr>
            <w:tcW w:w="99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F7FD13"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1,34</w:t>
            </w:r>
          </w:p>
        </w:tc>
        <w:tc>
          <w:tcPr>
            <w:tcW w:w="58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B47BBF" w14:textId="5EC0956F" w:rsidR="00C82BCC" w:rsidRDefault="00C82BCC" w:rsidP="00BF6D8E">
            <w:pPr>
              <w:spacing w:after="0" w:line="240" w:lineRule="auto"/>
              <w:contextualSpacing/>
              <w:jc w:val="center"/>
              <w:rPr>
                <w:rFonts w:cs="Times New Roman"/>
                <w:color w:val="000000"/>
                <w:szCs w:val="24"/>
              </w:rPr>
            </w:pPr>
          </w:p>
        </w:tc>
        <w:tc>
          <w:tcPr>
            <w:tcW w:w="3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FC30EB" w14:textId="1D31A003" w:rsidR="00C82BCC" w:rsidRDefault="00C82BCC" w:rsidP="00BF6D8E">
            <w:pPr>
              <w:spacing w:after="0" w:line="240" w:lineRule="auto"/>
              <w:contextualSpacing/>
              <w:jc w:val="center"/>
              <w:rPr>
                <w:rFonts w:cs="Times New Roman"/>
                <w:color w:val="000000"/>
                <w:szCs w:val="24"/>
              </w:rPr>
            </w:pPr>
            <w:r>
              <w:rPr>
                <w:rFonts w:cs="Times New Roman"/>
                <w:color w:val="000000"/>
                <w:szCs w:val="24"/>
              </w:rPr>
              <w:t>B</w:t>
            </w:r>
          </w:p>
        </w:tc>
        <w:tc>
          <w:tcPr>
            <w:tcW w:w="5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ED7BBF" w14:textId="13D46105" w:rsidR="00C82BCC" w:rsidRDefault="00C82BCC" w:rsidP="00BF6D8E">
            <w:pPr>
              <w:spacing w:after="0" w:line="240" w:lineRule="auto"/>
              <w:contextualSpacing/>
              <w:jc w:val="center"/>
              <w:rPr>
                <w:rFonts w:cs="Times New Roman"/>
                <w:color w:val="000000"/>
                <w:szCs w:val="24"/>
              </w:rPr>
            </w:pPr>
          </w:p>
        </w:tc>
        <w:tc>
          <w:tcPr>
            <w:tcW w:w="38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B0EFBB" w14:textId="559AACB2" w:rsidR="00C82BCC" w:rsidRDefault="00C82BCC" w:rsidP="00BF6D8E">
            <w:pPr>
              <w:spacing w:after="0" w:line="240" w:lineRule="auto"/>
              <w:contextualSpacing/>
              <w:jc w:val="center"/>
              <w:rPr>
                <w:rFonts w:cs="Times New Roman"/>
                <w:color w:val="000000"/>
                <w:szCs w:val="24"/>
              </w:rPr>
            </w:pPr>
          </w:p>
        </w:tc>
      </w:tr>
      <w:tr w:rsidR="00F34FEE" w14:paraId="120FBF81" w14:textId="77777777" w:rsidTr="00BF6D8E">
        <w:trPr>
          <w:trHeight w:val="300"/>
          <w:jc w:val="center"/>
        </w:trPr>
        <w:tc>
          <w:tcPr>
            <w:tcW w:w="10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821E5A"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0</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D3581B"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14,11</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6E7F5ED"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69</w:t>
            </w:r>
          </w:p>
        </w:tc>
        <w:tc>
          <w:tcPr>
            <w:tcW w:w="99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D25114"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1,13</w:t>
            </w:r>
          </w:p>
        </w:tc>
        <w:tc>
          <w:tcPr>
            <w:tcW w:w="58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7D26C9" w14:textId="29E00521" w:rsidR="00C82BCC" w:rsidRDefault="00C82BCC" w:rsidP="00BF6D8E">
            <w:pPr>
              <w:spacing w:after="0" w:line="240" w:lineRule="auto"/>
              <w:contextualSpacing/>
              <w:jc w:val="center"/>
              <w:rPr>
                <w:rFonts w:cs="Times New Roman"/>
                <w:color w:val="000000"/>
                <w:szCs w:val="24"/>
              </w:rPr>
            </w:pPr>
          </w:p>
        </w:tc>
        <w:tc>
          <w:tcPr>
            <w:tcW w:w="3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45C189" w14:textId="12317C03" w:rsidR="00C82BCC" w:rsidRDefault="00C82BCC" w:rsidP="00BF6D8E">
            <w:pPr>
              <w:spacing w:after="0" w:line="240" w:lineRule="auto"/>
              <w:contextualSpacing/>
              <w:jc w:val="center"/>
              <w:rPr>
                <w:rFonts w:cs="Times New Roman"/>
                <w:color w:val="000000"/>
                <w:szCs w:val="24"/>
              </w:rPr>
            </w:pPr>
          </w:p>
        </w:tc>
        <w:tc>
          <w:tcPr>
            <w:tcW w:w="5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1EA0C7" w14:textId="0F6F3B56" w:rsidR="00C82BCC" w:rsidRDefault="00C82BCC" w:rsidP="00BF6D8E">
            <w:pPr>
              <w:spacing w:after="0" w:line="240" w:lineRule="auto"/>
              <w:contextualSpacing/>
              <w:jc w:val="center"/>
              <w:rPr>
                <w:rFonts w:cs="Times New Roman"/>
                <w:color w:val="000000"/>
                <w:szCs w:val="24"/>
              </w:rPr>
            </w:pPr>
            <w:r>
              <w:rPr>
                <w:rFonts w:cs="Times New Roman"/>
                <w:color w:val="000000"/>
                <w:szCs w:val="24"/>
              </w:rPr>
              <w:t>C</w:t>
            </w:r>
          </w:p>
        </w:tc>
        <w:tc>
          <w:tcPr>
            <w:tcW w:w="38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0ABD60" w14:textId="39440738" w:rsidR="00C82BCC" w:rsidRDefault="00C82BCC" w:rsidP="00BF6D8E">
            <w:pPr>
              <w:spacing w:line="240" w:lineRule="auto"/>
              <w:jc w:val="center"/>
              <w:rPr>
                <w:rFonts w:cs="Times New Roman"/>
                <w:color w:val="000000"/>
                <w:szCs w:val="24"/>
              </w:rPr>
            </w:pPr>
          </w:p>
        </w:tc>
      </w:tr>
      <w:tr w:rsidR="00F34FEE" w14:paraId="5AC70DA2" w14:textId="77777777" w:rsidTr="00BF6D8E">
        <w:trPr>
          <w:trHeight w:val="300"/>
          <w:jc w:val="center"/>
        </w:trPr>
        <w:tc>
          <w:tcPr>
            <w:tcW w:w="107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32711D"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30</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2A1053"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17,18</w:t>
            </w:r>
          </w:p>
        </w:tc>
        <w:tc>
          <w:tcPr>
            <w:tcW w:w="55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C0E8C3"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49</w:t>
            </w:r>
          </w:p>
        </w:tc>
        <w:tc>
          <w:tcPr>
            <w:tcW w:w="99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AE776A" w14:textId="77777777" w:rsidR="00C82BCC" w:rsidRDefault="00C82BCC" w:rsidP="00BF6D8E">
            <w:pPr>
              <w:spacing w:after="0" w:line="240" w:lineRule="auto"/>
              <w:contextualSpacing/>
              <w:jc w:val="center"/>
              <w:rPr>
                <w:rFonts w:cs="Times New Roman"/>
                <w:color w:val="000000"/>
                <w:szCs w:val="24"/>
              </w:rPr>
            </w:pPr>
            <w:r>
              <w:rPr>
                <w:rFonts w:cs="Times New Roman"/>
                <w:color w:val="000000"/>
                <w:szCs w:val="24"/>
              </w:rPr>
              <w:t>1,34</w:t>
            </w:r>
          </w:p>
        </w:tc>
        <w:tc>
          <w:tcPr>
            <w:tcW w:w="58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27F567" w14:textId="01D5B2EF" w:rsidR="00C82BCC" w:rsidRDefault="00C82BCC" w:rsidP="00BF6D8E">
            <w:pPr>
              <w:spacing w:after="0" w:line="240" w:lineRule="auto"/>
              <w:contextualSpacing/>
              <w:jc w:val="center"/>
              <w:rPr>
                <w:rFonts w:cs="Times New Roman"/>
                <w:color w:val="000000"/>
                <w:szCs w:val="24"/>
              </w:rPr>
            </w:pPr>
          </w:p>
        </w:tc>
        <w:tc>
          <w:tcPr>
            <w:tcW w:w="3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FE265D" w14:textId="7E3E2827" w:rsidR="00C82BCC" w:rsidRDefault="00C82BCC" w:rsidP="00BF6D8E">
            <w:pPr>
              <w:spacing w:after="0" w:line="240" w:lineRule="auto"/>
              <w:contextualSpacing/>
              <w:jc w:val="center"/>
              <w:rPr>
                <w:rFonts w:cs="Times New Roman"/>
                <w:color w:val="000000"/>
                <w:szCs w:val="24"/>
              </w:rPr>
            </w:pPr>
          </w:p>
        </w:tc>
        <w:tc>
          <w:tcPr>
            <w:tcW w:w="525"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E12B599" w14:textId="31975C41" w:rsidR="00C82BCC" w:rsidRDefault="00C82BCC" w:rsidP="00BF6D8E">
            <w:pPr>
              <w:spacing w:after="0" w:line="240" w:lineRule="auto"/>
              <w:contextualSpacing/>
              <w:jc w:val="center"/>
              <w:rPr>
                <w:rFonts w:cs="Times New Roman"/>
                <w:color w:val="000000"/>
                <w:szCs w:val="24"/>
              </w:rPr>
            </w:pPr>
          </w:p>
        </w:tc>
        <w:tc>
          <w:tcPr>
            <w:tcW w:w="38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CD7324" w14:textId="16BAEC61" w:rsidR="00C82BCC" w:rsidRDefault="00C82BCC" w:rsidP="00BF6D8E">
            <w:pPr>
              <w:spacing w:line="240" w:lineRule="auto"/>
              <w:jc w:val="center"/>
              <w:rPr>
                <w:rFonts w:cs="Times New Roman"/>
                <w:color w:val="000000"/>
                <w:szCs w:val="24"/>
              </w:rPr>
            </w:pPr>
            <w:r>
              <w:rPr>
                <w:rFonts w:cs="Times New Roman"/>
                <w:color w:val="000000"/>
                <w:szCs w:val="24"/>
              </w:rPr>
              <w:t>D</w:t>
            </w:r>
          </w:p>
        </w:tc>
      </w:tr>
    </w:tbl>
    <w:p w14:paraId="2162ECE0" w14:textId="77777777" w:rsidR="00C82BCC" w:rsidRDefault="00C82BCC" w:rsidP="00C82BCC">
      <w:pPr>
        <w:autoSpaceDE w:val="0"/>
        <w:autoSpaceDN w:val="0"/>
        <w:adjustRightInd w:val="0"/>
        <w:spacing w:after="0" w:line="360" w:lineRule="auto"/>
        <w:rPr>
          <w:rFonts w:cs="Times New Roman"/>
          <w:szCs w:val="24"/>
        </w:rPr>
      </w:pPr>
      <w:r>
        <w:rPr>
          <w:rFonts w:cs="Times New Roman"/>
          <w:szCs w:val="24"/>
        </w:rPr>
        <w:t xml:space="preserve"> Medias con una letra común no son significativamente diferentes (p &gt; 0,05)</w:t>
      </w:r>
    </w:p>
    <w:p w14:paraId="4ED55603" w14:textId="6AC7E126" w:rsidR="008A6AF7" w:rsidRPr="008A6AF7" w:rsidRDefault="008A6AF7" w:rsidP="00BF6D8E">
      <w:pPr>
        <w:pStyle w:val="Descripcin"/>
        <w:keepNext/>
        <w:spacing w:before="360"/>
        <w:rPr>
          <w:rFonts w:cs="Times New Roman"/>
          <w:i w:val="0"/>
          <w:iCs w:val="0"/>
          <w:color w:val="auto"/>
          <w:sz w:val="24"/>
          <w:szCs w:val="24"/>
          <w:lang w:eastAsia="en-US"/>
        </w:rPr>
      </w:pPr>
      <w:bookmarkStart w:id="2177" w:name="_Toc79314167"/>
      <w:bookmarkStart w:id="2178" w:name="_Toc72706441"/>
      <w:bookmarkStart w:id="2179" w:name="_Toc72741391"/>
      <w:bookmarkStart w:id="2180" w:name="_Toc72742189"/>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175</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 xml:space="preserve">. </w:t>
      </w:r>
      <w:r w:rsidRPr="008A6AF7">
        <w:rPr>
          <w:rFonts w:cs="Times New Roman"/>
          <w:i w:val="0"/>
          <w:iCs w:val="0"/>
          <w:color w:val="auto"/>
          <w:sz w:val="24"/>
          <w:szCs w:val="24"/>
          <w:lang w:eastAsia="en-US"/>
        </w:rPr>
        <w:t xml:space="preserve"> Absorción total de azufre en plantas de maíz suave para diversas dosis de magnesio evaluado en las provincias de Bolívar, Chimborazo, Imbabura 2006-2015.</w:t>
      </w:r>
      <w:bookmarkEnd w:id="2177"/>
    </w:p>
    <w:tbl>
      <w:tblPr>
        <w:tblW w:w="5000" w:type="pct"/>
        <w:jc w:val="center"/>
        <w:tblCellMar>
          <w:left w:w="0" w:type="dxa"/>
          <w:right w:w="0" w:type="dxa"/>
        </w:tblCellMar>
        <w:tblLook w:val="04A0" w:firstRow="1" w:lastRow="0" w:firstColumn="1" w:lastColumn="0" w:noHBand="0" w:noVBand="1"/>
      </w:tblPr>
      <w:tblGrid>
        <w:gridCol w:w="1931"/>
        <w:gridCol w:w="956"/>
        <w:gridCol w:w="800"/>
        <w:gridCol w:w="2099"/>
        <w:gridCol w:w="670"/>
        <w:gridCol w:w="952"/>
        <w:gridCol w:w="519"/>
      </w:tblGrid>
      <w:tr w:rsidR="00BF6D8E" w14:paraId="23507744" w14:textId="77777777" w:rsidTr="00BF6D8E">
        <w:trPr>
          <w:trHeight w:val="300"/>
          <w:jc w:val="center"/>
        </w:trPr>
        <w:tc>
          <w:tcPr>
            <w:tcW w:w="106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bookmarkEnd w:id="2178"/>
          <w:bookmarkEnd w:id="2179"/>
          <w:bookmarkEnd w:id="2180"/>
          <w:p w14:paraId="3C60F80A" w14:textId="08252BC5" w:rsidR="00C82BCC" w:rsidRDefault="00C82BCC" w:rsidP="00BF6D8E">
            <w:pPr>
              <w:spacing w:after="0" w:line="240" w:lineRule="auto"/>
              <w:jc w:val="center"/>
              <w:rPr>
                <w:rFonts w:cs="Times New Roman"/>
                <w:b/>
                <w:bCs/>
                <w:color w:val="000000"/>
                <w:szCs w:val="24"/>
              </w:rPr>
            </w:pPr>
            <w:r>
              <w:rPr>
                <w:rFonts w:cs="Times New Roman"/>
                <w:b/>
                <w:bCs/>
                <w:color w:val="000000"/>
                <w:szCs w:val="24"/>
              </w:rPr>
              <w:t>Dosis Mg</w:t>
            </w:r>
            <w:r w:rsidR="00BF6D8E">
              <w:rPr>
                <w:rFonts w:cs="Times New Roman"/>
                <w:b/>
                <w:bCs/>
                <w:color w:val="000000"/>
                <w:szCs w:val="24"/>
              </w:rPr>
              <w:t xml:space="preserve"> </w:t>
            </w:r>
            <w:r>
              <w:rPr>
                <w:rFonts w:eastAsia="Times New Roman" w:cs="Times New Roman"/>
                <w:b/>
                <w:bCs/>
                <w:color w:val="000000"/>
                <w:szCs w:val="24"/>
                <w:lang w:eastAsia="es-EC"/>
              </w:rPr>
              <w:t>(kg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62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F187D88"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Medias</w:t>
            </w:r>
          </w:p>
        </w:tc>
        <w:tc>
          <w:tcPr>
            <w:tcW w:w="53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994CBCF"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n  </w:t>
            </w:r>
          </w:p>
        </w:tc>
        <w:tc>
          <w:tcPr>
            <w:tcW w:w="134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00A4B7A" w14:textId="7659F893" w:rsidR="00C82BCC" w:rsidRPr="00BF6D8E" w:rsidRDefault="00C82BCC" w:rsidP="00BF6D8E">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Error </w:t>
            </w:r>
            <w:r w:rsidR="00BF6D8E">
              <w:rPr>
                <w:rFonts w:eastAsia="Times New Roman" w:cs="Times New Roman"/>
                <w:b/>
                <w:bCs/>
                <w:color w:val="000000"/>
                <w:szCs w:val="24"/>
                <w:lang w:eastAsia="es-EC"/>
              </w:rPr>
              <w:t xml:space="preserve"> </w:t>
            </w:r>
            <w:r>
              <w:rPr>
                <w:rFonts w:eastAsia="Times New Roman" w:cs="Times New Roman"/>
                <w:b/>
                <w:bCs/>
                <w:color w:val="000000"/>
                <w:szCs w:val="24"/>
                <w:lang w:eastAsia="es-EC"/>
              </w:rPr>
              <w:t>estándar</w:t>
            </w:r>
          </w:p>
        </w:tc>
        <w:tc>
          <w:tcPr>
            <w:tcW w:w="447"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05FE7DF0"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  </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0F3201E9"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Lsd 0,05  </w:t>
            </w:r>
          </w:p>
        </w:tc>
        <w:tc>
          <w:tcPr>
            <w:tcW w:w="35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C7FF115" w14:textId="77777777" w:rsidR="00C82BCC" w:rsidRDefault="00C82BCC" w:rsidP="00BF6D8E">
            <w:pPr>
              <w:spacing w:after="0" w:line="240" w:lineRule="auto"/>
              <w:jc w:val="center"/>
              <w:rPr>
                <w:rFonts w:cs="Times New Roman"/>
                <w:b/>
                <w:bCs/>
                <w:color w:val="000000"/>
                <w:szCs w:val="24"/>
              </w:rPr>
            </w:pPr>
            <w:r>
              <w:rPr>
                <w:rFonts w:cs="Times New Roman"/>
                <w:b/>
                <w:bCs/>
                <w:color w:val="000000"/>
                <w:szCs w:val="24"/>
              </w:rPr>
              <w:t xml:space="preserve">  </w:t>
            </w:r>
          </w:p>
        </w:tc>
      </w:tr>
      <w:tr w:rsidR="00BF6D8E" w14:paraId="093E531C" w14:textId="77777777" w:rsidTr="00BF6D8E">
        <w:trPr>
          <w:trHeight w:val="300"/>
          <w:jc w:val="center"/>
        </w:trPr>
        <w:tc>
          <w:tcPr>
            <w:tcW w:w="106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FC2DDD" w14:textId="77777777" w:rsidR="00C82BCC" w:rsidRDefault="00C82BCC" w:rsidP="00BF6D8E">
            <w:pPr>
              <w:spacing w:after="0" w:line="240" w:lineRule="auto"/>
              <w:jc w:val="center"/>
              <w:rPr>
                <w:rFonts w:cs="Times New Roman"/>
                <w:color w:val="000000"/>
                <w:szCs w:val="24"/>
              </w:rPr>
            </w:pPr>
            <w:r>
              <w:rPr>
                <w:rFonts w:cs="Times New Roman"/>
                <w:color w:val="000000"/>
                <w:szCs w:val="24"/>
              </w:rPr>
              <w:t>20</w:t>
            </w:r>
          </w:p>
        </w:tc>
        <w:tc>
          <w:tcPr>
            <w:tcW w:w="6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786009" w14:textId="77777777" w:rsidR="00C82BCC" w:rsidRDefault="00C82BCC" w:rsidP="00BF6D8E">
            <w:pPr>
              <w:spacing w:after="0" w:line="240" w:lineRule="auto"/>
              <w:jc w:val="center"/>
              <w:rPr>
                <w:rFonts w:cs="Times New Roman"/>
                <w:color w:val="000000"/>
                <w:szCs w:val="24"/>
              </w:rPr>
            </w:pPr>
            <w:r>
              <w:rPr>
                <w:rFonts w:cs="Times New Roman"/>
                <w:color w:val="000000"/>
                <w:szCs w:val="24"/>
              </w:rPr>
              <w:t>4,91</w:t>
            </w:r>
          </w:p>
        </w:tc>
        <w:tc>
          <w:tcPr>
            <w:tcW w:w="5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091090" w14:textId="77777777" w:rsidR="00C82BCC" w:rsidRDefault="00C82BCC" w:rsidP="00BF6D8E">
            <w:pPr>
              <w:spacing w:after="0" w:line="240" w:lineRule="auto"/>
              <w:jc w:val="center"/>
              <w:rPr>
                <w:rFonts w:cs="Times New Roman"/>
                <w:color w:val="000000"/>
                <w:szCs w:val="24"/>
              </w:rPr>
            </w:pPr>
            <w:r>
              <w:rPr>
                <w:rFonts w:cs="Times New Roman"/>
                <w:color w:val="000000"/>
                <w:szCs w:val="24"/>
              </w:rPr>
              <w:t>50</w:t>
            </w:r>
          </w:p>
        </w:tc>
        <w:tc>
          <w:tcPr>
            <w:tcW w:w="13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CD2F3E" w14:textId="77777777" w:rsidR="00C82BCC" w:rsidRDefault="00C82BCC" w:rsidP="00BF6D8E">
            <w:pPr>
              <w:spacing w:after="0" w:line="240" w:lineRule="auto"/>
              <w:jc w:val="center"/>
              <w:rPr>
                <w:rFonts w:cs="Times New Roman"/>
                <w:color w:val="000000"/>
                <w:szCs w:val="24"/>
              </w:rPr>
            </w:pPr>
            <w:r>
              <w:rPr>
                <w:rFonts w:cs="Times New Roman"/>
                <w:color w:val="000000"/>
                <w:szCs w:val="24"/>
              </w:rPr>
              <w:t>1,26</w:t>
            </w:r>
          </w:p>
        </w:tc>
        <w:tc>
          <w:tcPr>
            <w:tcW w:w="44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E9A2994"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A </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B39D441"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c>
          <w:tcPr>
            <w:tcW w:w="35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4909204"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BF6D8E" w14:paraId="07D4786B" w14:textId="77777777" w:rsidTr="00BF6D8E">
        <w:trPr>
          <w:trHeight w:val="300"/>
          <w:jc w:val="center"/>
        </w:trPr>
        <w:tc>
          <w:tcPr>
            <w:tcW w:w="106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0720BB" w14:textId="77777777" w:rsidR="00C82BCC" w:rsidRDefault="00C82BCC" w:rsidP="00BF6D8E">
            <w:pPr>
              <w:spacing w:after="0" w:line="240" w:lineRule="auto"/>
              <w:jc w:val="center"/>
              <w:rPr>
                <w:rFonts w:cs="Times New Roman"/>
                <w:color w:val="000000"/>
                <w:szCs w:val="24"/>
              </w:rPr>
            </w:pPr>
            <w:r>
              <w:rPr>
                <w:rFonts w:cs="Times New Roman"/>
                <w:color w:val="000000"/>
                <w:szCs w:val="24"/>
              </w:rPr>
              <w:t>10</w:t>
            </w:r>
          </w:p>
        </w:tc>
        <w:tc>
          <w:tcPr>
            <w:tcW w:w="6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7F6B52" w14:textId="77777777" w:rsidR="00C82BCC" w:rsidRDefault="00C82BCC" w:rsidP="00BF6D8E">
            <w:pPr>
              <w:spacing w:after="0" w:line="240" w:lineRule="auto"/>
              <w:jc w:val="center"/>
              <w:rPr>
                <w:rFonts w:cs="Times New Roman"/>
                <w:color w:val="000000"/>
                <w:szCs w:val="24"/>
              </w:rPr>
            </w:pPr>
            <w:r>
              <w:rPr>
                <w:rFonts w:cs="Times New Roman"/>
                <w:color w:val="000000"/>
                <w:szCs w:val="24"/>
              </w:rPr>
              <w:t>9,24</w:t>
            </w:r>
          </w:p>
        </w:tc>
        <w:tc>
          <w:tcPr>
            <w:tcW w:w="5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44E3E8" w14:textId="77777777" w:rsidR="00C82BCC" w:rsidRDefault="00C82BCC" w:rsidP="00BF6D8E">
            <w:pPr>
              <w:spacing w:after="0" w:line="240" w:lineRule="auto"/>
              <w:jc w:val="center"/>
              <w:rPr>
                <w:rFonts w:cs="Times New Roman"/>
                <w:color w:val="000000"/>
                <w:szCs w:val="24"/>
              </w:rPr>
            </w:pPr>
            <w:r>
              <w:rPr>
                <w:rFonts w:cs="Times New Roman"/>
                <w:color w:val="000000"/>
                <w:szCs w:val="24"/>
              </w:rPr>
              <w:t>58</w:t>
            </w:r>
          </w:p>
        </w:tc>
        <w:tc>
          <w:tcPr>
            <w:tcW w:w="13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E82130" w14:textId="77777777" w:rsidR="00C82BCC" w:rsidRDefault="00C82BCC" w:rsidP="00BF6D8E">
            <w:pPr>
              <w:spacing w:after="0" w:line="240" w:lineRule="auto"/>
              <w:jc w:val="center"/>
              <w:rPr>
                <w:rFonts w:cs="Times New Roman"/>
                <w:color w:val="000000"/>
                <w:szCs w:val="24"/>
              </w:rPr>
            </w:pPr>
            <w:r>
              <w:rPr>
                <w:rFonts w:cs="Times New Roman"/>
                <w:color w:val="000000"/>
                <w:szCs w:val="24"/>
              </w:rPr>
              <w:t>1,97</w:t>
            </w:r>
          </w:p>
        </w:tc>
        <w:tc>
          <w:tcPr>
            <w:tcW w:w="44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4DE31D"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c>
          <w:tcPr>
            <w:tcW w:w="62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0E9D9D"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B </w:t>
            </w:r>
          </w:p>
        </w:tc>
        <w:tc>
          <w:tcPr>
            <w:tcW w:w="35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C14DD9"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r>
      <w:tr w:rsidR="00BF6D8E" w14:paraId="7ABBD30F" w14:textId="77777777" w:rsidTr="00BF6D8E">
        <w:trPr>
          <w:trHeight w:val="300"/>
          <w:jc w:val="center"/>
        </w:trPr>
        <w:tc>
          <w:tcPr>
            <w:tcW w:w="106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D1C5AA3" w14:textId="77777777" w:rsidR="00C82BCC" w:rsidRDefault="00C82BCC" w:rsidP="00BF6D8E">
            <w:pPr>
              <w:spacing w:after="0" w:line="240" w:lineRule="auto"/>
              <w:jc w:val="center"/>
              <w:rPr>
                <w:rFonts w:cs="Times New Roman"/>
                <w:color w:val="000000"/>
                <w:szCs w:val="24"/>
              </w:rPr>
            </w:pPr>
            <w:r>
              <w:rPr>
                <w:rFonts w:cs="Times New Roman"/>
                <w:color w:val="000000"/>
                <w:szCs w:val="24"/>
              </w:rPr>
              <w:t>15</w:t>
            </w:r>
          </w:p>
        </w:tc>
        <w:tc>
          <w:tcPr>
            <w:tcW w:w="6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CE2124" w14:textId="77777777" w:rsidR="00C82BCC" w:rsidRDefault="00C82BCC" w:rsidP="00BF6D8E">
            <w:pPr>
              <w:spacing w:after="0" w:line="240" w:lineRule="auto"/>
              <w:jc w:val="center"/>
              <w:rPr>
                <w:rFonts w:cs="Times New Roman"/>
                <w:color w:val="000000"/>
                <w:szCs w:val="24"/>
              </w:rPr>
            </w:pPr>
            <w:r>
              <w:rPr>
                <w:rFonts w:cs="Times New Roman"/>
                <w:color w:val="000000"/>
                <w:szCs w:val="24"/>
              </w:rPr>
              <w:t>13</w:t>
            </w:r>
          </w:p>
        </w:tc>
        <w:tc>
          <w:tcPr>
            <w:tcW w:w="5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DA3AB8" w14:textId="77777777" w:rsidR="00C82BCC" w:rsidRDefault="00C82BCC" w:rsidP="00BF6D8E">
            <w:pPr>
              <w:spacing w:after="0" w:line="240" w:lineRule="auto"/>
              <w:jc w:val="center"/>
              <w:rPr>
                <w:rFonts w:cs="Times New Roman"/>
                <w:color w:val="000000"/>
                <w:szCs w:val="24"/>
              </w:rPr>
            </w:pPr>
            <w:r>
              <w:rPr>
                <w:rFonts w:cs="Times New Roman"/>
                <w:color w:val="000000"/>
                <w:szCs w:val="24"/>
              </w:rPr>
              <w:t>5</w:t>
            </w:r>
          </w:p>
        </w:tc>
        <w:tc>
          <w:tcPr>
            <w:tcW w:w="13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0B7A1D" w14:textId="77777777" w:rsidR="00C82BCC" w:rsidRDefault="00C82BCC" w:rsidP="00BF6D8E">
            <w:pPr>
              <w:spacing w:after="0" w:line="240" w:lineRule="auto"/>
              <w:jc w:val="center"/>
              <w:rPr>
                <w:rFonts w:cs="Times New Roman"/>
                <w:color w:val="000000"/>
                <w:szCs w:val="24"/>
              </w:rPr>
            </w:pPr>
            <w:r>
              <w:rPr>
                <w:rFonts w:cs="Times New Roman"/>
                <w:color w:val="000000"/>
                <w:szCs w:val="24"/>
              </w:rPr>
              <w:t>3,72</w:t>
            </w:r>
          </w:p>
        </w:tc>
        <w:tc>
          <w:tcPr>
            <w:tcW w:w="44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587923"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c>
          <w:tcPr>
            <w:tcW w:w="62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2BFBF2"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B </w:t>
            </w:r>
          </w:p>
        </w:tc>
        <w:tc>
          <w:tcPr>
            <w:tcW w:w="35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6D50A7"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C </w:t>
            </w:r>
          </w:p>
        </w:tc>
      </w:tr>
      <w:tr w:rsidR="00BF6D8E" w14:paraId="20D4AFCB" w14:textId="77777777" w:rsidTr="00BF6D8E">
        <w:trPr>
          <w:trHeight w:val="300"/>
          <w:jc w:val="center"/>
        </w:trPr>
        <w:tc>
          <w:tcPr>
            <w:tcW w:w="106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9CCFBA" w14:textId="77777777" w:rsidR="00C82BCC" w:rsidRDefault="00C82BCC" w:rsidP="00BF6D8E">
            <w:pPr>
              <w:spacing w:after="0" w:line="240" w:lineRule="auto"/>
              <w:jc w:val="center"/>
              <w:rPr>
                <w:rFonts w:cs="Times New Roman"/>
                <w:color w:val="000000"/>
                <w:szCs w:val="24"/>
              </w:rPr>
            </w:pPr>
            <w:r>
              <w:rPr>
                <w:rFonts w:cs="Times New Roman"/>
                <w:color w:val="000000"/>
                <w:szCs w:val="24"/>
              </w:rPr>
              <w:t>30</w:t>
            </w:r>
          </w:p>
        </w:tc>
        <w:tc>
          <w:tcPr>
            <w:tcW w:w="6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D9CDFE" w14:textId="77777777" w:rsidR="00C82BCC" w:rsidRDefault="00C82BCC" w:rsidP="00BF6D8E">
            <w:pPr>
              <w:spacing w:after="0" w:line="240" w:lineRule="auto"/>
              <w:jc w:val="center"/>
              <w:rPr>
                <w:rFonts w:cs="Times New Roman"/>
                <w:color w:val="000000"/>
                <w:szCs w:val="24"/>
              </w:rPr>
            </w:pPr>
            <w:r>
              <w:rPr>
                <w:rFonts w:cs="Times New Roman"/>
                <w:color w:val="000000"/>
                <w:szCs w:val="24"/>
              </w:rPr>
              <w:t>13,18</w:t>
            </w:r>
          </w:p>
        </w:tc>
        <w:tc>
          <w:tcPr>
            <w:tcW w:w="5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C03E52" w14:textId="77777777" w:rsidR="00C82BCC" w:rsidRDefault="00C82BCC" w:rsidP="00BF6D8E">
            <w:pPr>
              <w:spacing w:after="0" w:line="240" w:lineRule="auto"/>
              <w:jc w:val="center"/>
              <w:rPr>
                <w:rFonts w:cs="Times New Roman"/>
                <w:color w:val="000000"/>
                <w:szCs w:val="24"/>
              </w:rPr>
            </w:pPr>
            <w:r>
              <w:rPr>
                <w:rFonts w:cs="Times New Roman"/>
                <w:color w:val="000000"/>
                <w:szCs w:val="24"/>
              </w:rPr>
              <w:t>5</w:t>
            </w:r>
          </w:p>
        </w:tc>
        <w:tc>
          <w:tcPr>
            <w:tcW w:w="13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23C0B5" w14:textId="77777777" w:rsidR="00C82BCC" w:rsidRDefault="00C82BCC" w:rsidP="00BF6D8E">
            <w:pPr>
              <w:spacing w:after="0" w:line="240" w:lineRule="auto"/>
              <w:jc w:val="center"/>
              <w:rPr>
                <w:rFonts w:cs="Times New Roman"/>
                <w:color w:val="000000"/>
                <w:szCs w:val="24"/>
              </w:rPr>
            </w:pPr>
            <w:r>
              <w:rPr>
                <w:rFonts w:cs="Times New Roman"/>
                <w:color w:val="000000"/>
                <w:szCs w:val="24"/>
              </w:rPr>
              <w:t>3,72</w:t>
            </w:r>
          </w:p>
        </w:tc>
        <w:tc>
          <w:tcPr>
            <w:tcW w:w="44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A4AF54"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c>
          <w:tcPr>
            <w:tcW w:w="62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E6FF9B"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B </w:t>
            </w:r>
          </w:p>
        </w:tc>
        <w:tc>
          <w:tcPr>
            <w:tcW w:w="35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E8D233"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C </w:t>
            </w:r>
          </w:p>
        </w:tc>
      </w:tr>
      <w:tr w:rsidR="00BF6D8E" w14:paraId="7093A9DA" w14:textId="77777777" w:rsidTr="00BF6D8E">
        <w:trPr>
          <w:trHeight w:val="300"/>
          <w:jc w:val="center"/>
        </w:trPr>
        <w:tc>
          <w:tcPr>
            <w:tcW w:w="1069"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68BA3E" w14:textId="77777777" w:rsidR="00C82BCC" w:rsidRDefault="00C82BCC" w:rsidP="00BF6D8E">
            <w:pPr>
              <w:spacing w:after="0" w:line="240" w:lineRule="auto"/>
              <w:jc w:val="center"/>
              <w:rPr>
                <w:rFonts w:cs="Times New Roman"/>
                <w:color w:val="000000"/>
                <w:szCs w:val="24"/>
              </w:rPr>
            </w:pPr>
            <w:r>
              <w:rPr>
                <w:rFonts w:cs="Times New Roman"/>
                <w:color w:val="000000"/>
                <w:szCs w:val="24"/>
              </w:rPr>
              <w:t>0</w:t>
            </w:r>
          </w:p>
        </w:tc>
        <w:tc>
          <w:tcPr>
            <w:tcW w:w="62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BD988B" w14:textId="77777777" w:rsidR="00C82BCC" w:rsidRDefault="00C82BCC" w:rsidP="00BF6D8E">
            <w:pPr>
              <w:spacing w:after="0" w:line="240" w:lineRule="auto"/>
              <w:jc w:val="center"/>
              <w:rPr>
                <w:rFonts w:cs="Times New Roman"/>
                <w:color w:val="000000"/>
                <w:szCs w:val="24"/>
              </w:rPr>
            </w:pPr>
            <w:r>
              <w:rPr>
                <w:rFonts w:cs="Times New Roman"/>
                <w:color w:val="000000"/>
                <w:szCs w:val="24"/>
              </w:rPr>
              <w:t>15,61</w:t>
            </w:r>
          </w:p>
        </w:tc>
        <w:tc>
          <w:tcPr>
            <w:tcW w:w="530"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91D2EF" w14:textId="77777777" w:rsidR="00C82BCC" w:rsidRDefault="00C82BCC" w:rsidP="00BF6D8E">
            <w:pPr>
              <w:spacing w:after="0" w:line="240" w:lineRule="auto"/>
              <w:jc w:val="center"/>
              <w:rPr>
                <w:rFonts w:cs="Times New Roman"/>
                <w:color w:val="000000"/>
                <w:szCs w:val="24"/>
              </w:rPr>
            </w:pPr>
            <w:r>
              <w:rPr>
                <w:rFonts w:cs="Times New Roman"/>
                <w:color w:val="000000"/>
                <w:szCs w:val="24"/>
              </w:rPr>
              <w:t>123</w:t>
            </w:r>
          </w:p>
        </w:tc>
        <w:tc>
          <w:tcPr>
            <w:tcW w:w="1349"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55C46A" w14:textId="77777777" w:rsidR="00C82BCC" w:rsidRDefault="00C82BCC" w:rsidP="00BF6D8E">
            <w:pPr>
              <w:spacing w:after="0" w:line="240" w:lineRule="auto"/>
              <w:jc w:val="center"/>
              <w:rPr>
                <w:rFonts w:cs="Times New Roman"/>
                <w:color w:val="000000"/>
                <w:szCs w:val="24"/>
              </w:rPr>
            </w:pPr>
            <w:r>
              <w:rPr>
                <w:rFonts w:cs="Times New Roman"/>
                <w:color w:val="000000"/>
                <w:szCs w:val="24"/>
              </w:rPr>
              <w:t>0,8</w:t>
            </w:r>
          </w:p>
        </w:tc>
        <w:tc>
          <w:tcPr>
            <w:tcW w:w="44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5CC2B7"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c>
          <w:tcPr>
            <w:tcW w:w="62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A6C6C4"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  </w:t>
            </w:r>
          </w:p>
        </w:tc>
        <w:tc>
          <w:tcPr>
            <w:tcW w:w="353"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241057" w14:textId="77777777" w:rsidR="00C82BCC" w:rsidRDefault="00C82BCC" w:rsidP="00BF6D8E">
            <w:pPr>
              <w:spacing w:after="0" w:line="240" w:lineRule="auto"/>
              <w:jc w:val="center"/>
              <w:rPr>
                <w:rFonts w:cs="Times New Roman"/>
                <w:color w:val="000000"/>
                <w:szCs w:val="24"/>
              </w:rPr>
            </w:pPr>
            <w:r>
              <w:rPr>
                <w:rFonts w:cs="Times New Roman"/>
                <w:color w:val="000000"/>
                <w:szCs w:val="24"/>
              </w:rPr>
              <w:t xml:space="preserve">C </w:t>
            </w:r>
          </w:p>
        </w:tc>
      </w:tr>
    </w:tbl>
    <w:p w14:paraId="6BE7FEA3" w14:textId="77777777" w:rsidR="00C82BCC" w:rsidRDefault="00C82BCC" w:rsidP="00C82BCC">
      <w:pPr>
        <w:spacing w:after="0" w:line="360" w:lineRule="auto"/>
        <w:rPr>
          <w:rFonts w:cs="Times New Roman"/>
          <w:szCs w:val="24"/>
        </w:rPr>
      </w:pPr>
      <w:r>
        <w:rPr>
          <w:rFonts w:cs="Times New Roman"/>
          <w:szCs w:val="24"/>
        </w:rPr>
        <w:t xml:space="preserve"> Medias con una letra común no son significativamente diferentes (p &gt; 0,05)</w:t>
      </w:r>
    </w:p>
    <w:p w14:paraId="3E20A987" w14:textId="77777777" w:rsidR="00C82BCC" w:rsidRDefault="00C82BCC" w:rsidP="00C82BCC">
      <w:pPr>
        <w:spacing w:after="0" w:line="360" w:lineRule="auto"/>
        <w:rPr>
          <w:rFonts w:cs="Times New Roman"/>
          <w:szCs w:val="24"/>
        </w:rPr>
      </w:pPr>
    </w:p>
    <w:p w14:paraId="1493DCB4" w14:textId="264C8BDB" w:rsidR="001D4637" w:rsidRDefault="00C82BCC" w:rsidP="004A05F2">
      <w:pPr>
        <w:autoSpaceDE w:val="0"/>
        <w:autoSpaceDN w:val="0"/>
        <w:adjustRightInd w:val="0"/>
        <w:spacing w:before="360" w:after="360" w:line="360" w:lineRule="auto"/>
        <w:rPr>
          <w:rFonts w:cs="Times New Roman"/>
          <w:bCs/>
          <w:szCs w:val="24"/>
        </w:rPr>
      </w:pPr>
      <w:r>
        <w:rPr>
          <w:rFonts w:cs="Times New Roman"/>
          <w:bCs/>
          <w:szCs w:val="24"/>
        </w:rPr>
        <w:lastRenderedPageBreak/>
        <w:t xml:space="preserve">El efecto de los nutrientes que fueron significativos </w:t>
      </w:r>
      <w:r w:rsidR="00897618">
        <w:rPr>
          <w:rFonts w:cs="Times New Roman"/>
          <w:bCs/>
          <w:szCs w:val="24"/>
        </w:rPr>
        <w:t xml:space="preserve">(p&lt;0,001) </w:t>
      </w:r>
      <w:r>
        <w:rPr>
          <w:rFonts w:cs="Times New Roman"/>
          <w:bCs/>
          <w:szCs w:val="24"/>
        </w:rPr>
        <w:t>sobre la a</w:t>
      </w:r>
      <w:r w:rsidR="001B6327">
        <w:rPr>
          <w:rFonts w:cs="Times New Roman"/>
          <w:bCs/>
          <w:szCs w:val="24"/>
        </w:rPr>
        <w:t>b</w:t>
      </w:r>
      <w:r>
        <w:rPr>
          <w:rFonts w:cs="Times New Roman"/>
          <w:bCs/>
          <w:szCs w:val="24"/>
        </w:rPr>
        <w:t xml:space="preserve">sorción de azufre en las provincias de Bolívar, Chimborazo y de Imbabura se observa en </w:t>
      </w:r>
      <w:r w:rsidR="006E5162">
        <w:rPr>
          <w:rFonts w:cs="Times New Roman"/>
          <w:bCs/>
          <w:szCs w:val="24"/>
        </w:rPr>
        <w:t>la</w:t>
      </w:r>
      <w:r>
        <w:rPr>
          <w:rFonts w:cs="Times New Roman"/>
          <w:bCs/>
          <w:szCs w:val="24"/>
        </w:rPr>
        <w:t xml:space="preserve"> siguiente </w:t>
      </w:r>
      <w:r w:rsidR="006E5162">
        <w:rPr>
          <w:rFonts w:cs="Times New Roman"/>
          <w:bCs/>
          <w:szCs w:val="24"/>
        </w:rPr>
        <w:t>figura</w:t>
      </w:r>
      <w:r w:rsidR="006E0BEC">
        <w:rPr>
          <w:rFonts w:cs="Times New Roman"/>
          <w:bCs/>
          <w:szCs w:val="24"/>
        </w:rPr>
        <w:t>:</w:t>
      </w:r>
    </w:p>
    <w:p w14:paraId="7DB6DCAF" w14:textId="442BA48F" w:rsidR="001D4637" w:rsidRDefault="001D4637" w:rsidP="004A05F2">
      <w:pPr>
        <w:pStyle w:val="Ttulo1"/>
        <w:numPr>
          <w:ilvl w:val="0"/>
          <w:numId w:val="20"/>
        </w:numPr>
        <w:spacing w:before="360" w:after="360"/>
        <w:rPr>
          <w:b w:val="0"/>
          <w:bCs w:val="0"/>
        </w:rPr>
      </w:pPr>
      <w:bookmarkStart w:id="2181" w:name="_Toc72706442"/>
      <w:bookmarkStart w:id="2182" w:name="_Toc72741392"/>
      <w:bookmarkStart w:id="2183" w:name="_Toc72742988"/>
      <w:bookmarkStart w:id="2184" w:name="_Toc72881339"/>
      <w:bookmarkStart w:id="2185" w:name="_Toc72881710"/>
      <w:bookmarkStart w:id="2186" w:name="_Toc75606578"/>
      <w:bookmarkStart w:id="2187" w:name="_Toc75612057"/>
      <w:bookmarkStart w:id="2188" w:name="_Toc75612903"/>
      <w:bookmarkStart w:id="2189" w:name="_Toc75680059"/>
      <w:bookmarkStart w:id="2190" w:name="_Toc75702667"/>
      <w:bookmarkStart w:id="2191" w:name="_Toc79313256"/>
      <w:bookmarkStart w:id="2192" w:name="_Toc80008476"/>
      <w:bookmarkStart w:id="2193" w:name="_Toc80312369"/>
      <w:r w:rsidRPr="001D4637">
        <w:rPr>
          <w:b w:val="0"/>
          <w:bCs w:val="0"/>
        </w:rPr>
        <w:t>Nitrógeno</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5980B130" w14:textId="6B0594AC" w:rsidR="00C82BCC" w:rsidRPr="004A05F2" w:rsidRDefault="000E2AE7" w:rsidP="004A05F2">
      <w:pPr>
        <w:jc w:val="center"/>
        <w:rPr>
          <w:b/>
          <w:bCs/>
        </w:rPr>
      </w:pPr>
      <w:r w:rsidRPr="00146EAD">
        <w:rPr>
          <w:noProof/>
          <w:lang w:eastAsia="es-EC"/>
        </w:rPr>
        <w:drawing>
          <wp:inline distT="0" distB="0" distL="0" distR="0" wp14:anchorId="48FBC714" wp14:editId="4C2ECDCF">
            <wp:extent cx="4219303" cy="2325188"/>
            <wp:effectExtent l="0" t="0" r="10160" b="18415"/>
            <wp:docPr id="22" name="Gráfico 22">
              <a:extLst xmlns:a="http://schemas.openxmlformats.org/drawingml/2006/main">
                <a:ext uri="{FF2B5EF4-FFF2-40B4-BE49-F238E27FC236}">
                  <a16:creationId xmlns:a16="http://schemas.microsoft.com/office/drawing/2014/main" id="{1CF62A65-F0C5-4575-A130-11D7730B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42214CD" w14:textId="238820CE" w:rsidR="002B5EF4" w:rsidRPr="002B5EF4" w:rsidRDefault="002B5EF4" w:rsidP="004A05F2">
      <w:pPr>
        <w:pStyle w:val="Ttulo1"/>
        <w:numPr>
          <w:ilvl w:val="0"/>
          <w:numId w:val="20"/>
        </w:numPr>
        <w:spacing w:before="360" w:after="360"/>
        <w:ind w:left="714" w:hanging="357"/>
        <w:rPr>
          <w:b w:val="0"/>
          <w:bCs w:val="0"/>
        </w:rPr>
      </w:pPr>
      <w:bookmarkStart w:id="2194" w:name="_Toc72706446"/>
      <w:bookmarkStart w:id="2195" w:name="_Toc72741396"/>
      <w:bookmarkStart w:id="2196" w:name="_Toc72742992"/>
      <w:bookmarkStart w:id="2197" w:name="_Toc72881340"/>
      <w:bookmarkStart w:id="2198" w:name="_Toc72881711"/>
      <w:bookmarkStart w:id="2199" w:name="_Toc75606579"/>
      <w:bookmarkStart w:id="2200" w:name="_Toc75612058"/>
      <w:bookmarkStart w:id="2201" w:name="_Toc75612904"/>
      <w:bookmarkStart w:id="2202" w:name="_Toc75680060"/>
      <w:bookmarkStart w:id="2203" w:name="_Toc75702668"/>
      <w:bookmarkStart w:id="2204" w:name="_Toc79313257"/>
      <w:bookmarkStart w:id="2205" w:name="_Toc80008477"/>
      <w:bookmarkStart w:id="2206" w:name="_Toc80312370"/>
      <w:r>
        <w:rPr>
          <w:b w:val="0"/>
          <w:bCs w:val="0"/>
        </w:rPr>
        <w:t>Magnesio</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1B15AC37" w14:textId="50C9D3B4" w:rsidR="00C82BCC" w:rsidRDefault="00C82BCC" w:rsidP="00C82BCC">
      <w:pPr>
        <w:jc w:val="center"/>
        <w:rPr>
          <w:rFonts w:cs="Times New Roman"/>
          <w:b/>
          <w:bCs/>
          <w:szCs w:val="24"/>
        </w:rPr>
      </w:pPr>
      <w:r>
        <w:rPr>
          <w:rFonts w:cs="Times New Roman"/>
          <w:noProof/>
          <w:szCs w:val="24"/>
          <w:lang w:eastAsia="es-EC"/>
        </w:rPr>
        <w:drawing>
          <wp:inline distT="0" distB="0" distL="0" distR="0" wp14:anchorId="5ABEDD8C" wp14:editId="22E31672">
            <wp:extent cx="4206240" cy="2181497"/>
            <wp:effectExtent l="0" t="0" r="3810" b="9525"/>
            <wp:docPr id="115" name="Gráfico 115">
              <a:extLst xmlns:a="http://schemas.openxmlformats.org/drawingml/2006/main">
                <a:ext uri="{FF2B5EF4-FFF2-40B4-BE49-F238E27FC236}">
                  <a16:creationId xmlns:a16="http://schemas.microsoft.com/office/drawing/2014/main" id="{D84DAE92-333F-48C6-B97B-2930BE934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97C807D" w14:textId="3D6E4296" w:rsidR="00C82BCC" w:rsidRDefault="00C82BCC" w:rsidP="004A05F2">
      <w:pPr>
        <w:spacing w:before="360" w:after="360"/>
      </w:pPr>
      <w:r>
        <w:rPr>
          <w:rFonts w:cs="Times New Roman"/>
          <w:szCs w:val="24"/>
        </w:rPr>
        <w:t xml:space="preserve">Efecto de los macronutrientes </w:t>
      </w:r>
      <w:r w:rsidR="00897618">
        <w:rPr>
          <w:rFonts w:cs="Times New Roman"/>
          <w:szCs w:val="24"/>
        </w:rPr>
        <w:t xml:space="preserve">a) </w:t>
      </w:r>
      <w:r w:rsidR="001F710B">
        <w:rPr>
          <w:rFonts w:cs="Times New Roman"/>
          <w:szCs w:val="24"/>
        </w:rPr>
        <w:t>nitrógeno</w:t>
      </w:r>
      <w:r w:rsidR="00897618">
        <w:rPr>
          <w:rFonts w:cs="Times New Roman"/>
          <w:szCs w:val="24"/>
        </w:rPr>
        <w:t>, b</w:t>
      </w:r>
      <w:r w:rsidR="001F710B">
        <w:rPr>
          <w:rFonts w:cs="Times New Roman"/>
          <w:szCs w:val="24"/>
        </w:rPr>
        <w:t xml:space="preserve">) magnesio </w:t>
      </w:r>
      <w:r>
        <w:rPr>
          <w:rFonts w:cs="Times New Roman"/>
          <w:szCs w:val="24"/>
        </w:rPr>
        <w:t>sobre la a</w:t>
      </w:r>
      <w:r w:rsidR="001B6327">
        <w:rPr>
          <w:rFonts w:cs="Times New Roman"/>
          <w:szCs w:val="24"/>
        </w:rPr>
        <w:t>b</w:t>
      </w:r>
      <w:r>
        <w:rPr>
          <w:rFonts w:cs="Times New Roman"/>
          <w:szCs w:val="24"/>
        </w:rPr>
        <w:t>sorción de azufre en maíz suave en las provincias Bolívar, Chimborazo de Imbabura (2006-2015)</w:t>
      </w:r>
    </w:p>
    <w:p w14:paraId="47434B70" w14:textId="77777777" w:rsidR="004A05F2" w:rsidRDefault="004A05F2" w:rsidP="004A05F2">
      <w:pPr>
        <w:spacing w:before="360" w:after="360" w:line="360" w:lineRule="auto"/>
        <w:rPr>
          <w:rFonts w:cs="Times New Roman"/>
          <w:b/>
          <w:bCs/>
          <w:szCs w:val="24"/>
        </w:rPr>
      </w:pPr>
    </w:p>
    <w:p w14:paraId="285A1254" w14:textId="7F496C3B" w:rsidR="00C82BCC" w:rsidRDefault="00C82BCC" w:rsidP="004A05F2">
      <w:pPr>
        <w:pStyle w:val="Ttulo3"/>
        <w:spacing w:before="360" w:after="360"/>
        <w:rPr>
          <w:rFonts w:eastAsia="Times New Roman"/>
          <w:color w:val="000000"/>
          <w:lang w:eastAsia="es-EC"/>
        </w:rPr>
      </w:pPr>
      <w:bookmarkStart w:id="2207" w:name="_Toc80312371"/>
      <w:r>
        <w:lastRenderedPageBreak/>
        <w:t>A</w:t>
      </w:r>
      <w:r w:rsidR="001B6327">
        <w:t>b</w:t>
      </w:r>
      <w:r>
        <w:t>sorción de magnesio (</w:t>
      </w:r>
      <w:r>
        <w:rPr>
          <w:rFonts w:eastAsia="Times New Roman"/>
          <w:color w:val="000000"/>
          <w:lang w:eastAsia="es-EC"/>
        </w:rPr>
        <w:t>kg/ha</w:t>
      </w:r>
      <w:r>
        <w:rPr>
          <w:rFonts w:eastAsia="Times New Roman"/>
          <w:color w:val="000000"/>
          <w:vertAlign w:val="superscript"/>
          <w:lang w:eastAsia="es-EC"/>
        </w:rPr>
        <w:t>-1</w:t>
      </w:r>
      <w:r>
        <w:rPr>
          <w:rFonts w:eastAsia="Times New Roman"/>
          <w:color w:val="000000"/>
          <w:lang w:eastAsia="es-EC"/>
        </w:rPr>
        <w:t>)</w:t>
      </w:r>
      <w:bookmarkEnd w:id="2207"/>
    </w:p>
    <w:p w14:paraId="227DEEF8" w14:textId="716015C2" w:rsidR="00C82BCC" w:rsidRDefault="00C82BCC" w:rsidP="00C82BCC">
      <w:pPr>
        <w:autoSpaceDE w:val="0"/>
        <w:autoSpaceDN w:val="0"/>
        <w:adjustRightInd w:val="0"/>
        <w:spacing w:after="0" w:line="360" w:lineRule="auto"/>
        <w:rPr>
          <w:rFonts w:cs="Times New Roman"/>
          <w:b/>
          <w:bCs/>
          <w:color w:val="0000FF"/>
        </w:rPr>
      </w:pPr>
      <w:r>
        <w:rPr>
          <w:rFonts w:cs="Times New Roman"/>
          <w:szCs w:val="24"/>
        </w:rPr>
        <w:t>Al utilizar el modelo estadístico para la absorción total de magnesio, se detectaron diferencias estadísticas significativas (p &lt;0,05) para las fuentes de variación de provincia, nitrógeno, fósforo, potasio, azufre y magnesio (</w:t>
      </w:r>
      <w:r w:rsidR="00273C68">
        <w:rPr>
          <w:rFonts w:cs="Times New Roman"/>
          <w:szCs w:val="24"/>
        </w:rPr>
        <w:t>Cuadro</w:t>
      </w:r>
      <w:r>
        <w:rPr>
          <w:rFonts w:cs="Times New Roman"/>
          <w:szCs w:val="24"/>
        </w:rPr>
        <w:t xml:space="preserve"> 17</w:t>
      </w:r>
      <w:r w:rsidR="0039325D">
        <w:rPr>
          <w:rFonts w:cs="Times New Roman"/>
          <w:szCs w:val="24"/>
        </w:rPr>
        <w:t>6</w:t>
      </w:r>
      <w:r>
        <w:rPr>
          <w:rFonts w:cs="Times New Roman"/>
          <w:szCs w:val="24"/>
        </w:rPr>
        <w:t xml:space="preserve">). Por lo tanto, las dosis de los fertilizantes afectaron a esta variable. El promedio general de la absorción total de </w:t>
      </w:r>
      <w:r w:rsidR="00D565A7">
        <w:rPr>
          <w:rFonts w:cs="Times New Roman"/>
          <w:szCs w:val="24"/>
        </w:rPr>
        <w:t xml:space="preserve">magnesio </w:t>
      </w:r>
      <w:r>
        <w:rPr>
          <w:rFonts w:cs="Times New Roman"/>
          <w:szCs w:val="24"/>
        </w:rPr>
        <w:t>fue 19,61 Kg ha</w:t>
      </w:r>
      <w:r>
        <w:rPr>
          <w:rFonts w:cs="Times New Roman"/>
          <w:szCs w:val="24"/>
          <w:vertAlign w:val="superscript"/>
        </w:rPr>
        <w:t>-1</w:t>
      </w:r>
      <w:r>
        <w:rPr>
          <w:rFonts w:cs="Times New Roman"/>
          <w:szCs w:val="24"/>
        </w:rPr>
        <w:t>; con un R</w:t>
      </w:r>
      <w:r>
        <w:rPr>
          <w:rFonts w:cs="Times New Roman"/>
          <w:szCs w:val="24"/>
          <w:vertAlign w:val="superscript"/>
        </w:rPr>
        <w:t xml:space="preserve">2 </w:t>
      </w:r>
      <w:r>
        <w:rPr>
          <w:rFonts w:cs="Times New Roman"/>
          <w:szCs w:val="24"/>
        </w:rPr>
        <w:t>de 0,51 y un coeficiente de variación fue de 35,13 %</w:t>
      </w:r>
      <w:r>
        <w:rPr>
          <w:rFonts w:cs="Times New Roman"/>
          <w:b/>
          <w:bCs/>
          <w:color w:val="0000FF"/>
        </w:rPr>
        <w:t>.</w:t>
      </w:r>
    </w:p>
    <w:p w14:paraId="5700EFB9" w14:textId="23A16468" w:rsidR="008A6AF7" w:rsidRPr="008A6AF7" w:rsidRDefault="008A6AF7" w:rsidP="004A05F2">
      <w:pPr>
        <w:pStyle w:val="Descripcin"/>
        <w:keepNext/>
        <w:spacing w:before="360"/>
        <w:rPr>
          <w:rFonts w:cs="Times New Roman"/>
          <w:i w:val="0"/>
          <w:iCs w:val="0"/>
          <w:color w:val="auto"/>
          <w:sz w:val="24"/>
          <w:szCs w:val="24"/>
          <w:lang w:eastAsia="en-US"/>
        </w:rPr>
      </w:pPr>
      <w:bookmarkStart w:id="2208" w:name="_Toc79314168"/>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176</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w:t>
      </w:r>
      <w:r w:rsidRPr="008A6AF7">
        <w:rPr>
          <w:rFonts w:cs="Times New Roman"/>
          <w:i w:val="0"/>
          <w:iCs w:val="0"/>
          <w:color w:val="auto"/>
          <w:sz w:val="24"/>
          <w:szCs w:val="24"/>
          <w:lang w:eastAsia="en-US"/>
        </w:rPr>
        <w:t xml:space="preserve"> Análisis de la Varianza (SC tipo I) y porcentaje de varianza para absorción de magnesio de maíz suave en grano seco, evaluado (Consolidado) en las provincias de Bolívar, Chimborazo, Imbabura 2006-2015.</w:t>
      </w:r>
      <w:bookmarkEnd w:id="2208"/>
    </w:p>
    <w:tbl>
      <w:tblPr>
        <w:tblW w:w="7933" w:type="dxa"/>
        <w:tblCellMar>
          <w:left w:w="70" w:type="dxa"/>
          <w:right w:w="70" w:type="dxa"/>
        </w:tblCellMar>
        <w:tblLook w:val="04A0" w:firstRow="1" w:lastRow="0" w:firstColumn="1" w:lastColumn="0" w:noHBand="0" w:noVBand="1"/>
      </w:tblPr>
      <w:tblGrid>
        <w:gridCol w:w="1800"/>
        <w:gridCol w:w="1200"/>
        <w:gridCol w:w="823"/>
        <w:gridCol w:w="1200"/>
        <w:gridCol w:w="926"/>
        <w:gridCol w:w="936"/>
        <w:gridCol w:w="1087"/>
      </w:tblGrid>
      <w:tr w:rsidR="00C82BCC" w14:paraId="037E823C" w14:textId="77777777" w:rsidTr="00F619ED">
        <w:trPr>
          <w:trHeight w:val="300"/>
        </w:trPr>
        <w:tc>
          <w:tcPr>
            <w:tcW w:w="1800" w:type="dxa"/>
            <w:tcBorders>
              <w:top w:val="single" w:sz="4" w:space="0" w:color="auto"/>
              <w:left w:val="single" w:sz="4" w:space="0" w:color="auto"/>
              <w:bottom w:val="single" w:sz="4" w:space="0" w:color="auto"/>
              <w:right w:val="single" w:sz="4" w:space="0" w:color="auto"/>
            </w:tcBorders>
            <w:noWrap/>
            <w:vAlign w:val="bottom"/>
            <w:hideMark/>
          </w:tcPr>
          <w:p w14:paraId="15EB988F"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F.V.   </w:t>
            </w:r>
          </w:p>
        </w:tc>
        <w:tc>
          <w:tcPr>
            <w:tcW w:w="1200" w:type="dxa"/>
            <w:tcBorders>
              <w:top w:val="single" w:sz="4" w:space="0" w:color="auto"/>
              <w:left w:val="nil"/>
              <w:bottom w:val="single" w:sz="4" w:space="0" w:color="auto"/>
              <w:right w:val="single" w:sz="4" w:space="0" w:color="auto"/>
            </w:tcBorders>
            <w:noWrap/>
            <w:vAlign w:val="bottom"/>
            <w:hideMark/>
          </w:tcPr>
          <w:p w14:paraId="0A486FE8"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SC   </w:t>
            </w:r>
          </w:p>
        </w:tc>
        <w:tc>
          <w:tcPr>
            <w:tcW w:w="823" w:type="dxa"/>
            <w:tcBorders>
              <w:top w:val="single" w:sz="4" w:space="0" w:color="auto"/>
              <w:left w:val="nil"/>
              <w:bottom w:val="single" w:sz="4" w:space="0" w:color="auto"/>
              <w:right w:val="single" w:sz="4" w:space="0" w:color="auto"/>
            </w:tcBorders>
            <w:noWrap/>
            <w:vAlign w:val="bottom"/>
            <w:hideMark/>
          </w:tcPr>
          <w:p w14:paraId="17F9D579"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gl </w:t>
            </w:r>
          </w:p>
        </w:tc>
        <w:tc>
          <w:tcPr>
            <w:tcW w:w="1200" w:type="dxa"/>
            <w:tcBorders>
              <w:top w:val="single" w:sz="4" w:space="0" w:color="auto"/>
              <w:left w:val="nil"/>
              <w:bottom w:val="single" w:sz="4" w:space="0" w:color="auto"/>
              <w:right w:val="single" w:sz="4" w:space="0" w:color="auto"/>
            </w:tcBorders>
            <w:noWrap/>
            <w:vAlign w:val="bottom"/>
            <w:hideMark/>
          </w:tcPr>
          <w:p w14:paraId="667F53A7"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CM   </w:t>
            </w:r>
          </w:p>
        </w:tc>
        <w:tc>
          <w:tcPr>
            <w:tcW w:w="926" w:type="dxa"/>
            <w:tcBorders>
              <w:top w:val="single" w:sz="4" w:space="0" w:color="auto"/>
              <w:left w:val="nil"/>
              <w:bottom w:val="single" w:sz="4" w:space="0" w:color="auto"/>
              <w:right w:val="single" w:sz="4" w:space="0" w:color="auto"/>
            </w:tcBorders>
            <w:noWrap/>
            <w:vAlign w:val="bottom"/>
            <w:hideMark/>
          </w:tcPr>
          <w:p w14:paraId="3DB91F8F"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F   </w:t>
            </w:r>
          </w:p>
        </w:tc>
        <w:tc>
          <w:tcPr>
            <w:tcW w:w="936" w:type="dxa"/>
            <w:tcBorders>
              <w:top w:val="single" w:sz="4" w:space="0" w:color="auto"/>
              <w:left w:val="nil"/>
              <w:bottom w:val="single" w:sz="4" w:space="0" w:color="auto"/>
              <w:right w:val="single" w:sz="4" w:space="0" w:color="auto"/>
            </w:tcBorders>
            <w:noWrap/>
            <w:vAlign w:val="bottom"/>
            <w:hideMark/>
          </w:tcPr>
          <w:p w14:paraId="01FC8E64"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p-valor</w:t>
            </w:r>
          </w:p>
        </w:tc>
        <w:tc>
          <w:tcPr>
            <w:tcW w:w="1048" w:type="dxa"/>
            <w:tcBorders>
              <w:top w:val="single" w:sz="4" w:space="0" w:color="auto"/>
              <w:left w:val="nil"/>
              <w:bottom w:val="single" w:sz="4" w:space="0" w:color="auto"/>
              <w:right w:val="single" w:sz="4" w:space="0" w:color="auto"/>
            </w:tcBorders>
            <w:noWrap/>
            <w:vAlign w:val="bottom"/>
            <w:hideMark/>
          </w:tcPr>
          <w:p w14:paraId="50EF32D9"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Varianza %</w:t>
            </w:r>
          </w:p>
        </w:tc>
      </w:tr>
      <w:tr w:rsidR="00C82BCC" w14:paraId="10530561"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2756E24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Modelo   </w:t>
            </w:r>
          </w:p>
        </w:tc>
        <w:tc>
          <w:tcPr>
            <w:tcW w:w="1200" w:type="dxa"/>
            <w:tcBorders>
              <w:top w:val="nil"/>
              <w:left w:val="nil"/>
              <w:bottom w:val="single" w:sz="4" w:space="0" w:color="auto"/>
              <w:right w:val="single" w:sz="4" w:space="0" w:color="auto"/>
            </w:tcBorders>
            <w:noWrap/>
            <w:vAlign w:val="bottom"/>
            <w:hideMark/>
          </w:tcPr>
          <w:p w14:paraId="4B33BD9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10217,23</w:t>
            </w:r>
          </w:p>
        </w:tc>
        <w:tc>
          <w:tcPr>
            <w:tcW w:w="823" w:type="dxa"/>
            <w:tcBorders>
              <w:top w:val="nil"/>
              <w:left w:val="nil"/>
              <w:bottom w:val="single" w:sz="4" w:space="0" w:color="auto"/>
              <w:right w:val="single" w:sz="4" w:space="0" w:color="auto"/>
            </w:tcBorders>
            <w:noWrap/>
            <w:vAlign w:val="bottom"/>
            <w:hideMark/>
          </w:tcPr>
          <w:p w14:paraId="1AFE51F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w:t>
            </w:r>
          </w:p>
        </w:tc>
        <w:tc>
          <w:tcPr>
            <w:tcW w:w="1200" w:type="dxa"/>
            <w:tcBorders>
              <w:top w:val="nil"/>
              <w:left w:val="nil"/>
              <w:bottom w:val="single" w:sz="4" w:space="0" w:color="auto"/>
              <w:right w:val="single" w:sz="4" w:space="0" w:color="auto"/>
            </w:tcBorders>
            <w:noWrap/>
            <w:vAlign w:val="bottom"/>
            <w:hideMark/>
          </w:tcPr>
          <w:p w14:paraId="299AEBA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329,59</w:t>
            </w:r>
          </w:p>
        </w:tc>
        <w:tc>
          <w:tcPr>
            <w:tcW w:w="926" w:type="dxa"/>
            <w:tcBorders>
              <w:top w:val="nil"/>
              <w:left w:val="nil"/>
              <w:bottom w:val="single" w:sz="4" w:space="0" w:color="auto"/>
              <w:right w:val="single" w:sz="4" w:space="0" w:color="auto"/>
            </w:tcBorders>
            <w:noWrap/>
            <w:vAlign w:val="bottom"/>
            <w:hideMark/>
          </w:tcPr>
          <w:p w14:paraId="374E989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6,95</w:t>
            </w:r>
          </w:p>
        </w:tc>
        <w:tc>
          <w:tcPr>
            <w:tcW w:w="936" w:type="dxa"/>
            <w:tcBorders>
              <w:top w:val="nil"/>
              <w:left w:val="nil"/>
              <w:bottom w:val="single" w:sz="4" w:space="0" w:color="auto"/>
              <w:right w:val="single" w:sz="4" w:space="0" w:color="auto"/>
            </w:tcBorders>
            <w:noWrap/>
            <w:vAlign w:val="bottom"/>
            <w:hideMark/>
          </w:tcPr>
          <w:p w14:paraId="5D3FD00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048" w:type="dxa"/>
            <w:tcBorders>
              <w:top w:val="nil"/>
              <w:left w:val="nil"/>
              <w:bottom w:val="single" w:sz="4" w:space="0" w:color="auto"/>
              <w:right w:val="single" w:sz="4" w:space="0" w:color="auto"/>
            </w:tcBorders>
            <w:noWrap/>
            <w:vAlign w:val="bottom"/>
            <w:hideMark/>
          </w:tcPr>
          <w:p w14:paraId="741CCF8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50,75</w:t>
            </w:r>
          </w:p>
        </w:tc>
      </w:tr>
      <w:tr w:rsidR="00C82BCC" w14:paraId="27BCD058"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5C0213B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Provincia</w:t>
            </w:r>
          </w:p>
        </w:tc>
        <w:tc>
          <w:tcPr>
            <w:tcW w:w="1200" w:type="dxa"/>
            <w:tcBorders>
              <w:top w:val="nil"/>
              <w:left w:val="nil"/>
              <w:bottom w:val="single" w:sz="4" w:space="0" w:color="auto"/>
              <w:right w:val="single" w:sz="4" w:space="0" w:color="auto"/>
            </w:tcBorders>
            <w:noWrap/>
            <w:vAlign w:val="bottom"/>
            <w:hideMark/>
          </w:tcPr>
          <w:p w14:paraId="56BAECC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2343,38</w:t>
            </w:r>
          </w:p>
        </w:tc>
        <w:tc>
          <w:tcPr>
            <w:tcW w:w="823" w:type="dxa"/>
            <w:tcBorders>
              <w:top w:val="nil"/>
              <w:left w:val="nil"/>
              <w:bottom w:val="single" w:sz="4" w:space="0" w:color="auto"/>
              <w:right w:val="single" w:sz="4" w:space="0" w:color="auto"/>
            </w:tcBorders>
            <w:noWrap/>
            <w:vAlign w:val="bottom"/>
            <w:hideMark/>
          </w:tcPr>
          <w:p w14:paraId="5C1B83C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w:t>
            </w:r>
          </w:p>
        </w:tc>
        <w:tc>
          <w:tcPr>
            <w:tcW w:w="1200" w:type="dxa"/>
            <w:tcBorders>
              <w:top w:val="nil"/>
              <w:left w:val="nil"/>
              <w:bottom w:val="single" w:sz="4" w:space="0" w:color="auto"/>
              <w:right w:val="single" w:sz="4" w:space="0" w:color="auto"/>
            </w:tcBorders>
            <w:noWrap/>
            <w:vAlign w:val="bottom"/>
            <w:hideMark/>
          </w:tcPr>
          <w:p w14:paraId="269C886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1171,69</w:t>
            </w:r>
          </w:p>
        </w:tc>
        <w:tc>
          <w:tcPr>
            <w:tcW w:w="926" w:type="dxa"/>
            <w:tcBorders>
              <w:top w:val="nil"/>
              <w:left w:val="nil"/>
              <w:bottom w:val="single" w:sz="4" w:space="0" w:color="auto"/>
              <w:right w:val="single" w:sz="4" w:space="0" w:color="auto"/>
            </w:tcBorders>
            <w:noWrap/>
            <w:vAlign w:val="bottom"/>
            <w:hideMark/>
          </w:tcPr>
          <w:p w14:paraId="5E296F9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24,7</w:t>
            </w:r>
          </w:p>
        </w:tc>
        <w:tc>
          <w:tcPr>
            <w:tcW w:w="936" w:type="dxa"/>
            <w:tcBorders>
              <w:top w:val="nil"/>
              <w:left w:val="nil"/>
              <w:bottom w:val="single" w:sz="4" w:space="0" w:color="auto"/>
              <w:right w:val="single" w:sz="4" w:space="0" w:color="auto"/>
            </w:tcBorders>
            <w:noWrap/>
            <w:vAlign w:val="bottom"/>
            <w:hideMark/>
          </w:tcPr>
          <w:p w14:paraId="76ABF3E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048" w:type="dxa"/>
            <w:tcBorders>
              <w:top w:val="nil"/>
              <w:left w:val="nil"/>
              <w:bottom w:val="single" w:sz="4" w:space="0" w:color="auto"/>
              <w:right w:val="single" w:sz="4" w:space="0" w:color="auto"/>
            </w:tcBorders>
            <w:noWrap/>
            <w:vAlign w:val="bottom"/>
            <w:hideMark/>
          </w:tcPr>
          <w:p w14:paraId="3DBA1B7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11,64</w:t>
            </w:r>
          </w:p>
        </w:tc>
      </w:tr>
      <w:tr w:rsidR="00C82BCC" w14:paraId="76A8DBE8"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11917C37"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N  </w:t>
            </w:r>
          </w:p>
        </w:tc>
        <w:tc>
          <w:tcPr>
            <w:tcW w:w="1200" w:type="dxa"/>
            <w:tcBorders>
              <w:top w:val="nil"/>
              <w:left w:val="nil"/>
              <w:bottom w:val="single" w:sz="4" w:space="0" w:color="auto"/>
              <w:right w:val="single" w:sz="4" w:space="0" w:color="auto"/>
            </w:tcBorders>
            <w:noWrap/>
            <w:vAlign w:val="bottom"/>
            <w:hideMark/>
          </w:tcPr>
          <w:p w14:paraId="1556FEF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2695,98</w:t>
            </w:r>
          </w:p>
        </w:tc>
        <w:tc>
          <w:tcPr>
            <w:tcW w:w="823" w:type="dxa"/>
            <w:tcBorders>
              <w:top w:val="nil"/>
              <w:left w:val="nil"/>
              <w:bottom w:val="single" w:sz="4" w:space="0" w:color="auto"/>
              <w:right w:val="single" w:sz="4" w:space="0" w:color="auto"/>
            </w:tcBorders>
            <w:noWrap/>
            <w:vAlign w:val="bottom"/>
            <w:hideMark/>
          </w:tcPr>
          <w:p w14:paraId="457FC097"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w:t>
            </w:r>
          </w:p>
        </w:tc>
        <w:tc>
          <w:tcPr>
            <w:tcW w:w="1200" w:type="dxa"/>
            <w:tcBorders>
              <w:top w:val="nil"/>
              <w:left w:val="nil"/>
              <w:bottom w:val="single" w:sz="4" w:space="0" w:color="auto"/>
              <w:right w:val="single" w:sz="4" w:space="0" w:color="auto"/>
            </w:tcBorders>
            <w:noWrap/>
            <w:vAlign w:val="bottom"/>
            <w:hideMark/>
          </w:tcPr>
          <w:p w14:paraId="510C348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299,55</w:t>
            </w:r>
          </w:p>
        </w:tc>
        <w:tc>
          <w:tcPr>
            <w:tcW w:w="926" w:type="dxa"/>
            <w:tcBorders>
              <w:top w:val="nil"/>
              <w:left w:val="nil"/>
              <w:bottom w:val="single" w:sz="4" w:space="0" w:color="auto"/>
              <w:right w:val="single" w:sz="4" w:space="0" w:color="auto"/>
            </w:tcBorders>
            <w:noWrap/>
            <w:vAlign w:val="bottom"/>
            <w:hideMark/>
          </w:tcPr>
          <w:p w14:paraId="5C48DAF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6,32</w:t>
            </w:r>
          </w:p>
        </w:tc>
        <w:tc>
          <w:tcPr>
            <w:tcW w:w="936" w:type="dxa"/>
            <w:tcBorders>
              <w:top w:val="nil"/>
              <w:left w:val="nil"/>
              <w:bottom w:val="single" w:sz="4" w:space="0" w:color="auto"/>
              <w:right w:val="single" w:sz="4" w:space="0" w:color="auto"/>
            </w:tcBorders>
            <w:noWrap/>
            <w:vAlign w:val="bottom"/>
            <w:hideMark/>
          </w:tcPr>
          <w:p w14:paraId="7204219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048" w:type="dxa"/>
            <w:tcBorders>
              <w:top w:val="nil"/>
              <w:left w:val="nil"/>
              <w:bottom w:val="single" w:sz="4" w:space="0" w:color="auto"/>
              <w:right w:val="single" w:sz="4" w:space="0" w:color="auto"/>
            </w:tcBorders>
            <w:noWrap/>
            <w:vAlign w:val="bottom"/>
            <w:hideMark/>
          </w:tcPr>
          <w:p w14:paraId="2389C07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13,39</w:t>
            </w:r>
          </w:p>
        </w:tc>
      </w:tr>
      <w:tr w:rsidR="00C82BCC" w14:paraId="5D09541E"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4709553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P  </w:t>
            </w:r>
          </w:p>
        </w:tc>
        <w:tc>
          <w:tcPr>
            <w:tcW w:w="1200" w:type="dxa"/>
            <w:tcBorders>
              <w:top w:val="nil"/>
              <w:left w:val="nil"/>
              <w:bottom w:val="single" w:sz="4" w:space="0" w:color="auto"/>
              <w:right w:val="single" w:sz="4" w:space="0" w:color="auto"/>
            </w:tcBorders>
            <w:noWrap/>
            <w:vAlign w:val="bottom"/>
            <w:hideMark/>
          </w:tcPr>
          <w:p w14:paraId="4C16AAE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896,54</w:t>
            </w:r>
          </w:p>
        </w:tc>
        <w:tc>
          <w:tcPr>
            <w:tcW w:w="823" w:type="dxa"/>
            <w:tcBorders>
              <w:top w:val="nil"/>
              <w:left w:val="nil"/>
              <w:bottom w:val="single" w:sz="4" w:space="0" w:color="auto"/>
              <w:right w:val="single" w:sz="4" w:space="0" w:color="auto"/>
            </w:tcBorders>
            <w:noWrap/>
            <w:vAlign w:val="bottom"/>
            <w:hideMark/>
          </w:tcPr>
          <w:p w14:paraId="1CA6E87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200" w:type="dxa"/>
            <w:tcBorders>
              <w:top w:val="nil"/>
              <w:left w:val="nil"/>
              <w:bottom w:val="single" w:sz="4" w:space="0" w:color="auto"/>
              <w:right w:val="single" w:sz="4" w:space="0" w:color="auto"/>
            </w:tcBorders>
            <w:noWrap/>
            <w:vAlign w:val="bottom"/>
            <w:hideMark/>
          </w:tcPr>
          <w:p w14:paraId="4A30C577"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149,42</w:t>
            </w:r>
          </w:p>
        </w:tc>
        <w:tc>
          <w:tcPr>
            <w:tcW w:w="926" w:type="dxa"/>
            <w:tcBorders>
              <w:top w:val="nil"/>
              <w:left w:val="nil"/>
              <w:bottom w:val="single" w:sz="4" w:space="0" w:color="auto"/>
              <w:right w:val="single" w:sz="4" w:space="0" w:color="auto"/>
            </w:tcBorders>
            <w:noWrap/>
            <w:vAlign w:val="bottom"/>
            <w:hideMark/>
          </w:tcPr>
          <w:p w14:paraId="4C1454D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3,15</w:t>
            </w:r>
          </w:p>
        </w:tc>
        <w:tc>
          <w:tcPr>
            <w:tcW w:w="936" w:type="dxa"/>
            <w:tcBorders>
              <w:top w:val="nil"/>
              <w:left w:val="nil"/>
              <w:bottom w:val="single" w:sz="4" w:space="0" w:color="auto"/>
              <w:right w:val="single" w:sz="4" w:space="0" w:color="auto"/>
            </w:tcBorders>
            <w:noWrap/>
            <w:vAlign w:val="bottom"/>
            <w:hideMark/>
          </w:tcPr>
          <w:p w14:paraId="4307006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0,0056</w:t>
            </w:r>
          </w:p>
        </w:tc>
        <w:tc>
          <w:tcPr>
            <w:tcW w:w="1048" w:type="dxa"/>
            <w:tcBorders>
              <w:top w:val="nil"/>
              <w:left w:val="nil"/>
              <w:bottom w:val="single" w:sz="4" w:space="0" w:color="auto"/>
              <w:right w:val="single" w:sz="4" w:space="0" w:color="auto"/>
            </w:tcBorders>
            <w:noWrap/>
            <w:vAlign w:val="bottom"/>
            <w:hideMark/>
          </w:tcPr>
          <w:p w14:paraId="7EA6B8B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4,45</w:t>
            </w:r>
          </w:p>
        </w:tc>
      </w:tr>
      <w:tr w:rsidR="00C82BCC" w14:paraId="28C09FA7"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49ECE4A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K  </w:t>
            </w:r>
          </w:p>
        </w:tc>
        <w:tc>
          <w:tcPr>
            <w:tcW w:w="1200" w:type="dxa"/>
            <w:tcBorders>
              <w:top w:val="nil"/>
              <w:left w:val="nil"/>
              <w:bottom w:val="single" w:sz="4" w:space="0" w:color="auto"/>
              <w:right w:val="single" w:sz="4" w:space="0" w:color="auto"/>
            </w:tcBorders>
            <w:noWrap/>
            <w:vAlign w:val="bottom"/>
            <w:hideMark/>
          </w:tcPr>
          <w:p w14:paraId="200DC2A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1224,63</w:t>
            </w:r>
          </w:p>
        </w:tc>
        <w:tc>
          <w:tcPr>
            <w:tcW w:w="823" w:type="dxa"/>
            <w:tcBorders>
              <w:top w:val="nil"/>
              <w:left w:val="nil"/>
              <w:bottom w:val="single" w:sz="4" w:space="0" w:color="auto"/>
              <w:right w:val="single" w:sz="4" w:space="0" w:color="auto"/>
            </w:tcBorders>
            <w:noWrap/>
            <w:vAlign w:val="bottom"/>
            <w:hideMark/>
          </w:tcPr>
          <w:p w14:paraId="4AF03EA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200" w:type="dxa"/>
            <w:tcBorders>
              <w:top w:val="nil"/>
              <w:left w:val="nil"/>
              <w:bottom w:val="single" w:sz="4" w:space="0" w:color="auto"/>
              <w:right w:val="single" w:sz="4" w:space="0" w:color="auto"/>
            </w:tcBorders>
            <w:noWrap/>
            <w:vAlign w:val="bottom"/>
            <w:hideMark/>
          </w:tcPr>
          <w:p w14:paraId="7DA168C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204,11</w:t>
            </w:r>
          </w:p>
        </w:tc>
        <w:tc>
          <w:tcPr>
            <w:tcW w:w="926" w:type="dxa"/>
            <w:tcBorders>
              <w:top w:val="nil"/>
              <w:left w:val="nil"/>
              <w:bottom w:val="single" w:sz="4" w:space="0" w:color="auto"/>
              <w:right w:val="single" w:sz="4" w:space="0" w:color="auto"/>
            </w:tcBorders>
            <w:noWrap/>
            <w:vAlign w:val="bottom"/>
            <w:hideMark/>
          </w:tcPr>
          <w:p w14:paraId="343DBD1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4,3</w:t>
            </w:r>
          </w:p>
        </w:tc>
        <w:tc>
          <w:tcPr>
            <w:tcW w:w="936" w:type="dxa"/>
            <w:tcBorders>
              <w:top w:val="nil"/>
              <w:left w:val="nil"/>
              <w:bottom w:val="single" w:sz="4" w:space="0" w:color="auto"/>
              <w:right w:val="single" w:sz="4" w:space="0" w:color="auto"/>
            </w:tcBorders>
            <w:noWrap/>
            <w:vAlign w:val="bottom"/>
            <w:hideMark/>
          </w:tcPr>
          <w:p w14:paraId="3F8CD02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0,0004</w:t>
            </w:r>
          </w:p>
        </w:tc>
        <w:tc>
          <w:tcPr>
            <w:tcW w:w="1048" w:type="dxa"/>
            <w:tcBorders>
              <w:top w:val="nil"/>
              <w:left w:val="nil"/>
              <w:bottom w:val="single" w:sz="4" w:space="0" w:color="auto"/>
              <w:right w:val="single" w:sz="4" w:space="0" w:color="auto"/>
            </w:tcBorders>
            <w:noWrap/>
            <w:vAlign w:val="bottom"/>
            <w:hideMark/>
          </w:tcPr>
          <w:p w14:paraId="181996F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6,08</w:t>
            </w:r>
          </w:p>
        </w:tc>
      </w:tr>
      <w:tr w:rsidR="00C82BCC" w14:paraId="00AFF5C0"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00B9861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S  </w:t>
            </w:r>
          </w:p>
        </w:tc>
        <w:tc>
          <w:tcPr>
            <w:tcW w:w="1200" w:type="dxa"/>
            <w:tcBorders>
              <w:top w:val="nil"/>
              <w:left w:val="nil"/>
              <w:bottom w:val="single" w:sz="4" w:space="0" w:color="auto"/>
              <w:right w:val="single" w:sz="4" w:space="0" w:color="auto"/>
            </w:tcBorders>
            <w:noWrap/>
            <w:vAlign w:val="bottom"/>
            <w:hideMark/>
          </w:tcPr>
          <w:p w14:paraId="6858D6B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1690,53</w:t>
            </w:r>
          </w:p>
        </w:tc>
        <w:tc>
          <w:tcPr>
            <w:tcW w:w="823" w:type="dxa"/>
            <w:tcBorders>
              <w:top w:val="nil"/>
              <w:left w:val="nil"/>
              <w:bottom w:val="single" w:sz="4" w:space="0" w:color="auto"/>
              <w:right w:val="single" w:sz="4" w:space="0" w:color="auto"/>
            </w:tcBorders>
            <w:noWrap/>
            <w:vAlign w:val="bottom"/>
            <w:hideMark/>
          </w:tcPr>
          <w:p w14:paraId="333258EA"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200" w:type="dxa"/>
            <w:tcBorders>
              <w:top w:val="nil"/>
              <w:left w:val="nil"/>
              <w:bottom w:val="single" w:sz="4" w:space="0" w:color="auto"/>
              <w:right w:val="single" w:sz="4" w:space="0" w:color="auto"/>
            </w:tcBorders>
            <w:noWrap/>
            <w:vAlign w:val="bottom"/>
            <w:hideMark/>
          </w:tcPr>
          <w:p w14:paraId="2D89E8E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422,63</w:t>
            </w:r>
          </w:p>
        </w:tc>
        <w:tc>
          <w:tcPr>
            <w:tcW w:w="926" w:type="dxa"/>
            <w:tcBorders>
              <w:top w:val="nil"/>
              <w:left w:val="nil"/>
              <w:bottom w:val="single" w:sz="4" w:space="0" w:color="auto"/>
              <w:right w:val="single" w:sz="4" w:space="0" w:color="auto"/>
            </w:tcBorders>
            <w:noWrap/>
            <w:vAlign w:val="bottom"/>
            <w:hideMark/>
          </w:tcPr>
          <w:p w14:paraId="1EB9460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8,91</w:t>
            </w:r>
          </w:p>
        </w:tc>
        <w:tc>
          <w:tcPr>
            <w:tcW w:w="936" w:type="dxa"/>
            <w:tcBorders>
              <w:top w:val="nil"/>
              <w:left w:val="nil"/>
              <w:bottom w:val="single" w:sz="4" w:space="0" w:color="auto"/>
              <w:right w:val="single" w:sz="4" w:space="0" w:color="auto"/>
            </w:tcBorders>
            <w:noWrap/>
            <w:vAlign w:val="bottom"/>
            <w:hideMark/>
          </w:tcPr>
          <w:p w14:paraId="44C05F6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048" w:type="dxa"/>
            <w:tcBorders>
              <w:top w:val="nil"/>
              <w:left w:val="nil"/>
              <w:bottom w:val="single" w:sz="4" w:space="0" w:color="auto"/>
              <w:right w:val="single" w:sz="4" w:space="0" w:color="auto"/>
            </w:tcBorders>
            <w:noWrap/>
            <w:vAlign w:val="bottom"/>
            <w:hideMark/>
          </w:tcPr>
          <w:p w14:paraId="2318924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8,40</w:t>
            </w:r>
          </w:p>
        </w:tc>
      </w:tr>
      <w:tr w:rsidR="00C82BCC" w14:paraId="57CF4887"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79737F5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Dosis Mg </w:t>
            </w:r>
          </w:p>
        </w:tc>
        <w:tc>
          <w:tcPr>
            <w:tcW w:w="1200" w:type="dxa"/>
            <w:tcBorders>
              <w:top w:val="nil"/>
              <w:left w:val="nil"/>
              <w:bottom w:val="single" w:sz="4" w:space="0" w:color="auto"/>
              <w:right w:val="single" w:sz="4" w:space="0" w:color="auto"/>
            </w:tcBorders>
            <w:noWrap/>
            <w:vAlign w:val="bottom"/>
            <w:hideMark/>
          </w:tcPr>
          <w:p w14:paraId="5EE84BF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1366,17</w:t>
            </w:r>
          </w:p>
        </w:tc>
        <w:tc>
          <w:tcPr>
            <w:tcW w:w="823" w:type="dxa"/>
            <w:tcBorders>
              <w:top w:val="nil"/>
              <w:left w:val="nil"/>
              <w:bottom w:val="single" w:sz="4" w:space="0" w:color="auto"/>
              <w:right w:val="single" w:sz="4" w:space="0" w:color="auto"/>
            </w:tcBorders>
            <w:noWrap/>
            <w:vAlign w:val="bottom"/>
            <w:hideMark/>
          </w:tcPr>
          <w:p w14:paraId="10B6828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200" w:type="dxa"/>
            <w:tcBorders>
              <w:top w:val="nil"/>
              <w:left w:val="nil"/>
              <w:bottom w:val="single" w:sz="4" w:space="0" w:color="auto"/>
              <w:right w:val="single" w:sz="4" w:space="0" w:color="auto"/>
            </w:tcBorders>
            <w:noWrap/>
            <w:vAlign w:val="bottom"/>
            <w:hideMark/>
          </w:tcPr>
          <w:p w14:paraId="44B9E89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341,54</w:t>
            </w:r>
          </w:p>
        </w:tc>
        <w:tc>
          <w:tcPr>
            <w:tcW w:w="926" w:type="dxa"/>
            <w:tcBorders>
              <w:top w:val="nil"/>
              <w:left w:val="nil"/>
              <w:bottom w:val="single" w:sz="4" w:space="0" w:color="auto"/>
              <w:right w:val="single" w:sz="4" w:space="0" w:color="auto"/>
            </w:tcBorders>
            <w:noWrap/>
            <w:vAlign w:val="bottom"/>
            <w:hideMark/>
          </w:tcPr>
          <w:p w14:paraId="2B1D564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7,2</w:t>
            </w:r>
          </w:p>
        </w:tc>
        <w:tc>
          <w:tcPr>
            <w:tcW w:w="936" w:type="dxa"/>
            <w:tcBorders>
              <w:top w:val="nil"/>
              <w:left w:val="nil"/>
              <w:bottom w:val="single" w:sz="4" w:space="0" w:color="auto"/>
              <w:right w:val="single" w:sz="4" w:space="0" w:color="auto"/>
            </w:tcBorders>
            <w:noWrap/>
            <w:vAlign w:val="bottom"/>
            <w:hideMark/>
          </w:tcPr>
          <w:p w14:paraId="1F84B99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&lt;0,0001</w:t>
            </w:r>
          </w:p>
        </w:tc>
        <w:tc>
          <w:tcPr>
            <w:tcW w:w="1048" w:type="dxa"/>
            <w:tcBorders>
              <w:top w:val="nil"/>
              <w:left w:val="nil"/>
              <w:bottom w:val="single" w:sz="4" w:space="0" w:color="auto"/>
              <w:right w:val="single" w:sz="4" w:space="0" w:color="auto"/>
            </w:tcBorders>
            <w:noWrap/>
            <w:vAlign w:val="bottom"/>
            <w:hideMark/>
          </w:tcPr>
          <w:p w14:paraId="41CFB13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6,79</w:t>
            </w:r>
          </w:p>
        </w:tc>
      </w:tr>
      <w:tr w:rsidR="00C82BCC" w14:paraId="7DB75018"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461E34F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Error    </w:t>
            </w:r>
          </w:p>
        </w:tc>
        <w:tc>
          <w:tcPr>
            <w:tcW w:w="1200" w:type="dxa"/>
            <w:tcBorders>
              <w:top w:val="nil"/>
              <w:left w:val="nil"/>
              <w:bottom w:val="single" w:sz="4" w:space="0" w:color="auto"/>
              <w:right w:val="single" w:sz="4" w:space="0" w:color="auto"/>
            </w:tcBorders>
            <w:noWrap/>
            <w:vAlign w:val="bottom"/>
            <w:hideMark/>
          </w:tcPr>
          <w:p w14:paraId="0FE1C97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9913,34</w:t>
            </w:r>
          </w:p>
        </w:tc>
        <w:tc>
          <w:tcPr>
            <w:tcW w:w="823" w:type="dxa"/>
            <w:tcBorders>
              <w:top w:val="nil"/>
              <w:left w:val="nil"/>
              <w:bottom w:val="single" w:sz="4" w:space="0" w:color="auto"/>
              <w:right w:val="single" w:sz="4" w:space="0" w:color="auto"/>
            </w:tcBorders>
            <w:noWrap/>
            <w:vAlign w:val="bottom"/>
            <w:hideMark/>
          </w:tcPr>
          <w:p w14:paraId="63FB5BE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209</w:t>
            </w:r>
          </w:p>
        </w:tc>
        <w:tc>
          <w:tcPr>
            <w:tcW w:w="1200" w:type="dxa"/>
            <w:tcBorders>
              <w:top w:val="nil"/>
              <w:left w:val="nil"/>
              <w:bottom w:val="single" w:sz="4" w:space="0" w:color="auto"/>
              <w:right w:val="single" w:sz="4" w:space="0" w:color="auto"/>
            </w:tcBorders>
            <w:noWrap/>
            <w:vAlign w:val="bottom"/>
            <w:hideMark/>
          </w:tcPr>
          <w:p w14:paraId="3D01C68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47,43</w:t>
            </w:r>
          </w:p>
        </w:tc>
        <w:tc>
          <w:tcPr>
            <w:tcW w:w="926" w:type="dxa"/>
            <w:tcBorders>
              <w:top w:val="nil"/>
              <w:left w:val="nil"/>
              <w:bottom w:val="single" w:sz="4" w:space="0" w:color="auto"/>
              <w:right w:val="single" w:sz="4" w:space="0" w:color="auto"/>
            </w:tcBorders>
            <w:noWrap/>
            <w:vAlign w:val="bottom"/>
            <w:hideMark/>
          </w:tcPr>
          <w:p w14:paraId="0829C41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36" w:type="dxa"/>
            <w:tcBorders>
              <w:top w:val="nil"/>
              <w:left w:val="nil"/>
              <w:bottom w:val="single" w:sz="4" w:space="0" w:color="auto"/>
              <w:right w:val="single" w:sz="4" w:space="0" w:color="auto"/>
            </w:tcBorders>
            <w:noWrap/>
            <w:vAlign w:val="bottom"/>
            <w:hideMark/>
          </w:tcPr>
          <w:p w14:paraId="4554962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048" w:type="dxa"/>
            <w:tcBorders>
              <w:top w:val="nil"/>
              <w:left w:val="nil"/>
              <w:bottom w:val="single" w:sz="4" w:space="0" w:color="auto"/>
              <w:right w:val="single" w:sz="4" w:space="0" w:color="auto"/>
            </w:tcBorders>
            <w:noWrap/>
            <w:vAlign w:val="bottom"/>
            <w:hideMark/>
          </w:tcPr>
          <w:p w14:paraId="591109F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49,25</w:t>
            </w:r>
          </w:p>
        </w:tc>
      </w:tr>
      <w:tr w:rsidR="00C82BCC" w14:paraId="7EEB3734" w14:textId="77777777" w:rsidTr="00F619ED">
        <w:trPr>
          <w:trHeight w:val="300"/>
        </w:trPr>
        <w:tc>
          <w:tcPr>
            <w:tcW w:w="1800" w:type="dxa"/>
            <w:tcBorders>
              <w:top w:val="nil"/>
              <w:left w:val="single" w:sz="4" w:space="0" w:color="auto"/>
              <w:bottom w:val="single" w:sz="4" w:space="0" w:color="auto"/>
              <w:right w:val="single" w:sz="4" w:space="0" w:color="auto"/>
            </w:tcBorders>
            <w:noWrap/>
            <w:vAlign w:val="bottom"/>
            <w:hideMark/>
          </w:tcPr>
          <w:p w14:paraId="7C8897F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Total    </w:t>
            </w:r>
          </w:p>
        </w:tc>
        <w:tc>
          <w:tcPr>
            <w:tcW w:w="1200" w:type="dxa"/>
            <w:tcBorders>
              <w:top w:val="nil"/>
              <w:left w:val="nil"/>
              <w:bottom w:val="single" w:sz="4" w:space="0" w:color="auto"/>
              <w:right w:val="single" w:sz="4" w:space="0" w:color="auto"/>
            </w:tcBorders>
            <w:noWrap/>
            <w:vAlign w:val="bottom"/>
            <w:hideMark/>
          </w:tcPr>
          <w:p w14:paraId="1F3B94B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20130,58</w:t>
            </w:r>
          </w:p>
        </w:tc>
        <w:tc>
          <w:tcPr>
            <w:tcW w:w="823" w:type="dxa"/>
            <w:tcBorders>
              <w:top w:val="nil"/>
              <w:left w:val="nil"/>
              <w:bottom w:val="single" w:sz="4" w:space="0" w:color="auto"/>
              <w:right w:val="single" w:sz="4" w:space="0" w:color="auto"/>
            </w:tcBorders>
            <w:noWrap/>
            <w:vAlign w:val="bottom"/>
            <w:hideMark/>
          </w:tcPr>
          <w:p w14:paraId="4BC4CED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240</w:t>
            </w:r>
          </w:p>
        </w:tc>
        <w:tc>
          <w:tcPr>
            <w:tcW w:w="1200" w:type="dxa"/>
            <w:tcBorders>
              <w:top w:val="nil"/>
              <w:left w:val="nil"/>
              <w:bottom w:val="single" w:sz="4" w:space="0" w:color="auto"/>
              <w:right w:val="single" w:sz="4" w:space="0" w:color="auto"/>
            </w:tcBorders>
            <w:noWrap/>
            <w:vAlign w:val="bottom"/>
            <w:hideMark/>
          </w:tcPr>
          <w:p w14:paraId="583F642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26" w:type="dxa"/>
            <w:tcBorders>
              <w:top w:val="nil"/>
              <w:left w:val="nil"/>
              <w:bottom w:val="single" w:sz="4" w:space="0" w:color="auto"/>
              <w:right w:val="single" w:sz="4" w:space="0" w:color="auto"/>
            </w:tcBorders>
            <w:noWrap/>
            <w:vAlign w:val="bottom"/>
            <w:hideMark/>
          </w:tcPr>
          <w:p w14:paraId="12F1C41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936" w:type="dxa"/>
            <w:tcBorders>
              <w:top w:val="nil"/>
              <w:left w:val="nil"/>
              <w:bottom w:val="single" w:sz="4" w:space="0" w:color="auto"/>
              <w:right w:val="single" w:sz="4" w:space="0" w:color="auto"/>
            </w:tcBorders>
            <w:noWrap/>
            <w:vAlign w:val="bottom"/>
            <w:hideMark/>
          </w:tcPr>
          <w:p w14:paraId="5FFBBE3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048" w:type="dxa"/>
            <w:tcBorders>
              <w:top w:val="nil"/>
              <w:left w:val="nil"/>
              <w:bottom w:val="single" w:sz="4" w:space="0" w:color="auto"/>
              <w:right w:val="single" w:sz="4" w:space="0" w:color="auto"/>
            </w:tcBorders>
            <w:noWrap/>
            <w:vAlign w:val="bottom"/>
            <w:hideMark/>
          </w:tcPr>
          <w:p w14:paraId="57BCBEA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5BAAFF43" w14:textId="515383E5" w:rsidR="00C82BCC" w:rsidRDefault="00C82BCC" w:rsidP="004A05F2">
      <w:pPr>
        <w:autoSpaceDE w:val="0"/>
        <w:autoSpaceDN w:val="0"/>
        <w:adjustRightInd w:val="0"/>
        <w:spacing w:before="360" w:after="360" w:line="360" w:lineRule="auto"/>
        <w:rPr>
          <w:rFonts w:cs="Times New Roman"/>
          <w:bCs/>
          <w:szCs w:val="24"/>
        </w:rPr>
      </w:pPr>
      <w:r>
        <w:rPr>
          <w:rFonts w:cs="Times New Roman"/>
          <w:bCs/>
          <w:szCs w:val="24"/>
        </w:rPr>
        <w:t xml:space="preserve">El modelo estadístico establecido explica el 50,75 % de la variación observada en los datos; siendo el magnesio 6,79 % y el nitrógeno el nutriente con más importancia que explicó el 13,39 % de la variación observada. Un 49,25 % de la variación se les atribuyó a efectos aleatorios que el modelo no pudo explicar (error). La provincia el fósforo, potasio, azufre, explicaron el 11,64 %, 4,45 %, 6,08 % y 8,40% de la </w:t>
      </w:r>
      <w:r>
        <w:rPr>
          <w:rFonts w:cs="Times New Roman"/>
          <w:szCs w:val="24"/>
        </w:rPr>
        <w:t xml:space="preserve">absorción total de potasio </w:t>
      </w:r>
      <w:r>
        <w:rPr>
          <w:rFonts w:cs="Times New Roman"/>
          <w:bCs/>
          <w:szCs w:val="24"/>
        </w:rPr>
        <w:t>respectivamente (</w:t>
      </w:r>
      <w:r w:rsidR="00273C68">
        <w:rPr>
          <w:rFonts w:cs="Times New Roman"/>
          <w:bCs/>
          <w:szCs w:val="24"/>
        </w:rPr>
        <w:t>Cuadro</w:t>
      </w:r>
      <w:r>
        <w:rPr>
          <w:rFonts w:cs="Times New Roman"/>
          <w:bCs/>
          <w:szCs w:val="24"/>
        </w:rPr>
        <w:t xml:space="preserve"> 17</w:t>
      </w:r>
      <w:r w:rsidR="0026663B">
        <w:rPr>
          <w:rFonts w:cs="Times New Roman"/>
          <w:bCs/>
          <w:szCs w:val="24"/>
        </w:rPr>
        <w:t>8</w:t>
      </w:r>
      <w:r>
        <w:rPr>
          <w:rFonts w:cs="Times New Roman"/>
          <w:bCs/>
          <w:szCs w:val="24"/>
        </w:rPr>
        <w:t xml:space="preserve">).  </w:t>
      </w:r>
    </w:p>
    <w:p w14:paraId="53094721" w14:textId="1BA0054C" w:rsidR="00C82BCC" w:rsidRDefault="00C82BCC" w:rsidP="00C82BCC">
      <w:pPr>
        <w:autoSpaceDE w:val="0"/>
        <w:autoSpaceDN w:val="0"/>
        <w:adjustRightInd w:val="0"/>
        <w:spacing w:after="0" w:line="360" w:lineRule="auto"/>
        <w:rPr>
          <w:rFonts w:cs="Times New Roman"/>
          <w:bCs/>
          <w:szCs w:val="24"/>
        </w:rPr>
      </w:pPr>
      <w:r>
        <w:rPr>
          <w:rFonts w:cs="Times New Roman"/>
          <w:bCs/>
          <w:szCs w:val="24"/>
        </w:rPr>
        <w:t>En l</w:t>
      </w:r>
      <w:r w:rsidR="00273C68">
        <w:rPr>
          <w:rFonts w:cs="Times New Roman"/>
          <w:bCs/>
          <w:szCs w:val="24"/>
        </w:rPr>
        <w:t>os cuadros</w:t>
      </w:r>
      <w:r>
        <w:rPr>
          <w:rFonts w:cs="Times New Roman"/>
          <w:bCs/>
          <w:szCs w:val="24"/>
        </w:rPr>
        <w:t xml:space="preserve"> </w:t>
      </w:r>
      <w:r w:rsidR="0039325D">
        <w:rPr>
          <w:rFonts w:cs="Times New Roman"/>
          <w:bCs/>
          <w:szCs w:val="24"/>
        </w:rPr>
        <w:t xml:space="preserve">177, </w:t>
      </w:r>
      <w:r>
        <w:rPr>
          <w:rFonts w:cs="Times New Roman"/>
          <w:bCs/>
          <w:szCs w:val="24"/>
        </w:rPr>
        <w:t>17</w:t>
      </w:r>
      <w:r w:rsidR="0026663B">
        <w:rPr>
          <w:rFonts w:cs="Times New Roman"/>
          <w:bCs/>
          <w:szCs w:val="24"/>
        </w:rPr>
        <w:t>8</w:t>
      </w:r>
      <w:r>
        <w:rPr>
          <w:rFonts w:cs="Times New Roman"/>
          <w:bCs/>
          <w:szCs w:val="24"/>
        </w:rPr>
        <w:t>, 17</w:t>
      </w:r>
      <w:r w:rsidR="0026663B">
        <w:rPr>
          <w:rFonts w:cs="Times New Roman"/>
          <w:bCs/>
          <w:szCs w:val="24"/>
        </w:rPr>
        <w:t>9</w:t>
      </w:r>
      <w:r>
        <w:rPr>
          <w:rFonts w:cs="Times New Roman"/>
          <w:bCs/>
          <w:szCs w:val="24"/>
        </w:rPr>
        <w:t>, 18</w:t>
      </w:r>
      <w:r w:rsidR="0026663B">
        <w:rPr>
          <w:rFonts w:cs="Times New Roman"/>
          <w:bCs/>
          <w:szCs w:val="24"/>
        </w:rPr>
        <w:t>0</w:t>
      </w:r>
      <w:r>
        <w:rPr>
          <w:rFonts w:cs="Times New Roman"/>
          <w:bCs/>
          <w:szCs w:val="24"/>
        </w:rPr>
        <w:t>, 1</w:t>
      </w:r>
      <w:r w:rsidR="0026663B">
        <w:rPr>
          <w:rFonts w:cs="Times New Roman"/>
          <w:bCs/>
          <w:szCs w:val="24"/>
        </w:rPr>
        <w:t>81</w:t>
      </w:r>
      <w:r w:rsidR="0039325D">
        <w:rPr>
          <w:rFonts w:cs="Times New Roman"/>
          <w:bCs/>
          <w:szCs w:val="24"/>
        </w:rPr>
        <w:t xml:space="preserve"> </w:t>
      </w:r>
      <w:r w:rsidR="002111F0">
        <w:rPr>
          <w:rFonts w:cs="Times New Roman"/>
          <w:bCs/>
          <w:szCs w:val="24"/>
        </w:rPr>
        <w:t>y 182</w:t>
      </w:r>
      <w:r>
        <w:rPr>
          <w:rFonts w:cs="Times New Roman"/>
          <w:bCs/>
          <w:szCs w:val="24"/>
        </w:rPr>
        <w:t xml:space="preserve"> se presentan los promedios y el error estándar de a</w:t>
      </w:r>
      <w:r w:rsidR="001B6327">
        <w:rPr>
          <w:rFonts w:cs="Times New Roman"/>
          <w:bCs/>
          <w:szCs w:val="24"/>
        </w:rPr>
        <w:t>b</w:t>
      </w:r>
      <w:r>
        <w:rPr>
          <w:rFonts w:cs="Times New Roman"/>
          <w:bCs/>
          <w:szCs w:val="24"/>
        </w:rPr>
        <w:t xml:space="preserve">sorción de magnesio por efecto de las localidades (provincia) y los niveles de nitrógeno, fósforo, potasio, azufre, magnesio con su respectiva prueba de Lsd Fisher (alfa=0,05). </w:t>
      </w:r>
    </w:p>
    <w:p w14:paraId="7C91F836" w14:textId="4ABB0A16" w:rsidR="008A6AF7" w:rsidRPr="008A6AF7" w:rsidRDefault="008A6AF7" w:rsidP="008A6AF7">
      <w:pPr>
        <w:pStyle w:val="Descripcin"/>
        <w:keepNext/>
        <w:rPr>
          <w:rFonts w:cs="Times New Roman"/>
          <w:i w:val="0"/>
          <w:iCs w:val="0"/>
          <w:color w:val="auto"/>
          <w:sz w:val="24"/>
          <w:szCs w:val="24"/>
          <w:lang w:eastAsia="en-US"/>
        </w:rPr>
      </w:pPr>
      <w:bookmarkStart w:id="2209" w:name="_Toc79314169"/>
      <w:r w:rsidRPr="008A6AF7">
        <w:rPr>
          <w:rFonts w:cs="Times New Roman"/>
          <w:b/>
          <w:i w:val="0"/>
          <w:iCs w:val="0"/>
          <w:color w:val="auto"/>
          <w:sz w:val="24"/>
          <w:szCs w:val="24"/>
          <w:lang w:eastAsia="en-US"/>
        </w:rPr>
        <w:lastRenderedPageBreak/>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177</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w:t>
      </w:r>
      <w:r w:rsidRPr="008A6AF7">
        <w:rPr>
          <w:rFonts w:cs="Times New Roman"/>
          <w:i w:val="0"/>
          <w:iCs w:val="0"/>
          <w:color w:val="auto"/>
          <w:sz w:val="24"/>
          <w:szCs w:val="24"/>
          <w:lang w:eastAsia="en-US"/>
        </w:rPr>
        <w:t xml:space="preserve"> Absorción total de magnesio en plantas de maíz suave evaluadas en las provincias de Bolívar, Chimborazo, Imbabura 2006-2015.</w:t>
      </w:r>
      <w:bookmarkEnd w:id="2209"/>
    </w:p>
    <w:tbl>
      <w:tblPr>
        <w:tblW w:w="7800" w:type="dxa"/>
        <w:jc w:val="center"/>
        <w:tblCellMar>
          <w:left w:w="70" w:type="dxa"/>
          <w:right w:w="70" w:type="dxa"/>
        </w:tblCellMar>
        <w:tblLook w:val="04A0" w:firstRow="1" w:lastRow="0" w:firstColumn="1" w:lastColumn="0" w:noHBand="0" w:noVBand="1"/>
      </w:tblPr>
      <w:tblGrid>
        <w:gridCol w:w="1800"/>
        <w:gridCol w:w="1200"/>
        <w:gridCol w:w="539"/>
        <w:gridCol w:w="1861"/>
        <w:gridCol w:w="1200"/>
        <w:gridCol w:w="1200"/>
      </w:tblGrid>
      <w:tr w:rsidR="00C82BCC" w14:paraId="37133736" w14:textId="77777777" w:rsidTr="00AB3BAB">
        <w:trPr>
          <w:trHeight w:val="300"/>
          <w:jc w:val="center"/>
        </w:trPr>
        <w:tc>
          <w:tcPr>
            <w:tcW w:w="1800" w:type="dxa"/>
            <w:tcBorders>
              <w:top w:val="single" w:sz="4" w:space="0" w:color="auto"/>
              <w:left w:val="single" w:sz="4" w:space="0" w:color="auto"/>
              <w:bottom w:val="single" w:sz="4" w:space="0" w:color="auto"/>
              <w:right w:val="single" w:sz="4" w:space="0" w:color="auto"/>
            </w:tcBorders>
            <w:noWrap/>
            <w:vAlign w:val="bottom"/>
            <w:hideMark/>
          </w:tcPr>
          <w:p w14:paraId="64AFF528"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Provincia </w:t>
            </w:r>
          </w:p>
        </w:tc>
        <w:tc>
          <w:tcPr>
            <w:tcW w:w="1200" w:type="dxa"/>
            <w:tcBorders>
              <w:top w:val="single" w:sz="4" w:space="0" w:color="auto"/>
              <w:left w:val="nil"/>
              <w:bottom w:val="single" w:sz="4" w:space="0" w:color="auto"/>
              <w:right w:val="single" w:sz="4" w:space="0" w:color="auto"/>
            </w:tcBorders>
            <w:noWrap/>
            <w:vAlign w:val="bottom"/>
            <w:hideMark/>
          </w:tcPr>
          <w:p w14:paraId="4D5CF099"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39" w:type="dxa"/>
            <w:tcBorders>
              <w:top w:val="single" w:sz="4" w:space="0" w:color="auto"/>
              <w:left w:val="nil"/>
              <w:bottom w:val="single" w:sz="4" w:space="0" w:color="auto"/>
              <w:right w:val="single" w:sz="4" w:space="0" w:color="auto"/>
            </w:tcBorders>
            <w:noWrap/>
            <w:vAlign w:val="bottom"/>
            <w:hideMark/>
          </w:tcPr>
          <w:p w14:paraId="0186FB19"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61" w:type="dxa"/>
            <w:tcBorders>
              <w:top w:val="single" w:sz="4" w:space="0" w:color="auto"/>
              <w:left w:val="nil"/>
              <w:bottom w:val="single" w:sz="4" w:space="0" w:color="auto"/>
              <w:right w:val="single" w:sz="4" w:space="0" w:color="auto"/>
            </w:tcBorders>
            <w:noWrap/>
            <w:vAlign w:val="bottom"/>
            <w:hideMark/>
          </w:tcPr>
          <w:p w14:paraId="325B9592"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200" w:type="dxa"/>
            <w:tcBorders>
              <w:top w:val="single" w:sz="4" w:space="0" w:color="auto"/>
              <w:left w:val="single" w:sz="4" w:space="0" w:color="auto"/>
              <w:bottom w:val="single" w:sz="4" w:space="0" w:color="auto"/>
              <w:right w:val="nil"/>
            </w:tcBorders>
            <w:noWrap/>
            <w:vAlign w:val="bottom"/>
            <w:hideMark/>
          </w:tcPr>
          <w:p w14:paraId="7E85D150" w14:textId="77777777" w:rsidR="00C82BCC" w:rsidRDefault="00C82BCC" w:rsidP="004A05F2">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200" w:type="dxa"/>
            <w:tcBorders>
              <w:top w:val="single" w:sz="4" w:space="0" w:color="auto"/>
              <w:left w:val="nil"/>
              <w:bottom w:val="single" w:sz="4" w:space="0" w:color="auto"/>
              <w:right w:val="single" w:sz="4" w:space="0" w:color="auto"/>
            </w:tcBorders>
            <w:noWrap/>
            <w:vAlign w:val="bottom"/>
            <w:hideMark/>
          </w:tcPr>
          <w:p w14:paraId="6EBBD625" w14:textId="77777777" w:rsidR="00C82BCC" w:rsidRDefault="00C82BCC" w:rsidP="004A05F2">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6BC697F5" w14:textId="77777777" w:rsidTr="00AB3BAB">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739F08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Chimborazo</w:t>
            </w:r>
          </w:p>
        </w:tc>
        <w:tc>
          <w:tcPr>
            <w:tcW w:w="1200" w:type="dxa"/>
            <w:tcBorders>
              <w:top w:val="nil"/>
              <w:left w:val="nil"/>
              <w:bottom w:val="single" w:sz="4" w:space="0" w:color="auto"/>
              <w:right w:val="single" w:sz="4" w:space="0" w:color="auto"/>
            </w:tcBorders>
            <w:noWrap/>
            <w:vAlign w:val="bottom"/>
            <w:hideMark/>
          </w:tcPr>
          <w:p w14:paraId="04CC4F3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17,49</w:t>
            </w:r>
          </w:p>
        </w:tc>
        <w:tc>
          <w:tcPr>
            <w:tcW w:w="539" w:type="dxa"/>
            <w:tcBorders>
              <w:top w:val="nil"/>
              <w:left w:val="nil"/>
              <w:bottom w:val="single" w:sz="4" w:space="0" w:color="auto"/>
              <w:right w:val="single" w:sz="4" w:space="0" w:color="auto"/>
            </w:tcBorders>
            <w:noWrap/>
            <w:vAlign w:val="bottom"/>
            <w:hideMark/>
          </w:tcPr>
          <w:p w14:paraId="2D06EBD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82</w:t>
            </w:r>
          </w:p>
        </w:tc>
        <w:tc>
          <w:tcPr>
            <w:tcW w:w="1861" w:type="dxa"/>
            <w:tcBorders>
              <w:top w:val="nil"/>
              <w:left w:val="nil"/>
              <w:bottom w:val="single" w:sz="4" w:space="0" w:color="auto"/>
              <w:right w:val="single" w:sz="4" w:space="0" w:color="auto"/>
            </w:tcBorders>
            <w:noWrap/>
            <w:vAlign w:val="bottom"/>
            <w:hideMark/>
          </w:tcPr>
          <w:p w14:paraId="7D922CD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0,86</w:t>
            </w:r>
          </w:p>
        </w:tc>
        <w:tc>
          <w:tcPr>
            <w:tcW w:w="1200" w:type="dxa"/>
            <w:tcBorders>
              <w:top w:val="single" w:sz="4" w:space="0" w:color="auto"/>
              <w:left w:val="nil"/>
              <w:bottom w:val="single" w:sz="4" w:space="0" w:color="auto"/>
              <w:right w:val="single" w:sz="4" w:space="0" w:color="auto"/>
            </w:tcBorders>
            <w:noWrap/>
            <w:vAlign w:val="bottom"/>
            <w:hideMark/>
          </w:tcPr>
          <w:p w14:paraId="6BCEDB2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single" w:sz="4" w:space="0" w:color="auto"/>
              <w:left w:val="nil"/>
              <w:bottom w:val="single" w:sz="4" w:space="0" w:color="auto"/>
              <w:right w:val="single" w:sz="4" w:space="0" w:color="auto"/>
            </w:tcBorders>
            <w:noWrap/>
            <w:vAlign w:val="bottom"/>
            <w:hideMark/>
          </w:tcPr>
          <w:p w14:paraId="79B9E657"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22DDF4B" w14:textId="77777777" w:rsidTr="00AB3BAB">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3CC071B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Bolívar   </w:t>
            </w:r>
          </w:p>
        </w:tc>
        <w:tc>
          <w:tcPr>
            <w:tcW w:w="1200" w:type="dxa"/>
            <w:tcBorders>
              <w:top w:val="nil"/>
              <w:left w:val="nil"/>
              <w:bottom w:val="single" w:sz="4" w:space="0" w:color="auto"/>
              <w:right w:val="single" w:sz="4" w:space="0" w:color="auto"/>
            </w:tcBorders>
            <w:noWrap/>
            <w:vAlign w:val="bottom"/>
            <w:hideMark/>
          </w:tcPr>
          <w:p w14:paraId="3DD6452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18,67</w:t>
            </w:r>
          </w:p>
        </w:tc>
        <w:tc>
          <w:tcPr>
            <w:tcW w:w="539" w:type="dxa"/>
            <w:tcBorders>
              <w:top w:val="nil"/>
              <w:left w:val="nil"/>
              <w:bottom w:val="single" w:sz="4" w:space="0" w:color="auto"/>
              <w:right w:val="single" w:sz="4" w:space="0" w:color="auto"/>
            </w:tcBorders>
            <w:noWrap/>
            <w:vAlign w:val="bottom"/>
            <w:hideMark/>
          </w:tcPr>
          <w:p w14:paraId="6026D4C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90</w:t>
            </w:r>
          </w:p>
        </w:tc>
        <w:tc>
          <w:tcPr>
            <w:tcW w:w="1861" w:type="dxa"/>
            <w:tcBorders>
              <w:top w:val="nil"/>
              <w:left w:val="nil"/>
              <w:bottom w:val="single" w:sz="4" w:space="0" w:color="auto"/>
              <w:right w:val="single" w:sz="4" w:space="0" w:color="auto"/>
            </w:tcBorders>
            <w:noWrap/>
            <w:vAlign w:val="bottom"/>
            <w:hideMark/>
          </w:tcPr>
          <w:p w14:paraId="4CBEF08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0,94</w:t>
            </w:r>
          </w:p>
        </w:tc>
        <w:tc>
          <w:tcPr>
            <w:tcW w:w="1200" w:type="dxa"/>
            <w:tcBorders>
              <w:top w:val="nil"/>
              <w:left w:val="nil"/>
              <w:bottom w:val="single" w:sz="4" w:space="0" w:color="auto"/>
              <w:right w:val="single" w:sz="4" w:space="0" w:color="auto"/>
            </w:tcBorders>
            <w:noWrap/>
            <w:vAlign w:val="bottom"/>
            <w:hideMark/>
          </w:tcPr>
          <w:p w14:paraId="541E310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200" w:type="dxa"/>
            <w:tcBorders>
              <w:top w:val="nil"/>
              <w:left w:val="nil"/>
              <w:bottom w:val="single" w:sz="4" w:space="0" w:color="auto"/>
              <w:right w:val="single" w:sz="4" w:space="0" w:color="auto"/>
            </w:tcBorders>
            <w:noWrap/>
            <w:vAlign w:val="bottom"/>
            <w:hideMark/>
          </w:tcPr>
          <w:p w14:paraId="254BA60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C7E5CEB" w14:textId="77777777" w:rsidTr="00AB3BAB">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14DC1E4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Imbabura  </w:t>
            </w:r>
          </w:p>
        </w:tc>
        <w:tc>
          <w:tcPr>
            <w:tcW w:w="1200" w:type="dxa"/>
            <w:tcBorders>
              <w:top w:val="nil"/>
              <w:left w:val="nil"/>
              <w:bottom w:val="single" w:sz="4" w:space="0" w:color="auto"/>
              <w:right w:val="single" w:sz="4" w:space="0" w:color="auto"/>
            </w:tcBorders>
            <w:noWrap/>
            <w:vAlign w:val="bottom"/>
            <w:hideMark/>
          </w:tcPr>
          <w:p w14:paraId="5B82886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23,29</w:t>
            </w:r>
          </w:p>
        </w:tc>
        <w:tc>
          <w:tcPr>
            <w:tcW w:w="539" w:type="dxa"/>
            <w:tcBorders>
              <w:top w:val="nil"/>
              <w:left w:val="nil"/>
              <w:bottom w:val="single" w:sz="4" w:space="0" w:color="auto"/>
              <w:right w:val="single" w:sz="4" w:space="0" w:color="auto"/>
            </w:tcBorders>
            <w:noWrap/>
            <w:vAlign w:val="bottom"/>
            <w:hideMark/>
          </w:tcPr>
          <w:p w14:paraId="39B8700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w:t>
            </w:r>
          </w:p>
        </w:tc>
        <w:tc>
          <w:tcPr>
            <w:tcW w:w="1861" w:type="dxa"/>
            <w:tcBorders>
              <w:top w:val="nil"/>
              <w:left w:val="nil"/>
              <w:bottom w:val="single" w:sz="4" w:space="0" w:color="auto"/>
              <w:right w:val="single" w:sz="4" w:space="0" w:color="auto"/>
            </w:tcBorders>
            <w:noWrap/>
            <w:vAlign w:val="bottom"/>
            <w:hideMark/>
          </w:tcPr>
          <w:p w14:paraId="73AE796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0,91</w:t>
            </w:r>
          </w:p>
        </w:tc>
        <w:tc>
          <w:tcPr>
            <w:tcW w:w="1200" w:type="dxa"/>
            <w:tcBorders>
              <w:top w:val="nil"/>
              <w:left w:val="nil"/>
              <w:bottom w:val="single" w:sz="4" w:space="0" w:color="auto"/>
              <w:right w:val="single" w:sz="4" w:space="0" w:color="auto"/>
            </w:tcBorders>
            <w:noWrap/>
            <w:vAlign w:val="bottom"/>
            <w:hideMark/>
          </w:tcPr>
          <w:p w14:paraId="0773915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200" w:type="dxa"/>
            <w:tcBorders>
              <w:top w:val="nil"/>
              <w:left w:val="nil"/>
              <w:bottom w:val="single" w:sz="4" w:space="0" w:color="auto"/>
              <w:right w:val="single" w:sz="4" w:space="0" w:color="auto"/>
            </w:tcBorders>
            <w:noWrap/>
            <w:vAlign w:val="bottom"/>
            <w:hideMark/>
          </w:tcPr>
          <w:p w14:paraId="779AE63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3C32FF8A" w14:textId="75CA7059" w:rsidR="008A6AF7" w:rsidRPr="008A6AF7" w:rsidRDefault="008A6AF7" w:rsidP="004A05F2">
      <w:pPr>
        <w:pStyle w:val="Descripcin"/>
        <w:keepNext/>
        <w:spacing w:before="360"/>
        <w:rPr>
          <w:rFonts w:cs="Times New Roman"/>
          <w:i w:val="0"/>
          <w:iCs w:val="0"/>
          <w:color w:val="auto"/>
          <w:sz w:val="24"/>
          <w:szCs w:val="24"/>
          <w:lang w:eastAsia="en-US"/>
        </w:rPr>
      </w:pPr>
      <w:bookmarkStart w:id="2210" w:name="_Toc79314170"/>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178</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 xml:space="preserve">. </w:t>
      </w:r>
      <w:r w:rsidRPr="008A6AF7">
        <w:rPr>
          <w:rFonts w:cs="Times New Roman"/>
          <w:i w:val="0"/>
          <w:iCs w:val="0"/>
          <w:color w:val="auto"/>
          <w:sz w:val="24"/>
          <w:szCs w:val="24"/>
          <w:lang w:eastAsia="en-US"/>
        </w:rPr>
        <w:t>Absorción total de magnesio en plantas de maíz suave para diversas dosis de nitrógeno evaluado en las provincias de Bolívar, Chimborazo, Imbabura 2006-2015.</w:t>
      </w:r>
      <w:bookmarkEnd w:id="2210"/>
    </w:p>
    <w:tbl>
      <w:tblPr>
        <w:tblW w:w="7640" w:type="dxa"/>
        <w:jc w:val="center"/>
        <w:tblCellMar>
          <w:left w:w="70" w:type="dxa"/>
          <w:right w:w="70" w:type="dxa"/>
        </w:tblCellMar>
        <w:tblLook w:val="04A0" w:firstRow="1" w:lastRow="0" w:firstColumn="1" w:lastColumn="0" w:noHBand="0" w:noVBand="1"/>
      </w:tblPr>
      <w:tblGrid>
        <w:gridCol w:w="2045"/>
        <w:gridCol w:w="981"/>
        <w:gridCol w:w="518"/>
        <w:gridCol w:w="1788"/>
        <w:gridCol w:w="1154"/>
        <w:gridCol w:w="1154"/>
      </w:tblGrid>
      <w:tr w:rsidR="00C82BCC" w14:paraId="16DAC951" w14:textId="77777777" w:rsidTr="00273C68">
        <w:trPr>
          <w:trHeight w:val="223"/>
          <w:jc w:val="center"/>
        </w:trPr>
        <w:tc>
          <w:tcPr>
            <w:tcW w:w="2045" w:type="dxa"/>
            <w:tcBorders>
              <w:top w:val="single" w:sz="4" w:space="0" w:color="auto"/>
              <w:left w:val="single" w:sz="4" w:space="0" w:color="auto"/>
              <w:bottom w:val="single" w:sz="4" w:space="0" w:color="auto"/>
              <w:right w:val="single" w:sz="4" w:space="0" w:color="auto"/>
            </w:tcBorders>
            <w:noWrap/>
            <w:vAlign w:val="bottom"/>
            <w:hideMark/>
          </w:tcPr>
          <w:p w14:paraId="70F73B83"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N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981" w:type="dxa"/>
            <w:tcBorders>
              <w:top w:val="single" w:sz="4" w:space="0" w:color="auto"/>
              <w:left w:val="nil"/>
              <w:bottom w:val="single" w:sz="4" w:space="0" w:color="auto"/>
              <w:right w:val="single" w:sz="4" w:space="0" w:color="auto"/>
            </w:tcBorders>
            <w:noWrap/>
            <w:vAlign w:val="bottom"/>
            <w:hideMark/>
          </w:tcPr>
          <w:p w14:paraId="57B31330"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18" w:type="dxa"/>
            <w:tcBorders>
              <w:top w:val="single" w:sz="4" w:space="0" w:color="auto"/>
              <w:left w:val="nil"/>
              <w:bottom w:val="single" w:sz="4" w:space="0" w:color="auto"/>
              <w:right w:val="single" w:sz="4" w:space="0" w:color="auto"/>
            </w:tcBorders>
            <w:noWrap/>
            <w:vAlign w:val="bottom"/>
            <w:hideMark/>
          </w:tcPr>
          <w:p w14:paraId="0BF4095C"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88" w:type="dxa"/>
            <w:tcBorders>
              <w:top w:val="single" w:sz="4" w:space="0" w:color="auto"/>
              <w:left w:val="nil"/>
              <w:bottom w:val="single" w:sz="4" w:space="0" w:color="auto"/>
              <w:right w:val="single" w:sz="4" w:space="0" w:color="auto"/>
            </w:tcBorders>
            <w:noWrap/>
            <w:vAlign w:val="bottom"/>
            <w:hideMark/>
          </w:tcPr>
          <w:p w14:paraId="2C17B7A2"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154" w:type="dxa"/>
            <w:tcBorders>
              <w:top w:val="single" w:sz="4" w:space="0" w:color="auto"/>
              <w:left w:val="single" w:sz="4" w:space="0" w:color="auto"/>
              <w:bottom w:val="single" w:sz="4" w:space="0" w:color="auto"/>
              <w:right w:val="nil"/>
            </w:tcBorders>
            <w:noWrap/>
            <w:vAlign w:val="bottom"/>
            <w:hideMark/>
          </w:tcPr>
          <w:p w14:paraId="24EC97F2" w14:textId="77777777" w:rsidR="00C82BCC" w:rsidRDefault="00C82BCC" w:rsidP="004A05F2">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154" w:type="dxa"/>
            <w:tcBorders>
              <w:top w:val="single" w:sz="4" w:space="0" w:color="auto"/>
              <w:left w:val="nil"/>
              <w:bottom w:val="single" w:sz="4" w:space="0" w:color="auto"/>
              <w:right w:val="single" w:sz="4" w:space="0" w:color="auto"/>
            </w:tcBorders>
            <w:noWrap/>
            <w:vAlign w:val="bottom"/>
            <w:hideMark/>
          </w:tcPr>
          <w:p w14:paraId="238DED71" w14:textId="77777777" w:rsidR="00C82BCC" w:rsidRDefault="00C82BCC" w:rsidP="004A05F2">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7DCAEC5E"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6269E3E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w:t>
            </w:r>
          </w:p>
        </w:tc>
        <w:tc>
          <w:tcPr>
            <w:tcW w:w="981" w:type="dxa"/>
            <w:tcBorders>
              <w:top w:val="nil"/>
              <w:left w:val="nil"/>
              <w:bottom w:val="single" w:sz="4" w:space="0" w:color="auto"/>
              <w:right w:val="single" w:sz="4" w:space="0" w:color="auto"/>
            </w:tcBorders>
            <w:noWrap/>
            <w:vAlign w:val="bottom"/>
            <w:hideMark/>
          </w:tcPr>
          <w:p w14:paraId="135990C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14,31</w:t>
            </w:r>
          </w:p>
        </w:tc>
        <w:tc>
          <w:tcPr>
            <w:tcW w:w="518" w:type="dxa"/>
            <w:tcBorders>
              <w:top w:val="nil"/>
              <w:left w:val="nil"/>
              <w:bottom w:val="single" w:sz="4" w:space="0" w:color="auto"/>
              <w:right w:val="single" w:sz="4" w:space="0" w:color="auto"/>
            </w:tcBorders>
            <w:noWrap/>
            <w:vAlign w:val="bottom"/>
            <w:hideMark/>
          </w:tcPr>
          <w:p w14:paraId="6E13028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88" w:type="dxa"/>
            <w:tcBorders>
              <w:top w:val="nil"/>
              <w:left w:val="nil"/>
              <w:bottom w:val="single" w:sz="4" w:space="0" w:color="auto"/>
              <w:right w:val="single" w:sz="4" w:space="0" w:color="auto"/>
            </w:tcBorders>
            <w:noWrap/>
            <w:vAlign w:val="bottom"/>
            <w:hideMark/>
          </w:tcPr>
          <w:p w14:paraId="6A5584C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6,92</w:t>
            </w:r>
          </w:p>
        </w:tc>
        <w:tc>
          <w:tcPr>
            <w:tcW w:w="1154" w:type="dxa"/>
            <w:tcBorders>
              <w:top w:val="single" w:sz="4" w:space="0" w:color="auto"/>
              <w:left w:val="nil"/>
              <w:bottom w:val="single" w:sz="4" w:space="0" w:color="auto"/>
              <w:right w:val="single" w:sz="4" w:space="0" w:color="auto"/>
            </w:tcBorders>
            <w:noWrap/>
            <w:vAlign w:val="bottom"/>
            <w:hideMark/>
          </w:tcPr>
          <w:p w14:paraId="6DD4CBD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single" w:sz="4" w:space="0" w:color="auto"/>
              <w:left w:val="nil"/>
              <w:bottom w:val="single" w:sz="4" w:space="0" w:color="auto"/>
              <w:right w:val="single" w:sz="4" w:space="0" w:color="auto"/>
            </w:tcBorders>
            <w:noWrap/>
            <w:vAlign w:val="bottom"/>
            <w:hideMark/>
          </w:tcPr>
          <w:p w14:paraId="179D04B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A6559F2"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6CDAD71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981" w:type="dxa"/>
            <w:tcBorders>
              <w:top w:val="nil"/>
              <w:left w:val="nil"/>
              <w:bottom w:val="single" w:sz="4" w:space="0" w:color="auto"/>
              <w:right w:val="single" w:sz="4" w:space="0" w:color="auto"/>
            </w:tcBorders>
            <w:noWrap/>
            <w:vAlign w:val="bottom"/>
            <w:hideMark/>
          </w:tcPr>
          <w:p w14:paraId="2279B05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16,33</w:t>
            </w:r>
          </w:p>
        </w:tc>
        <w:tc>
          <w:tcPr>
            <w:tcW w:w="518" w:type="dxa"/>
            <w:tcBorders>
              <w:top w:val="nil"/>
              <w:left w:val="nil"/>
              <w:bottom w:val="single" w:sz="4" w:space="0" w:color="auto"/>
              <w:right w:val="single" w:sz="4" w:space="0" w:color="auto"/>
            </w:tcBorders>
            <w:noWrap/>
            <w:vAlign w:val="bottom"/>
            <w:hideMark/>
          </w:tcPr>
          <w:p w14:paraId="316FF67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74</w:t>
            </w:r>
          </w:p>
        </w:tc>
        <w:tc>
          <w:tcPr>
            <w:tcW w:w="1788" w:type="dxa"/>
            <w:tcBorders>
              <w:top w:val="nil"/>
              <w:left w:val="nil"/>
              <w:bottom w:val="single" w:sz="4" w:space="0" w:color="auto"/>
              <w:right w:val="single" w:sz="4" w:space="0" w:color="auto"/>
            </w:tcBorders>
            <w:noWrap/>
            <w:vAlign w:val="bottom"/>
            <w:hideMark/>
          </w:tcPr>
          <w:p w14:paraId="2F4F17C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0,87</w:t>
            </w:r>
          </w:p>
        </w:tc>
        <w:tc>
          <w:tcPr>
            <w:tcW w:w="1154" w:type="dxa"/>
            <w:tcBorders>
              <w:top w:val="nil"/>
              <w:left w:val="nil"/>
              <w:bottom w:val="single" w:sz="4" w:space="0" w:color="auto"/>
              <w:right w:val="single" w:sz="4" w:space="0" w:color="auto"/>
            </w:tcBorders>
            <w:noWrap/>
            <w:vAlign w:val="bottom"/>
            <w:hideMark/>
          </w:tcPr>
          <w:p w14:paraId="08504AB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nil"/>
              <w:left w:val="nil"/>
              <w:bottom w:val="single" w:sz="4" w:space="0" w:color="auto"/>
              <w:right w:val="single" w:sz="4" w:space="0" w:color="auto"/>
            </w:tcBorders>
            <w:noWrap/>
            <w:vAlign w:val="bottom"/>
            <w:hideMark/>
          </w:tcPr>
          <w:p w14:paraId="0B4F406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4A2FAE9"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1D38862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27</w:t>
            </w:r>
          </w:p>
        </w:tc>
        <w:tc>
          <w:tcPr>
            <w:tcW w:w="981" w:type="dxa"/>
            <w:tcBorders>
              <w:top w:val="nil"/>
              <w:left w:val="nil"/>
              <w:bottom w:val="single" w:sz="4" w:space="0" w:color="auto"/>
              <w:right w:val="single" w:sz="4" w:space="0" w:color="auto"/>
            </w:tcBorders>
            <w:noWrap/>
            <w:vAlign w:val="bottom"/>
            <w:hideMark/>
          </w:tcPr>
          <w:p w14:paraId="1C7FA67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18,78</w:t>
            </w:r>
          </w:p>
        </w:tc>
        <w:tc>
          <w:tcPr>
            <w:tcW w:w="518" w:type="dxa"/>
            <w:tcBorders>
              <w:top w:val="nil"/>
              <w:left w:val="nil"/>
              <w:bottom w:val="single" w:sz="4" w:space="0" w:color="auto"/>
              <w:right w:val="single" w:sz="4" w:space="0" w:color="auto"/>
            </w:tcBorders>
            <w:noWrap/>
            <w:vAlign w:val="bottom"/>
            <w:hideMark/>
          </w:tcPr>
          <w:p w14:paraId="682104D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88" w:type="dxa"/>
            <w:tcBorders>
              <w:top w:val="nil"/>
              <w:left w:val="nil"/>
              <w:bottom w:val="single" w:sz="4" w:space="0" w:color="auto"/>
              <w:right w:val="single" w:sz="4" w:space="0" w:color="auto"/>
            </w:tcBorders>
            <w:noWrap/>
            <w:vAlign w:val="bottom"/>
            <w:hideMark/>
          </w:tcPr>
          <w:p w14:paraId="55C339A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6,92</w:t>
            </w:r>
          </w:p>
        </w:tc>
        <w:tc>
          <w:tcPr>
            <w:tcW w:w="1154" w:type="dxa"/>
            <w:tcBorders>
              <w:top w:val="nil"/>
              <w:left w:val="nil"/>
              <w:bottom w:val="single" w:sz="4" w:space="0" w:color="auto"/>
              <w:right w:val="single" w:sz="4" w:space="0" w:color="auto"/>
            </w:tcBorders>
            <w:noWrap/>
            <w:vAlign w:val="bottom"/>
            <w:hideMark/>
          </w:tcPr>
          <w:p w14:paraId="3D882A3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nil"/>
              <w:left w:val="nil"/>
              <w:bottom w:val="single" w:sz="4" w:space="0" w:color="auto"/>
              <w:right w:val="single" w:sz="4" w:space="0" w:color="auto"/>
            </w:tcBorders>
            <w:noWrap/>
            <w:vAlign w:val="bottom"/>
            <w:hideMark/>
          </w:tcPr>
          <w:p w14:paraId="2BC94D3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8CC10C9"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5B8099A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100</w:t>
            </w:r>
          </w:p>
        </w:tc>
        <w:tc>
          <w:tcPr>
            <w:tcW w:w="981" w:type="dxa"/>
            <w:tcBorders>
              <w:top w:val="nil"/>
              <w:left w:val="nil"/>
              <w:bottom w:val="single" w:sz="4" w:space="0" w:color="auto"/>
              <w:right w:val="single" w:sz="4" w:space="0" w:color="auto"/>
            </w:tcBorders>
            <w:noWrap/>
            <w:vAlign w:val="bottom"/>
            <w:hideMark/>
          </w:tcPr>
          <w:p w14:paraId="6F929F4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19,41</w:t>
            </w:r>
          </w:p>
        </w:tc>
        <w:tc>
          <w:tcPr>
            <w:tcW w:w="518" w:type="dxa"/>
            <w:tcBorders>
              <w:top w:val="nil"/>
              <w:left w:val="nil"/>
              <w:bottom w:val="single" w:sz="4" w:space="0" w:color="auto"/>
              <w:right w:val="single" w:sz="4" w:space="0" w:color="auto"/>
            </w:tcBorders>
            <w:noWrap/>
            <w:vAlign w:val="bottom"/>
            <w:hideMark/>
          </w:tcPr>
          <w:p w14:paraId="66F59FA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32</w:t>
            </w:r>
          </w:p>
        </w:tc>
        <w:tc>
          <w:tcPr>
            <w:tcW w:w="1788" w:type="dxa"/>
            <w:tcBorders>
              <w:top w:val="nil"/>
              <w:left w:val="nil"/>
              <w:bottom w:val="single" w:sz="4" w:space="0" w:color="auto"/>
              <w:right w:val="single" w:sz="4" w:space="0" w:color="auto"/>
            </w:tcBorders>
            <w:noWrap/>
            <w:vAlign w:val="bottom"/>
            <w:hideMark/>
          </w:tcPr>
          <w:p w14:paraId="77FA349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w:t>
            </w:r>
          </w:p>
        </w:tc>
        <w:tc>
          <w:tcPr>
            <w:tcW w:w="1154" w:type="dxa"/>
            <w:tcBorders>
              <w:top w:val="nil"/>
              <w:left w:val="nil"/>
              <w:bottom w:val="single" w:sz="4" w:space="0" w:color="auto"/>
              <w:right w:val="single" w:sz="4" w:space="0" w:color="auto"/>
            </w:tcBorders>
            <w:noWrap/>
            <w:vAlign w:val="bottom"/>
            <w:hideMark/>
          </w:tcPr>
          <w:p w14:paraId="54C1434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nil"/>
              <w:left w:val="nil"/>
              <w:bottom w:val="single" w:sz="4" w:space="0" w:color="auto"/>
              <w:right w:val="single" w:sz="4" w:space="0" w:color="auto"/>
            </w:tcBorders>
            <w:noWrap/>
            <w:vAlign w:val="bottom"/>
            <w:hideMark/>
          </w:tcPr>
          <w:p w14:paraId="153FB9EA"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EB3FBAB"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57ACD37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140</w:t>
            </w:r>
          </w:p>
        </w:tc>
        <w:tc>
          <w:tcPr>
            <w:tcW w:w="981" w:type="dxa"/>
            <w:tcBorders>
              <w:top w:val="nil"/>
              <w:left w:val="nil"/>
              <w:bottom w:val="single" w:sz="4" w:space="0" w:color="auto"/>
              <w:right w:val="single" w:sz="4" w:space="0" w:color="auto"/>
            </w:tcBorders>
            <w:noWrap/>
            <w:vAlign w:val="bottom"/>
            <w:hideMark/>
          </w:tcPr>
          <w:p w14:paraId="1C3A9F3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21,16</w:t>
            </w:r>
          </w:p>
        </w:tc>
        <w:tc>
          <w:tcPr>
            <w:tcW w:w="518" w:type="dxa"/>
            <w:tcBorders>
              <w:top w:val="nil"/>
              <w:left w:val="nil"/>
              <w:bottom w:val="single" w:sz="4" w:space="0" w:color="auto"/>
              <w:right w:val="single" w:sz="4" w:space="0" w:color="auto"/>
            </w:tcBorders>
            <w:noWrap/>
            <w:vAlign w:val="bottom"/>
            <w:hideMark/>
          </w:tcPr>
          <w:p w14:paraId="0FFB6A1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w:t>
            </w:r>
          </w:p>
        </w:tc>
        <w:tc>
          <w:tcPr>
            <w:tcW w:w="1788" w:type="dxa"/>
            <w:tcBorders>
              <w:top w:val="nil"/>
              <w:left w:val="nil"/>
              <w:bottom w:val="single" w:sz="4" w:space="0" w:color="auto"/>
              <w:right w:val="single" w:sz="4" w:space="0" w:color="auto"/>
            </w:tcBorders>
            <w:noWrap/>
            <w:vAlign w:val="bottom"/>
            <w:hideMark/>
          </w:tcPr>
          <w:p w14:paraId="3B2184B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1,26</w:t>
            </w:r>
          </w:p>
        </w:tc>
        <w:tc>
          <w:tcPr>
            <w:tcW w:w="1154" w:type="dxa"/>
            <w:tcBorders>
              <w:top w:val="nil"/>
              <w:left w:val="nil"/>
              <w:bottom w:val="single" w:sz="4" w:space="0" w:color="auto"/>
              <w:right w:val="single" w:sz="4" w:space="0" w:color="auto"/>
            </w:tcBorders>
            <w:noWrap/>
            <w:vAlign w:val="bottom"/>
            <w:hideMark/>
          </w:tcPr>
          <w:p w14:paraId="0FEC44B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nil"/>
              <w:left w:val="nil"/>
              <w:bottom w:val="single" w:sz="4" w:space="0" w:color="auto"/>
              <w:right w:val="single" w:sz="4" w:space="0" w:color="auto"/>
            </w:tcBorders>
            <w:noWrap/>
            <w:vAlign w:val="bottom"/>
            <w:hideMark/>
          </w:tcPr>
          <w:p w14:paraId="7614956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233B007A"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29CA769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150</w:t>
            </w:r>
          </w:p>
        </w:tc>
        <w:tc>
          <w:tcPr>
            <w:tcW w:w="981" w:type="dxa"/>
            <w:tcBorders>
              <w:top w:val="nil"/>
              <w:left w:val="nil"/>
              <w:bottom w:val="single" w:sz="4" w:space="0" w:color="auto"/>
              <w:right w:val="single" w:sz="4" w:space="0" w:color="auto"/>
            </w:tcBorders>
            <w:noWrap/>
            <w:vAlign w:val="bottom"/>
            <w:hideMark/>
          </w:tcPr>
          <w:p w14:paraId="57350DF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21,7</w:t>
            </w:r>
          </w:p>
        </w:tc>
        <w:tc>
          <w:tcPr>
            <w:tcW w:w="518" w:type="dxa"/>
            <w:tcBorders>
              <w:top w:val="nil"/>
              <w:left w:val="nil"/>
              <w:bottom w:val="single" w:sz="4" w:space="0" w:color="auto"/>
              <w:right w:val="single" w:sz="4" w:space="0" w:color="auto"/>
            </w:tcBorders>
            <w:noWrap/>
            <w:vAlign w:val="bottom"/>
            <w:hideMark/>
          </w:tcPr>
          <w:p w14:paraId="2964DD8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788" w:type="dxa"/>
            <w:tcBorders>
              <w:top w:val="nil"/>
              <w:left w:val="nil"/>
              <w:bottom w:val="single" w:sz="4" w:space="0" w:color="auto"/>
              <w:right w:val="single" w:sz="4" w:space="0" w:color="auto"/>
            </w:tcBorders>
            <w:noWrap/>
            <w:vAlign w:val="bottom"/>
            <w:hideMark/>
          </w:tcPr>
          <w:p w14:paraId="1D92302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3,49</w:t>
            </w:r>
          </w:p>
        </w:tc>
        <w:tc>
          <w:tcPr>
            <w:tcW w:w="1154" w:type="dxa"/>
            <w:tcBorders>
              <w:top w:val="nil"/>
              <w:left w:val="nil"/>
              <w:bottom w:val="single" w:sz="4" w:space="0" w:color="auto"/>
              <w:right w:val="single" w:sz="4" w:space="0" w:color="auto"/>
            </w:tcBorders>
            <w:noWrap/>
            <w:vAlign w:val="bottom"/>
            <w:hideMark/>
          </w:tcPr>
          <w:p w14:paraId="0C4DE19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nil"/>
              <w:left w:val="nil"/>
              <w:bottom w:val="single" w:sz="4" w:space="0" w:color="auto"/>
              <w:right w:val="single" w:sz="4" w:space="0" w:color="auto"/>
            </w:tcBorders>
            <w:noWrap/>
            <w:vAlign w:val="bottom"/>
            <w:hideMark/>
          </w:tcPr>
          <w:p w14:paraId="22D3679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7A936CE"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298E074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120</w:t>
            </w:r>
          </w:p>
        </w:tc>
        <w:tc>
          <w:tcPr>
            <w:tcW w:w="981" w:type="dxa"/>
            <w:tcBorders>
              <w:top w:val="nil"/>
              <w:left w:val="nil"/>
              <w:bottom w:val="single" w:sz="4" w:space="0" w:color="auto"/>
              <w:right w:val="single" w:sz="4" w:space="0" w:color="auto"/>
            </w:tcBorders>
            <w:noWrap/>
            <w:vAlign w:val="bottom"/>
            <w:hideMark/>
          </w:tcPr>
          <w:p w14:paraId="48B95EF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22,34</w:t>
            </w:r>
          </w:p>
        </w:tc>
        <w:tc>
          <w:tcPr>
            <w:tcW w:w="518" w:type="dxa"/>
            <w:tcBorders>
              <w:top w:val="nil"/>
              <w:left w:val="nil"/>
              <w:bottom w:val="single" w:sz="4" w:space="0" w:color="auto"/>
              <w:right w:val="single" w:sz="4" w:space="0" w:color="auto"/>
            </w:tcBorders>
            <w:noWrap/>
            <w:vAlign w:val="bottom"/>
            <w:hideMark/>
          </w:tcPr>
          <w:p w14:paraId="0A7E255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78</w:t>
            </w:r>
          </w:p>
        </w:tc>
        <w:tc>
          <w:tcPr>
            <w:tcW w:w="1788" w:type="dxa"/>
            <w:tcBorders>
              <w:top w:val="nil"/>
              <w:left w:val="nil"/>
              <w:bottom w:val="single" w:sz="4" w:space="0" w:color="auto"/>
              <w:right w:val="single" w:sz="4" w:space="0" w:color="auto"/>
            </w:tcBorders>
            <w:noWrap/>
            <w:vAlign w:val="bottom"/>
            <w:hideMark/>
          </w:tcPr>
          <w:p w14:paraId="246A759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0,91</w:t>
            </w:r>
          </w:p>
        </w:tc>
        <w:tc>
          <w:tcPr>
            <w:tcW w:w="1154" w:type="dxa"/>
            <w:tcBorders>
              <w:top w:val="nil"/>
              <w:left w:val="nil"/>
              <w:bottom w:val="single" w:sz="4" w:space="0" w:color="auto"/>
              <w:right w:val="single" w:sz="4" w:space="0" w:color="auto"/>
            </w:tcBorders>
            <w:noWrap/>
            <w:vAlign w:val="bottom"/>
            <w:hideMark/>
          </w:tcPr>
          <w:p w14:paraId="232EABB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nil"/>
              <w:left w:val="nil"/>
              <w:bottom w:val="single" w:sz="4" w:space="0" w:color="auto"/>
              <w:right w:val="single" w:sz="4" w:space="0" w:color="auto"/>
            </w:tcBorders>
            <w:noWrap/>
            <w:vAlign w:val="bottom"/>
            <w:hideMark/>
          </w:tcPr>
          <w:p w14:paraId="507DDD8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C1C0582"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01A8226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200</w:t>
            </w:r>
          </w:p>
        </w:tc>
        <w:tc>
          <w:tcPr>
            <w:tcW w:w="981" w:type="dxa"/>
            <w:tcBorders>
              <w:top w:val="nil"/>
              <w:left w:val="nil"/>
              <w:bottom w:val="single" w:sz="4" w:space="0" w:color="auto"/>
              <w:right w:val="single" w:sz="4" w:space="0" w:color="auto"/>
            </w:tcBorders>
            <w:noWrap/>
            <w:vAlign w:val="bottom"/>
            <w:hideMark/>
          </w:tcPr>
          <w:p w14:paraId="2A3B96CA"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23,11</w:t>
            </w:r>
          </w:p>
        </w:tc>
        <w:tc>
          <w:tcPr>
            <w:tcW w:w="518" w:type="dxa"/>
            <w:tcBorders>
              <w:top w:val="nil"/>
              <w:left w:val="nil"/>
              <w:bottom w:val="single" w:sz="4" w:space="0" w:color="auto"/>
              <w:right w:val="single" w:sz="4" w:space="0" w:color="auto"/>
            </w:tcBorders>
            <w:noWrap/>
            <w:vAlign w:val="bottom"/>
            <w:hideMark/>
          </w:tcPr>
          <w:p w14:paraId="4B149C0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w:t>
            </w:r>
          </w:p>
        </w:tc>
        <w:tc>
          <w:tcPr>
            <w:tcW w:w="1788" w:type="dxa"/>
            <w:tcBorders>
              <w:top w:val="nil"/>
              <w:left w:val="nil"/>
              <w:bottom w:val="single" w:sz="4" w:space="0" w:color="auto"/>
              <w:right w:val="single" w:sz="4" w:space="0" w:color="auto"/>
            </w:tcBorders>
            <w:noWrap/>
            <w:vAlign w:val="bottom"/>
            <w:hideMark/>
          </w:tcPr>
          <w:p w14:paraId="70B272F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3,55</w:t>
            </w:r>
          </w:p>
        </w:tc>
        <w:tc>
          <w:tcPr>
            <w:tcW w:w="1154" w:type="dxa"/>
            <w:tcBorders>
              <w:top w:val="nil"/>
              <w:left w:val="nil"/>
              <w:bottom w:val="single" w:sz="4" w:space="0" w:color="auto"/>
              <w:right w:val="single" w:sz="4" w:space="0" w:color="auto"/>
            </w:tcBorders>
            <w:noWrap/>
            <w:vAlign w:val="bottom"/>
            <w:hideMark/>
          </w:tcPr>
          <w:p w14:paraId="08F0B17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nil"/>
              <w:left w:val="nil"/>
              <w:bottom w:val="single" w:sz="4" w:space="0" w:color="auto"/>
              <w:right w:val="single" w:sz="4" w:space="0" w:color="auto"/>
            </w:tcBorders>
            <w:noWrap/>
            <w:vAlign w:val="bottom"/>
            <w:hideMark/>
          </w:tcPr>
          <w:p w14:paraId="14D5E0C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8D85DB3" w14:textId="77777777" w:rsidTr="00273C68">
        <w:trPr>
          <w:trHeight w:val="223"/>
          <w:jc w:val="center"/>
        </w:trPr>
        <w:tc>
          <w:tcPr>
            <w:tcW w:w="2045" w:type="dxa"/>
            <w:tcBorders>
              <w:top w:val="nil"/>
              <w:left w:val="single" w:sz="4" w:space="0" w:color="auto"/>
              <w:bottom w:val="single" w:sz="4" w:space="0" w:color="auto"/>
              <w:right w:val="single" w:sz="4" w:space="0" w:color="auto"/>
            </w:tcBorders>
            <w:noWrap/>
            <w:vAlign w:val="bottom"/>
            <w:hideMark/>
          </w:tcPr>
          <w:p w14:paraId="0A0C2B5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981" w:type="dxa"/>
            <w:tcBorders>
              <w:top w:val="nil"/>
              <w:left w:val="nil"/>
              <w:bottom w:val="single" w:sz="4" w:space="0" w:color="auto"/>
              <w:right w:val="single" w:sz="4" w:space="0" w:color="auto"/>
            </w:tcBorders>
            <w:noWrap/>
            <w:vAlign w:val="bottom"/>
            <w:hideMark/>
          </w:tcPr>
          <w:p w14:paraId="0FE662DF"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24,39</w:t>
            </w:r>
          </w:p>
        </w:tc>
        <w:tc>
          <w:tcPr>
            <w:tcW w:w="518" w:type="dxa"/>
            <w:tcBorders>
              <w:top w:val="nil"/>
              <w:left w:val="nil"/>
              <w:bottom w:val="single" w:sz="4" w:space="0" w:color="auto"/>
              <w:right w:val="single" w:sz="4" w:space="0" w:color="auto"/>
            </w:tcBorders>
            <w:noWrap/>
            <w:vAlign w:val="bottom"/>
            <w:hideMark/>
          </w:tcPr>
          <w:p w14:paraId="146BD17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11</w:t>
            </w:r>
          </w:p>
        </w:tc>
        <w:tc>
          <w:tcPr>
            <w:tcW w:w="1788" w:type="dxa"/>
            <w:tcBorders>
              <w:top w:val="nil"/>
              <w:left w:val="nil"/>
              <w:bottom w:val="single" w:sz="4" w:space="0" w:color="auto"/>
              <w:right w:val="single" w:sz="4" w:space="0" w:color="auto"/>
            </w:tcBorders>
            <w:noWrap/>
            <w:vAlign w:val="bottom"/>
            <w:hideMark/>
          </w:tcPr>
          <w:p w14:paraId="074E9A0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2,38</w:t>
            </w:r>
          </w:p>
        </w:tc>
        <w:tc>
          <w:tcPr>
            <w:tcW w:w="1154" w:type="dxa"/>
            <w:tcBorders>
              <w:top w:val="nil"/>
              <w:left w:val="nil"/>
              <w:bottom w:val="single" w:sz="4" w:space="0" w:color="auto"/>
              <w:right w:val="single" w:sz="4" w:space="0" w:color="auto"/>
            </w:tcBorders>
            <w:noWrap/>
            <w:vAlign w:val="bottom"/>
            <w:hideMark/>
          </w:tcPr>
          <w:p w14:paraId="6D776D9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4" w:type="dxa"/>
            <w:tcBorders>
              <w:top w:val="nil"/>
              <w:left w:val="nil"/>
              <w:bottom w:val="single" w:sz="4" w:space="0" w:color="auto"/>
              <w:right w:val="single" w:sz="4" w:space="0" w:color="auto"/>
            </w:tcBorders>
            <w:noWrap/>
            <w:vAlign w:val="bottom"/>
            <w:hideMark/>
          </w:tcPr>
          <w:p w14:paraId="19B4D191"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1F81BE56" w14:textId="18083328" w:rsidR="008A6AF7" w:rsidRPr="008A6AF7" w:rsidRDefault="008A6AF7" w:rsidP="004A05F2">
      <w:pPr>
        <w:pStyle w:val="Descripcin"/>
        <w:keepNext/>
        <w:spacing w:before="360"/>
        <w:rPr>
          <w:rFonts w:cs="Times New Roman"/>
          <w:i w:val="0"/>
          <w:iCs w:val="0"/>
          <w:color w:val="auto"/>
          <w:sz w:val="24"/>
          <w:szCs w:val="24"/>
          <w:lang w:eastAsia="en-US"/>
        </w:rPr>
      </w:pPr>
      <w:bookmarkStart w:id="2211" w:name="_Toc79314171"/>
      <w:r w:rsidRPr="008A6AF7">
        <w:rPr>
          <w:rFonts w:cs="Times New Roman"/>
          <w:b/>
          <w:i w:val="0"/>
          <w:iCs w:val="0"/>
          <w:color w:val="auto"/>
          <w:sz w:val="24"/>
          <w:szCs w:val="24"/>
          <w:lang w:eastAsia="en-US"/>
        </w:rPr>
        <w:t xml:space="preserve">Cuadro </w:t>
      </w:r>
      <w:r w:rsidRPr="008A6AF7">
        <w:rPr>
          <w:rFonts w:cs="Times New Roman"/>
          <w:b/>
          <w:i w:val="0"/>
          <w:iCs w:val="0"/>
          <w:color w:val="auto"/>
          <w:sz w:val="24"/>
          <w:szCs w:val="24"/>
          <w:lang w:eastAsia="en-US"/>
        </w:rPr>
        <w:fldChar w:fldCharType="begin"/>
      </w:r>
      <w:r w:rsidRPr="008A6AF7">
        <w:rPr>
          <w:rFonts w:cs="Times New Roman"/>
          <w:b/>
          <w:i w:val="0"/>
          <w:iCs w:val="0"/>
          <w:color w:val="auto"/>
          <w:sz w:val="24"/>
          <w:szCs w:val="24"/>
          <w:lang w:eastAsia="en-US"/>
        </w:rPr>
        <w:instrText xml:space="preserve"> SEQ Cuadro \* ARABIC </w:instrText>
      </w:r>
      <w:r w:rsidRPr="008A6AF7">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179</w:t>
      </w:r>
      <w:r w:rsidRPr="008A6AF7">
        <w:rPr>
          <w:rFonts w:cs="Times New Roman"/>
          <w:b/>
          <w:i w:val="0"/>
          <w:iCs w:val="0"/>
          <w:color w:val="auto"/>
          <w:sz w:val="24"/>
          <w:szCs w:val="24"/>
          <w:lang w:eastAsia="en-US"/>
        </w:rPr>
        <w:fldChar w:fldCharType="end"/>
      </w:r>
      <w:r w:rsidRPr="008A6AF7">
        <w:rPr>
          <w:rFonts w:cs="Times New Roman"/>
          <w:b/>
          <w:i w:val="0"/>
          <w:iCs w:val="0"/>
          <w:color w:val="auto"/>
          <w:sz w:val="24"/>
          <w:szCs w:val="24"/>
          <w:lang w:eastAsia="en-US"/>
        </w:rPr>
        <w:t xml:space="preserve">. </w:t>
      </w:r>
      <w:r w:rsidRPr="008A6AF7">
        <w:rPr>
          <w:rFonts w:cs="Times New Roman"/>
          <w:i w:val="0"/>
          <w:iCs w:val="0"/>
          <w:color w:val="auto"/>
          <w:sz w:val="24"/>
          <w:szCs w:val="24"/>
          <w:lang w:eastAsia="en-US"/>
        </w:rPr>
        <w:t>Absorción total de magnesio en plantas de maíz suave para diversas dosis de fósforo evaluado en las provincias de Bolívar, Chimborazo, Imbabura 2006-2015.</w:t>
      </w:r>
      <w:bookmarkEnd w:id="2211"/>
    </w:p>
    <w:tbl>
      <w:tblPr>
        <w:tblW w:w="7927" w:type="dxa"/>
        <w:jc w:val="center"/>
        <w:tblCellMar>
          <w:left w:w="70" w:type="dxa"/>
          <w:right w:w="70" w:type="dxa"/>
        </w:tblCellMar>
        <w:tblLook w:val="04A0" w:firstRow="1" w:lastRow="0" w:firstColumn="1" w:lastColumn="0" w:noHBand="0" w:noVBand="1"/>
      </w:tblPr>
      <w:tblGrid>
        <w:gridCol w:w="1980"/>
        <w:gridCol w:w="1471"/>
        <w:gridCol w:w="513"/>
        <w:gridCol w:w="1725"/>
        <w:gridCol w:w="1119"/>
        <w:gridCol w:w="1119"/>
      </w:tblGrid>
      <w:tr w:rsidR="00C82BCC" w14:paraId="4D8C0E33" w14:textId="77777777" w:rsidTr="00F93754">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05CC1D9"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P(kg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471" w:type="dxa"/>
            <w:tcBorders>
              <w:top w:val="single" w:sz="4" w:space="0" w:color="auto"/>
              <w:left w:val="nil"/>
              <w:bottom w:val="single" w:sz="4" w:space="0" w:color="auto"/>
              <w:right w:val="single" w:sz="4" w:space="0" w:color="auto"/>
            </w:tcBorders>
            <w:noWrap/>
            <w:vAlign w:val="bottom"/>
            <w:hideMark/>
          </w:tcPr>
          <w:p w14:paraId="11858D48"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13" w:type="dxa"/>
            <w:tcBorders>
              <w:top w:val="single" w:sz="4" w:space="0" w:color="auto"/>
              <w:left w:val="nil"/>
              <w:bottom w:val="single" w:sz="4" w:space="0" w:color="auto"/>
              <w:right w:val="single" w:sz="4" w:space="0" w:color="auto"/>
            </w:tcBorders>
            <w:noWrap/>
            <w:vAlign w:val="bottom"/>
            <w:hideMark/>
          </w:tcPr>
          <w:p w14:paraId="4B89C8C4"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25" w:type="dxa"/>
            <w:tcBorders>
              <w:top w:val="single" w:sz="4" w:space="0" w:color="auto"/>
              <w:left w:val="nil"/>
              <w:bottom w:val="single" w:sz="4" w:space="0" w:color="auto"/>
              <w:right w:val="single" w:sz="4" w:space="0" w:color="auto"/>
            </w:tcBorders>
            <w:noWrap/>
            <w:vAlign w:val="bottom"/>
            <w:hideMark/>
          </w:tcPr>
          <w:p w14:paraId="7FE7D739" w14:textId="77777777" w:rsidR="00C82BCC" w:rsidRDefault="00C82BCC" w:rsidP="004A05F2">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119" w:type="dxa"/>
            <w:tcBorders>
              <w:top w:val="single" w:sz="4" w:space="0" w:color="auto"/>
              <w:left w:val="single" w:sz="4" w:space="0" w:color="auto"/>
              <w:bottom w:val="single" w:sz="4" w:space="0" w:color="auto"/>
              <w:right w:val="nil"/>
            </w:tcBorders>
            <w:noWrap/>
            <w:vAlign w:val="bottom"/>
            <w:hideMark/>
          </w:tcPr>
          <w:p w14:paraId="7C38A59B" w14:textId="77777777" w:rsidR="00C82BCC" w:rsidRDefault="00C82BCC" w:rsidP="004A05F2">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119" w:type="dxa"/>
            <w:tcBorders>
              <w:top w:val="single" w:sz="4" w:space="0" w:color="auto"/>
              <w:left w:val="nil"/>
              <w:bottom w:val="single" w:sz="4" w:space="0" w:color="auto"/>
              <w:right w:val="single" w:sz="4" w:space="0" w:color="auto"/>
            </w:tcBorders>
            <w:noWrap/>
            <w:vAlign w:val="bottom"/>
            <w:hideMark/>
          </w:tcPr>
          <w:p w14:paraId="24362DE9" w14:textId="77777777" w:rsidR="00C82BCC" w:rsidRDefault="00C82BCC" w:rsidP="004A05F2">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3D0A1044"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1098A1B"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471" w:type="dxa"/>
            <w:tcBorders>
              <w:top w:val="nil"/>
              <w:left w:val="nil"/>
              <w:bottom w:val="single" w:sz="4" w:space="0" w:color="auto"/>
              <w:right w:val="single" w:sz="4" w:space="0" w:color="auto"/>
            </w:tcBorders>
            <w:noWrap/>
            <w:vAlign w:val="bottom"/>
            <w:hideMark/>
          </w:tcPr>
          <w:p w14:paraId="3603DD8A"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14,31</w:t>
            </w:r>
          </w:p>
        </w:tc>
        <w:tc>
          <w:tcPr>
            <w:tcW w:w="513" w:type="dxa"/>
            <w:tcBorders>
              <w:top w:val="nil"/>
              <w:left w:val="nil"/>
              <w:bottom w:val="single" w:sz="4" w:space="0" w:color="auto"/>
              <w:right w:val="single" w:sz="4" w:space="0" w:color="auto"/>
            </w:tcBorders>
            <w:noWrap/>
            <w:vAlign w:val="bottom"/>
            <w:hideMark/>
          </w:tcPr>
          <w:p w14:paraId="4D56C5A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5" w:type="dxa"/>
            <w:tcBorders>
              <w:top w:val="nil"/>
              <w:left w:val="nil"/>
              <w:bottom w:val="single" w:sz="4" w:space="0" w:color="auto"/>
              <w:right w:val="single" w:sz="4" w:space="0" w:color="auto"/>
            </w:tcBorders>
            <w:noWrap/>
            <w:vAlign w:val="bottom"/>
            <w:hideMark/>
          </w:tcPr>
          <w:p w14:paraId="14E9A5A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6,92</w:t>
            </w:r>
          </w:p>
        </w:tc>
        <w:tc>
          <w:tcPr>
            <w:tcW w:w="1119" w:type="dxa"/>
            <w:tcBorders>
              <w:top w:val="single" w:sz="4" w:space="0" w:color="auto"/>
              <w:left w:val="nil"/>
              <w:bottom w:val="single" w:sz="4" w:space="0" w:color="auto"/>
              <w:right w:val="single" w:sz="4" w:space="0" w:color="auto"/>
            </w:tcBorders>
            <w:noWrap/>
            <w:vAlign w:val="bottom"/>
            <w:hideMark/>
          </w:tcPr>
          <w:p w14:paraId="6284FFE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single" w:sz="4" w:space="0" w:color="auto"/>
              <w:left w:val="nil"/>
              <w:bottom w:val="single" w:sz="4" w:space="0" w:color="auto"/>
              <w:right w:val="single" w:sz="4" w:space="0" w:color="auto"/>
            </w:tcBorders>
            <w:noWrap/>
            <w:vAlign w:val="bottom"/>
            <w:hideMark/>
          </w:tcPr>
          <w:p w14:paraId="235989D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DEB3B94"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61ED0A7"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471" w:type="dxa"/>
            <w:tcBorders>
              <w:top w:val="nil"/>
              <w:left w:val="nil"/>
              <w:bottom w:val="single" w:sz="4" w:space="0" w:color="auto"/>
              <w:right w:val="single" w:sz="4" w:space="0" w:color="auto"/>
            </w:tcBorders>
            <w:noWrap/>
            <w:vAlign w:val="bottom"/>
            <w:hideMark/>
          </w:tcPr>
          <w:p w14:paraId="2737693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14,83</w:t>
            </w:r>
          </w:p>
        </w:tc>
        <w:tc>
          <w:tcPr>
            <w:tcW w:w="513" w:type="dxa"/>
            <w:tcBorders>
              <w:top w:val="nil"/>
              <w:left w:val="nil"/>
              <w:bottom w:val="single" w:sz="4" w:space="0" w:color="auto"/>
              <w:right w:val="single" w:sz="4" w:space="0" w:color="auto"/>
            </w:tcBorders>
            <w:noWrap/>
            <w:vAlign w:val="bottom"/>
            <w:hideMark/>
          </w:tcPr>
          <w:p w14:paraId="13CD297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725" w:type="dxa"/>
            <w:tcBorders>
              <w:top w:val="nil"/>
              <w:left w:val="nil"/>
              <w:bottom w:val="single" w:sz="4" w:space="0" w:color="auto"/>
              <w:right w:val="single" w:sz="4" w:space="0" w:color="auto"/>
            </w:tcBorders>
            <w:noWrap/>
            <w:vAlign w:val="bottom"/>
            <w:hideMark/>
          </w:tcPr>
          <w:p w14:paraId="40BBBD8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1,55</w:t>
            </w:r>
          </w:p>
        </w:tc>
        <w:tc>
          <w:tcPr>
            <w:tcW w:w="1119" w:type="dxa"/>
            <w:tcBorders>
              <w:top w:val="nil"/>
              <w:left w:val="nil"/>
              <w:bottom w:val="single" w:sz="4" w:space="0" w:color="auto"/>
              <w:right w:val="single" w:sz="4" w:space="0" w:color="auto"/>
            </w:tcBorders>
            <w:noWrap/>
            <w:vAlign w:val="bottom"/>
            <w:hideMark/>
          </w:tcPr>
          <w:p w14:paraId="7D639A7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7129DC0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08C0BBD9"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45995C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471" w:type="dxa"/>
            <w:tcBorders>
              <w:top w:val="nil"/>
              <w:left w:val="nil"/>
              <w:bottom w:val="single" w:sz="4" w:space="0" w:color="auto"/>
              <w:right w:val="single" w:sz="4" w:space="0" w:color="auto"/>
            </w:tcBorders>
            <w:noWrap/>
            <w:vAlign w:val="bottom"/>
            <w:hideMark/>
          </w:tcPr>
          <w:p w14:paraId="2BD3B44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19,81</w:t>
            </w:r>
          </w:p>
        </w:tc>
        <w:tc>
          <w:tcPr>
            <w:tcW w:w="513" w:type="dxa"/>
            <w:tcBorders>
              <w:top w:val="nil"/>
              <w:left w:val="nil"/>
              <w:bottom w:val="single" w:sz="4" w:space="0" w:color="auto"/>
              <w:right w:val="single" w:sz="4" w:space="0" w:color="auto"/>
            </w:tcBorders>
            <w:noWrap/>
            <w:vAlign w:val="bottom"/>
            <w:hideMark/>
          </w:tcPr>
          <w:p w14:paraId="73B70E0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84</w:t>
            </w:r>
          </w:p>
        </w:tc>
        <w:tc>
          <w:tcPr>
            <w:tcW w:w="1725" w:type="dxa"/>
            <w:tcBorders>
              <w:top w:val="nil"/>
              <w:left w:val="nil"/>
              <w:bottom w:val="single" w:sz="4" w:space="0" w:color="auto"/>
              <w:right w:val="single" w:sz="4" w:space="0" w:color="auto"/>
            </w:tcBorders>
            <w:noWrap/>
            <w:vAlign w:val="bottom"/>
            <w:hideMark/>
          </w:tcPr>
          <w:p w14:paraId="50A242B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0,92</w:t>
            </w:r>
          </w:p>
        </w:tc>
        <w:tc>
          <w:tcPr>
            <w:tcW w:w="1119" w:type="dxa"/>
            <w:tcBorders>
              <w:top w:val="nil"/>
              <w:left w:val="nil"/>
              <w:bottom w:val="single" w:sz="4" w:space="0" w:color="auto"/>
              <w:right w:val="single" w:sz="4" w:space="0" w:color="auto"/>
            </w:tcBorders>
            <w:noWrap/>
            <w:vAlign w:val="bottom"/>
            <w:hideMark/>
          </w:tcPr>
          <w:p w14:paraId="7BE733F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6FC236E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3C1800E7"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64F3206A"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471" w:type="dxa"/>
            <w:tcBorders>
              <w:top w:val="nil"/>
              <w:left w:val="nil"/>
              <w:bottom w:val="single" w:sz="4" w:space="0" w:color="auto"/>
              <w:right w:val="single" w:sz="4" w:space="0" w:color="auto"/>
            </w:tcBorders>
            <w:noWrap/>
            <w:vAlign w:val="bottom"/>
            <w:hideMark/>
          </w:tcPr>
          <w:p w14:paraId="5E2F5F44"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19,85</w:t>
            </w:r>
          </w:p>
        </w:tc>
        <w:tc>
          <w:tcPr>
            <w:tcW w:w="513" w:type="dxa"/>
            <w:tcBorders>
              <w:top w:val="nil"/>
              <w:left w:val="nil"/>
              <w:bottom w:val="single" w:sz="4" w:space="0" w:color="auto"/>
              <w:right w:val="single" w:sz="4" w:space="0" w:color="auto"/>
            </w:tcBorders>
            <w:noWrap/>
            <w:vAlign w:val="bottom"/>
            <w:hideMark/>
          </w:tcPr>
          <w:p w14:paraId="5A66AEF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73</w:t>
            </w:r>
          </w:p>
        </w:tc>
        <w:tc>
          <w:tcPr>
            <w:tcW w:w="1725" w:type="dxa"/>
            <w:tcBorders>
              <w:top w:val="nil"/>
              <w:left w:val="nil"/>
              <w:bottom w:val="single" w:sz="4" w:space="0" w:color="auto"/>
              <w:right w:val="single" w:sz="4" w:space="0" w:color="auto"/>
            </w:tcBorders>
            <w:noWrap/>
            <w:vAlign w:val="bottom"/>
            <w:hideMark/>
          </w:tcPr>
          <w:p w14:paraId="3052E57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0,9</w:t>
            </w:r>
          </w:p>
        </w:tc>
        <w:tc>
          <w:tcPr>
            <w:tcW w:w="1119" w:type="dxa"/>
            <w:tcBorders>
              <w:top w:val="nil"/>
              <w:left w:val="nil"/>
              <w:bottom w:val="single" w:sz="4" w:space="0" w:color="auto"/>
              <w:right w:val="single" w:sz="4" w:space="0" w:color="auto"/>
            </w:tcBorders>
            <w:noWrap/>
            <w:vAlign w:val="bottom"/>
            <w:hideMark/>
          </w:tcPr>
          <w:p w14:paraId="773AC93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254751C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75F4628"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7FE762B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70</w:t>
            </w:r>
          </w:p>
        </w:tc>
        <w:tc>
          <w:tcPr>
            <w:tcW w:w="1471" w:type="dxa"/>
            <w:tcBorders>
              <w:top w:val="nil"/>
              <w:left w:val="nil"/>
              <w:bottom w:val="single" w:sz="4" w:space="0" w:color="auto"/>
              <w:right w:val="single" w:sz="4" w:space="0" w:color="auto"/>
            </w:tcBorders>
            <w:noWrap/>
            <w:vAlign w:val="bottom"/>
            <w:hideMark/>
          </w:tcPr>
          <w:p w14:paraId="6AC2637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20,23</w:t>
            </w:r>
          </w:p>
        </w:tc>
        <w:tc>
          <w:tcPr>
            <w:tcW w:w="513" w:type="dxa"/>
            <w:tcBorders>
              <w:top w:val="nil"/>
              <w:left w:val="nil"/>
              <w:bottom w:val="single" w:sz="4" w:space="0" w:color="auto"/>
              <w:right w:val="single" w:sz="4" w:space="0" w:color="auto"/>
            </w:tcBorders>
            <w:noWrap/>
            <w:vAlign w:val="bottom"/>
            <w:hideMark/>
          </w:tcPr>
          <w:p w14:paraId="3E6F92FE"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38</w:t>
            </w:r>
          </w:p>
        </w:tc>
        <w:tc>
          <w:tcPr>
            <w:tcW w:w="1725" w:type="dxa"/>
            <w:tcBorders>
              <w:top w:val="nil"/>
              <w:left w:val="nil"/>
              <w:bottom w:val="single" w:sz="4" w:space="0" w:color="auto"/>
              <w:right w:val="single" w:sz="4" w:space="0" w:color="auto"/>
            </w:tcBorders>
            <w:noWrap/>
            <w:vAlign w:val="bottom"/>
            <w:hideMark/>
          </w:tcPr>
          <w:p w14:paraId="5966F94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1,37</w:t>
            </w:r>
          </w:p>
        </w:tc>
        <w:tc>
          <w:tcPr>
            <w:tcW w:w="1119" w:type="dxa"/>
            <w:tcBorders>
              <w:top w:val="nil"/>
              <w:left w:val="nil"/>
              <w:bottom w:val="single" w:sz="4" w:space="0" w:color="auto"/>
              <w:right w:val="single" w:sz="4" w:space="0" w:color="auto"/>
            </w:tcBorders>
            <w:noWrap/>
            <w:vAlign w:val="bottom"/>
            <w:hideMark/>
          </w:tcPr>
          <w:p w14:paraId="5E76254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75812B1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21EF238"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D1351E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471" w:type="dxa"/>
            <w:tcBorders>
              <w:top w:val="nil"/>
              <w:left w:val="nil"/>
              <w:bottom w:val="single" w:sz="4" w:space="0" w:color="auto"/>
              <w:right w:val="single" w:sz="4" w:space="0" w:color="auto"/>
            </w:tcBorders>
            <w:noWrap/>
            <w:vAlign w:val="bottom"/>
            <w:hideMark/>
          </w:tcPr>
          <w:p w14:paraId="093A285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22,77</w:t>
            </w:r>
          </w:p>
        </w:tc>
        <w:tc>
          <w:tcPr>
            <w:tcW w:w="513" w:type="dxa"/>
            <w:tcBorders>
              <w:top w:val="nil"/>
              <w:left w:val="nil"/>
              <w:bottom w:val="single" w:sz="4" w:space="0" w:color="auto"/>
              <w:right w:val="single" w:sz="4" w:space="0" w:color="auto"/>
            </w:tcBorders>
            <w:noWrap/>
            <w:vAlign w:val="bottom"/>
            <w:hideMark/>
          </w:tcPr>
          <w:p w14:paraId="172A838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25" w:type="dxa"/>
            <w:tcBorders>
              <w:top w:val="nil"/>
              <w:left w:val="nil"/>
              <w:bottom w:val="single" w:sz="4" w:space="0" w:color="auto"/>
              <w:right w:val="single" w:sz="4" w:space="0" w:color="auto"/>
            </w:tcBorders>
            <w:noWrap/>
            <w:vAlign w:val="bottom"/>
            <w:hideMark/>
          </w:tcPr>
          <w:p w14:paraId="55037C92"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3,18</w:t>
            </w:r>
          </w:p>
        </w:tc>
        <w:tc>
          <w:tcPr>
            <w:tcW w:w="1119" w:type="dxa"/>
            <w:tcBorders>
              <w:top w:val="nil"/>
              <w:left w:val="nil"/>
              <w:bottom w:val="single" w:sz="4" w:space="0" w:color="auto"/>
              <w:right w:val="single" w:sz="4" w:space="0" w:color="auto"/>
            </w:tcBorders>
            <w:noWrap/>
            <w:vAlign w:val="bottom"/>
            <w:hideMark/>
          </w:tcPr>
          <w:p w14:paraId="01CEDA4A"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7798F5E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7FEFF71C"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83F2197"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471" w:type="dxa"/>
            <w:tcBorders>
              <w:top w:val="nil"/>
              <w:left w:val="nil"/>
              <w:bottom w:val="single" w:sz="4" w:space="0" w:color="auto"/>
              <w:right w:val="single" w:sz="4" w:space="0" w:color="auto"/>
            </w:tcBorders>
            <w:noWrap/>
            <w:vAlign w:val="bottom"/>
            <w:hideMark/>
          </w:tcPr>
          <w:p w14:paraId="68F8702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24,72</w:t>
            </w:r>
          </w:p>
        </w:tc>
        <w:tc>
          <w:tcPr>
            <w:tcW w:w="513" w:type="dxa"/>
            <w:tcBorders>
              <w:top w:val="nil"/>
              <w:left w:val="nil"/>
              <w:bottom w:val="single" w:sz="4" w:space="0" w:color="auto"/>
              <w:right w:val="single" w:sz="4" w:space="0" w:color="auto"/>
            </w:tcBorders>
            <w:noWrap/>
            <w:vAlign w:val="bottom"/>
            <w:hideMark/>
          </w:tcPr>
          <w:p w14:paraId="1DF26666"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725" w:type="dxa"/>
            <w:tcBorders>
              <w:top w:val="nil"/>
              <w:left w:val="nil"/>
              <w:bottom w:val="single" w:sz="4" w:space="0" w:color="auto"/>
              <w:right w:val="single" w:sz="4" w:space="0" w:color="auto"/>
            </w:tcBorders>
            <w:noWrap/>
            <w:vAlign w:val="bottom"/>
            <w:hideMark/>
          </w:tcPr>
          <w:p w14:paraId="774F2AA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1,78</w:t>
            </w:r>
          </w:p>
        </w:tc>
        <w:tc>
          <w:tcPr>
            <w:tcW w:w="1119" w:type="dxa"/>
            <w:tcBorders>
              <w:top w:val="nil"/>
              <w:left w:val="nil"/>
              <w:bottom w:val="single" w:sz="4" w:space="0" w:color="auto"/>
              <w:right w:val="single" w:sz="4" w:space="0" w:color="auto"/>
            </w:tcBorders>
            <w:noWrap/>
            <w:vAlign w:val="bottom"/>
            <w:hideMark/>
          </w:tcPr>
          <w:p w14:paraId="3324FD99"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2D21ACD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5D9D04F5"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3E7F2EC"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46</w:t>
            </w:r>
          </w:p>
        </w:tc>
        <w:tc>
          <w:tcPr>
            <w:tcW w:w="1471" w:type="dxa"/>
            <w:tcBorders>
              <w:top w:val="nil"/>
              <w:left w:val="nil"/>
              <w:bottom w:val="single" w:sz="4" w:space="0" w:color="auto"/>
              <w:right w:val="single" w:sz="4" w:space="0" w:color="auto"/>
            </w:tcBorders>
            <w:noWrap/>
            <w:vAlign w:val="bottom"/>
            <w:hideMark/>
          </w:tcPr>
          <w:p w14:paraId="645F040D"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37,58</w:t>
            </w:r>
          </w:p>
        </w:tc>
        <w:tc>
          <w:tcPr>
            <w:tcW w:w="513" w:type="dxa"/>
            <w:tcBorders>
              <w:top w:val="nil"/>
              <w:left w:val="nil"/>
              <w:bottom w:val="single" w:sz="4" w:space="0" w:color="auto"/>
              <w:right w:val="single" w:sz="4" w:space="0" w:color="auto"/>
            </w:tcBorders>
            <w:noWrap/>
            <w:vAlign w:val="bottom"/>
            <w:hideMark/>
          </w:tcPr>
          <w:p w14:paraId="2C2B4908"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725" w:type="dxa"/>
            <w:tcBorders>
              <w:top w:val="nil"/>
              <w:left w:val="nil"/>
              <w:bottom w:val="single" w:sz="4" w:space="0" w:color="auto"/>
              <w:right w:val="single" w:sz="4" w:space="0" w:color="auto"/>
            </w:tcBorders>
            <w:noWrap/>
            <w:vAlign w:val="bottom"/>
            <w:hideMark/>
          </w:tcPr>
          <w:p w14:paraId="139D7760"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6,92</w:t>
            </w:r>
          </w:p>
        </w:tc>
        <w:tc>
          <w:tcPr>
            <w:tcW w:w="1119" w:type="dxa"/>
            <w:tcBorders>
              <w:top w:val="nil"/>
              <w:left w:val="nil"/>
              <w:bottom w:val="single" w:sz="4" w:space="0" w:color="auto"/>
              <w:right w:val="single" w:sz="4" w:space="0" w:color="auto"/>
            </w:tcBorders>
            <w:noWrap/>
            <w:vAlign w:val="bottom"/>
            <w:hideMark/>
          </w:tcPr>
          <w:p w14:paraId="1AF94B95"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19" w:type="dxa"/>
            <w:tcBorders>
              <w:top w:val="nil"/>
              <w:left w:val="nil"/>
              <w:bottom w:val="single" w:sz="4" w:space="0" w:color="auto"/>
              <w:right w:val="single" w:sz="4" w:space="0" w:color="auto"/>
            </w:tcBorders>
            <w:noWrap/>
            <w:vAlign w:val="bottom"/>
            <w:hideMark/>
          </w:tcPr>
          <w:p w14:paraId="68D56553" w14:textId="77777777" w:rsidR="00C82BCC" w:rsidRDefault="00C82BCC" w:rsidP="004A05F2">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120F1045" w14:textId="77777777" w:rsidR="004A05F2" w:rsidRDefault="004A05F2" w:rsidP="004A05F2">
      <w:pPr>
        <w:pStyle w:val="Descripcin"/>
        <w:keepNext/>
        <w:spacing w:before="360"/>
        <w:rPr>
          <w:rFonts w:cs="Times New Roman"/>
          <w:b/>
          <w:i w:val="0"/>
          <w:iCs w:val="0"/>
          <w:color w:val="auto"/>
          <w:sz w:val="24"/>
          <w:szCs w:val="24"/>
          <w:lang w:eastAsia="en-US"/>
        </w:rPr>
      </w:pPr>
      <w:bookmarkStart w:id="2212" w:name="_Toc79314172"/>
      <w:r>
        <w:rPr>
          <w:rFonts w:cs="Times New Roman"/>
          <w:b/>
          <w:i w:val="0"/>
          <w:iCs w:val="0"/>
          <w:color w:val="auto"/>
          <w:sz w:val="24"/>
          <w:szCs w:val="24"/>
          <w:lang w:eastAsia="en-US"/>
        </w:rPr>
        <w:br w:type="page"/>
      </w:r>
    </w:p>
    <w:p w14:paraId="5F817E4A" w14:textId="2A6F719F" w:rsidR="006B387C" w:rsidRPr="006B387C" w:rsidRDefault="00AF1CEF" w:rsidP="004A05F2">
      <w:pPr>
        <w:pStyle w:val="Descripcin"/>
        <w:keepNext/>
        <w:spacing w:before="360"/>
        <w:rPr>
          <w:rFonts w:cs="Times New Roman"/>
          <w:i w:val="0"/>
          <w:iCs w:val="0"/>
          <w:color w:val="auto"/>
          <w:sz w:val="24"/>
          <w:szCs w:val="24"/>
          <w:lang w:eastAsia="en-US"/>
        </w:rPr>
      </w:pPr>
      <w:r w:rsidRPr="00AF1CEF">
        <w:rPr>
          <w:rFonts w:cs="Times New Roman"/>
          <w:b/>
          <w:bCs/>
          <w:i w:val="0"/>
          <w:iCs w:val="0"/>
          <w:color w:val="auto"/>
          <w:sz w:val="24"/>
          <w:szCs w:val="24"/>
          <w:lang w:eastAsia="en-US"/>
        </w:rPr>
        <w:lastRenderedPageBreak/>
        <w:t xml:space="preserve">Cuadro 179. </w:t>
      </w:r>
      <w:r w:rsidRPr="00AF1CEF">
        <w:rPr>
          <w:rFonts w:cs="Times New Roman"/>
          <w:i w:val="0"/>
          <w:iCs w:val="0"/>
          <w:color w:val="auto"/>
          <w:sz w:val="24"/>
          <w:szCs w:val="24"/>
          <w:lang w:eastAsia="en-US"/>
        </w:rPr>
        <w:t>Absorción total</w:t>
      </w:r>
      <w:r w:rsidRPr="00AF1CEF">
        <w:rPr>
          <w:rFonts w:cs="Times New Roman"/>
          <w:b/>
          <w:bCs/>
          <w:i w:val="0"/>
          <w:iCs w:val="0"/>
          <w:color w:val="auto"/>
          <w:sz w:val="24"/>
          <w:szCs w:val="24"/>
          <w:lang w:eastAsia="en-US"/>
        </w:rPr>
        <w:t xml:space="preserve"> </w:t>
      </w:r>
      <w:r w:rsidR="006B387C" w:rsidRPr="00AF1CEF">
        <w:rPr>
          <w:rFonts w:cs="Times New Roman"/>
          <w:i w:val="0"/>
          <w:iCs w:val="0"/>
          <w:color w:val="auto"/>
          <w:sz w:val="24"/>
          <w:szCs w:val="24"/>
          <w:lang w:eastAsia="en-US"/>
        </w:rPr>
        <w:t>de magnesio en plantas de maíz suave para diversas dosis de potasio evaluado en las provincias de Bolívar, Chimborazo, Imbabura 2006-2015.</w:t>
      </w:r>
      <w:bookmarkEnd w:id="2212"/>
      <w:r w:rsidR="006E0BEC">
        <w:rPr>
          <w:rFonts w:cs="Times New Roman"/>
          <w:i w:val="0"/>
          <w:iCs w:val="0"/>
          <w:color w:val="auto"/>
          <w:sz w:val="24"/>
          <w:szCs w:val="24"/>
          <w:lang w:eastAsia="en-US"/>
        </w:rPr>
        <w:t xml:space="preserve"> </w:t>
      </w:r>
    </w:p>
    <w:tbl>
      <w:tblPr>
        <w:tblW w:w="7927" w:type="dxa"/>
        <w:jc w:val="center"/>
        <w:tblCellMar>
          <w:left w:w="70" w:type="dxa"/>
          <w:right w:w="70" w:type="dxa"/>
        </w:tblCellMar>
        <w:tblLook w:val="04A0" w:firstRow="1" w:lastRow="0" w:firstColumn="1" w:lastColumn="0" w:noHBand="0" w:noVBand="1"/>
      </w:tblPr>
      <w:tblGrid>
        <w:gridCol w:w="1980"/>
        <w:gridCol w:w="1471"/>
        <w:gridCol w:w="655"/>
        <w:gridCol w:w="1843"/>
        <w:gridCol w:w="859"/>
        <w:gridCol w:w="1119"/>
      </w:tblGrid>
      <w:tr w:rsidR="00C82BCC" w14:paraId="06913EBA" w14:textId="77777777" w:rsidTr="00F93754">
        <w:trPr>
          <w:trHeight w:val="30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054707D" w14:textId="77777777" w:rsidR="00C82BCC" w:rsidRDefault="00C82BCC">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K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471" w:type="dxa"/>
            <w:tcBorders>
              <w:top w:val="single" w:sz="4" w:space="0" w:color="auto"/>
              <w:left w:val="nil"/>
              <w:bottom w:val="single" w:sz="4" w:space="0" w:color="auto"/>
              <w:right w:val="single" w:sz="4" w:space="0" w:color="auto"/>
            </w:tcBorders>
            <w:noWrap/>
            <w:vAlign w:val="bottom"/>
            <w:hideMark/>
          </w:tcPr>
          <w:p w14:paraId="226C6000" w14:textId="77777777" w:rsidR="00C82BCC" w:rsidRDefault="00C82BCC">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655" w:type="dxa"/>
            <w:tcBorders>
              <w:top w:val="single" w:sz="4" w:space="0" w:color="auto"/>
              <w:left w:val="nil"/>
              <w:bottom w:val="single" w:sz="4" w:space="0" w:color="auto"/>
              <w:right w:val="single" w:sz="4" w:space="0" w:color="auto"/>
            </w:tcBorders>
            <w:noWrap/>
            <w:vAlign w:val="bottom"/>
            <w:hideMark/>
          </w:tcPr>
          <w:p w14:paraId="32ABABC1" w14:textId="77777777" w:rsidR="00C82BCC" w:rsidRDefault="00C82BCC">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843" w:type="dxa"/>
            <w:tcBorders>
              <w:top w:val="single" w:sz="4" w:space="0" w:color="auto"/>
              <w:left w:val="nil"/>
              <w:bottom w:val="single" w:sz="4" w:space="0" w:color="auto"/>
              <w:right w:val="single" w:sz="4" w:space="0" w:color="auto"/>
            </w:tcBorders>
            <w:noWrap/>
            <w:vAlign w:val="bottom"/>
            <w:hideMark/>
          </w:tcPr>
          <w:p w14:paraId="7EE8D716" w14:textId="77777777" w:rsidR="00C82BCC" w:rsidRDefault="00C82BCC">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859" w:type="dxa"/>
            <w:tcBorders>
              <w:top w:val="single" w:sz="4" w:space="0" w:color="auto"/>
              <w:left w:val="single" w:sz="4" w:space="0" w:color="auto"/>
              <w:bottom w:val="single" w:sz="4" w:space="0" w:color="auto"/>
              <w:right w:val="nil"/>
            </w:tcBorders>
            <w:noWrap/>
            <w:vAlign w:val="bottom"/>
            <w:hideMark/>
          </w:tcPr>
          <w:p w14:paraId="45906E3D" w14:textId="77777777" w:rsidR="00C82BCC" w:rsidRDefault="00C82BCC">
            <w:pPr>
              <w:spacing w:after="0" w:line="36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119" w:type="dxa"/>
            <w:tcBorders>
              <w:top w:val="single" w:sz="4" w:space="0" w:color="auto"/>
              <w:left w:val="nil"/>
              <w:bottom w:val="single" w:sz="4" w:space="0" w:color="auto"/>
              <w:right w:val="single" w:sz="4" w:space="0" w:color="auto"/>
            </w:tcBorders>
            <w:noWrap/>
            <w:vAlign w:val="bottom"/>
            <w:hideMark/>
          </w:tcPr>
          <w:p w14:paraId="50E1EEC1" w14:textId="77777777" w:rsidR="00C82BCC" w:rsidRDefault="00C82BCC">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1C9E6294"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D202C88"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471" w:type="dxa"/>
            <w:tcBorders>
              <w:top w:val="nil"/>
              <w:left w:val="nil"/>
              <w:bottom w:val="single" w:sz="4" w:space="0" w:color="auto"/>
              <w:right w:val="single" w:sz="4" w:space="0" w:color="auto"/>
            </w:tcBorders>
            <w:noWrap/>
            <w:vAlign w:val="bottom"/>
            <w:hideMark/>
          </w:tcPr>
          <w:p w14:paraId="26591169"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14,31</w:t>
            </w:r>
          </w:p>
        </w:tc>
        <w:tc>
          <w:tcPr>
            <w:tcW w:w="655" w:type="dxa"/>
            <w:tcBorders>
              <w:top w:val="nil"/>
              <w:left w:val="nil"/>
              <w:bottom w:val="single" w:sz="4" w:space="0" w:color="auto"/>
              <w:right w:val="single" w:sz="4" w:space="0" w:color="auto"/>
            </w:tcBorders>
            <w:noWrap/>
            <w:vAlign w:val="bottom"/>
            <w:hideMark/>
          </w:tcPr>
          <w:p w14:paraId="41FD9EDE"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w:t>
            </w:r>
          </w:p>
        </w:tc>
        <w:tc>
          <w:tcPr>
            <w:tcW w:w="1843" w:type="dxa"/>
            <w:tcBorders>
              <w:top w:val="nil"/>
              <w:left w:val="nil"/>
              <w:bottom w:val="single" w:sz="4" w:space="0" w:color="auto"/>
              <w:right w:val="single" w:sz="4" w:space="0" w:color="auto"/>
            </w:tcBorders>
            <w:noWrap/>
            <w:vAlign w:val="bottom"/>
            <w:hideMark/>
          </w:tcPr>
          <w:p w14:paraId="39C48D8E"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6,92</w:t>
            </w:r>
          </w:p>
        </w:tc>
        <w:tc>
          <w:tcPr>
            <w:tcW w:w="859" w:type="dxa"/>
            <w:tcBorders>
              <w:top w:val="single" w:sz="4" w:space="0" w:color="auto"/>
              <w:left w:val="nil"/>
              <w:bottom w:val="single" w:sz="4" w:space="0" w:color="auto"/>
              <w:right w:val="single" w:sz="4" w:space="0" w:color="auto"/>
            </w:tcBorders>
            <w:noWrap/>
            <w:vAlign w:val="bottom"/>
            <w:hideMark/>
          </w:tcPr>
          <w:p w14:paraId="4477516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single" w:sz="4" w:space="0" w:color="auto"/>
              <w:left w:val="nil"/>
              <w:bottom w:val="single" w:sz="4" w:space="0" w:color="auto"/>
              <w:right w:val="single" w:sz="4" w:space="0" w:color="auto"/>
            </w:tcBorders>
            <w:noWrap/>
            <w:vAlign w:val="bottom"/>
            <w:hideMark/>
          </w:tcPr>
          <w:p w14:paraId="307BE8CA"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190468F9"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03388F67"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471" w:type="dxa"/>
            <w:tcBorders>
              <w:top w:val="nil"/>
              <w:left w:val="nil"/>
              <w:bottom w:val="single" w:sz="4" w:space="0" w:color="auto"/>
              <w:right w:val="single" w:sz="4" w:space="0" w:color="auto"/>
            </w:tcBorders>
            <w:noWrap/>
            <w:vAlign w:val="bottom"/>
            <w:hideMark/>
          </w:tcPr>
          <w:p w14:paraId="2BE20868"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16,14</w:t>
            </w:r>
          </w:p>
        </w:tc>
        <w:tc>
          <w:tcPr>
            <w:tcW w:w="655" w:type="dxa"/>
            <w:tcBorders>
              <w:top w:val="nil"/>
              <w:left w:val="nil"/>
              <w:bottom w:val="single" w:sz="4" w:space="0" w:color="auto"/>
              <w:right w:val="single" w:sz="4" w:space="0" w:color="auto"/>
            </w:tcBorders>
            <w:noWrap/>
            <w:vAlign w:val="bottom"/>
            <w:hideMark/>
          </w:tcPr>
          <w:p w14:paraId="19695B26"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55</w:t>
            </w:r>
          </w:p>
        </w:tc>
        <w:tc>
          <w:tcPr>
            <w:tcW w:w="1843" w:type="dxa"/>
            <w:tcBorders>
              <w:top w:val="nil"/>
              <w:left w:val="nil"/>
              <w:bottom w:val="single" w:sz="4" w:space="0" w:color="auto"/>
              <w:right w:val="single" w:sz="4" w:space="0" w:color="auto"/>
            </w:tcBorders>
            <w:noWrap/>
            <w:vAlign w:val="bottom"/>
            <w:hideMark/>
          </w:tcPr>
          <w:p w14:paraId="79DA715B"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1,76</w:t>
            </w:r>
          </w:p>
        </w:tc>
        <w:tc>
          <w:tcPr>
            <w:tcW w:w="859" w:type="dxa"/>
            <w:tcBorders>
              <w:top w:val="nil"/>
              <w:left w:val="nil"/>
              <w:bottom w:val="single" w:sz="4" w:space="0" w:color="auto"/>
              <w:right w:val="single" w:sz="4" w:space="0" w:color="auto"/>
            </w:tcBorders>
            <w:noWrap/>
            <w:vAlign w:val="bottom"/>
            <w:hideMark/>
          </w:tcPr>
          <w:p w14:paraId="4C3BA4D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2730DFB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5E7AAED"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593BCFFA"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471" w:type="dxa"/>
            <w:tcBorders>
              <w:top w:val="nil"/>
              <w:left w:val="nil"/>
              <w:bottom w:val="single" w:sz="4" w:space="0" w:color="auto"/>
              <w:right w:val="single" w:sz="4" w:space="0" w:color="auto"/>
            </w:tcBorders>
            <w:noWrap/>
            <w:vAlign w:val="bottom"/>
            <w:hideMark/>
          </w:tcPr>
          <w:p w14:paraId="66A69A83"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19,3</w:t>
            </w:r>
          </w:p>
        </w:tc>
        <w:tc>
          <w:tcPr>
            <w:tcW w:w="655" w:type="dxa"/>
            <w:tcBorders>
              <w:top w:val="nil"/>
              <w:left w:val="nil"/>
              <w:bottom w:val="single" w:sz="4" w:space="0" w:color="auto"/>
              <w:right w:val="single" w:sz="4" w:space="0" w:color="auto"/>
            </w:tcBorders>
            <w:noWrap/>
            <w:vAlign w:val="bottom"/>
            <w:hideMark/>
          </w:tcPr>
          <w:p w14:paraId="208274A0"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843" w:type="dxa"/>
            <w:tcBorders>
              <w:top w:val="nil"/>
              <w:left w:val="nil"/>
              <w:bottom w:val="single" w:sz="4" w:space="0" w:color="auto"/>
              <w:right w:val="single" w:sz="4" w:space="0" w:color="auto"/>
            </w:tcBorders>
            <w:noWrap/>
            <w:vAlign w:val="bottom"/>
            <w:hideMark/>
          </w:tcPr>
          <w:p w14:paraId="47C0DA38"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0,95</w:t>
            </w:r>
          </w:p>
        </w:tc>
        <w:tc>
          <w:tcPr>
            <w:tcW w:w="859" w:type="dxa"/>
            <w:tcBorders>
              <w:top w:val="nil"/>
              <w:left w:val="nil"/>
              <w:bottom w:val="single" w:sz="4" w:space="0" w:color="auto"/>
              <w:right w:val="single" w:sz="4" w:space="0" w:color="auto"/>
            </w:tcBorders>
            <w:noWrap/>
            <w:vAlign w:val="bottom"/>
            <w:hideMark/>
          </w:tcPr>
          <w:p w14:paraId="4C8063B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747F6236"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5907D10"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339522E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471" w:type="dxa"/>
            <w:tcBorders>
              <w:top w:val="nil"/>
              <w:left w:val="nil"/>
              <w:bottom w:val="single" w:sz="4" w:space="0" w:color="auto"/>
              <w:right w:val="single" w:sz="4" w:space="0" w:color="auto"/>
            </w:tcBorders>
            <w:noWrap/>
            <w:vAlign w:val="bottom"/>
            <w:hideMark/>
          </w:tcPr>
          <w:p w14:paraId="7B6A06A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19,35</w:t>
            </w:r>
          </w:p>
        </w:tc>
        <w:tc>
          <w:tcPr>
            <w:tcW w:w="655" w:type="dxa"/>
            <w:tcBorders>
              <w:top w:val="nil"/>
              <w:left w:val="nil"/>
              <w:bottom w:val="single" w:sz="4" w:space="0" w:color="auto"/>
              <w:right w:val="single" w:sz="4" w:space="0" w:color="auto"/>
            </w:tcBorders>
            <w:noWrap/>
            <w:vAlign w:val="bottom"/>
            <w:hideMark/>
          </w:tcPr>
          <w:p w14:paraId="2D8F5BF0"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6</w:t>
            </w:r>
          </w:p>
        </w:tc>
        <w:tc>
          <w:tcPr>
            <w:tcW w:w="1843" w:type="dxa"/>
            <w:tcBorders>
              <w:top w:val="nil"/>
              <w:left w:val="nil"/>
              <w:bottom w:val="single" w:sz="4" w:space="0" w:color="auto"/>
              <w:right w:val="single" w:sz="4" w:space="0" w:color="auto"/>
            </w:tcBorders>
            <w:noWrap/>
            <w:vAlign w:val="bottom"/>
            <w:hideMark/>
          </w:tcPr>
          <w:p w14:paraId="6FC6E378"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2,83</w:t>
            </w:r>
          </w:p>
        </w:tc>
        <w:tc>
          <w:tcPr>
            <w:tcW w:w="859" w:type="dxa"/>
            <w:tcBorders>
              <w:top w:val="nil"/>
              <w:left w:val="nil"/>
              <w:bottom w:val="single" w:sz="4" w:space="0" w:color="auto"/>
              <w:right w:val="single" w:sz="4" w:space="0" w:color="auto"/>
            </w:tcBorders>
            <w:noWrap/>
            <w:vAlign w:val="bottom"/>
            <w:hideMark/>
          </w:tcPr>
          <w:p w14:paraId="3C117844"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053FA458"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4A9D3A3"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431AB863"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471" w:type="dxa"/>
            <w:tcBorders>
              <w:top w:val="nil"/>
              <w:left w:val="nil"/>
              <w:bottom w:val="single" w:sz="4" w:space="0" w:color="auto"/>
              <w:right w:val="single" w:sz="4" w:space="0" w:color="auto"/>
            </w:tcBorders>
            <w:noWrap/>
            <w:vAlign w:val="bottom"/>
            <w:hideMark/>
          </w:tcPr>
          <w:p w14:paraId="73208541"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19,99</w:t>
            </w:r>
          </w:p>
        </w:tc>
        <w:tc>
          <w:tcPr>
            <w:tcW w:w="655" w:type="dxa"/>
            <w:tcBorders>
              <w:top w:val="nil"/>
              <w:left w:val="nil"/>
              <w:bottom w:val="single" w:sz="4" w:space="0" w:color="auto"/>
              <w:right w:val="single" w:sz="4" w:space="0" w:color="auto"/>
            </w:tcBorders>
            <w:noWrap/>
            <w:vAlign w:val="bottom"/>
            <w:hideMark/>
          </w:tcPr>
          <w:p w14:paraId="41A4FFE8"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12</w:t>
            </w:r>
          </w:p>
        </w:tc>
        <w:tc>
          <w:tcPr>
            <w:tcW w:w="1843" w:type="dxa"/>
            <w:tcBorders>
              <w:top w:val="nil"/>
              <w:left w:val="nil"/>
              <w:bottom w:val="single" w:sz="4" w:space="0" w:color="auto"/>
              <w:right w:val="single" w:sz="4" w:space="0" w:color="auto"/>
            </w:tcBorders>
            <w:noWrap/>
            <w:vAlign w:val="bottom"/>
            <w:hideMark/>
          </w:tcPr>
          <w:p w14:paraId="71FA3355"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2,01</w:t>
            </w:r>
          </w:p>
        </w:tc>
        <w:tc>
          <w:tcPr>
            <w:tcW w:w="859" w:type="dxa"/>
            <w:tcBorders>
              <w:top w:val="nil"/>
              <w:left w:val="nil"/>
              <w:bottom w:val="single" w:sz="4" w:space="0" w:color="auto"/>
              <w:right w:val="single" w:sz="4" w:space="0" w:color="auto"/>
            </w:tcBorders>
            <w:noWrap/>
            <w:vAlign w:val="bottom"/>
            <w:hideMark/>
          </w:tcPr>
          <w:p w14:paraId="26902BBB"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03EA757C"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F524003"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228F9E5"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60</w:t>
            </w:r>
          </w:p>
        </w:tc>
        <w:tc>
          <w:tcPr>
            <w:tcW w:w="1471" w:type="dxa"/>
            <w:tcBorders>
              <w:top w:val="nil"/>
              <w:left w:val="nil"/>
              <w:bottom w:val="single" w:sz="4" w:space="0" w:color="auto"/>
              <w:right w:val="single" w:sz="4" w:space="0" w:color="auto"/>
            </w:tcBorders>
            <w:noWrap/>
            <w:vAlign w:val="bottom"/>
            <w:hideMark/>
          </w:tcPr>
          <w:p w14:paraId="49078C53"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20,03</w:t>
            </w:r>
          </w:p>
        </w:tc>
        <w:tc>
          <w:tcPr>
            <w:tcW w:w="655" w:type="dxa"/>
            <w:tcBorders>
              <w:top w:val="nil"/>
              <w:left w:val="nil"/>
              <w:bottom w:val="single" w:sz="4" w:space="0" w:color="auto"/>
              <w:right w:val="single" w:sz="4" w:space="0" w:color="auto"/>
            </w:tcBorders>
            <w:noWrap/>
            <w:vAlign w:val="bottom"/>
            <w:hideMark/>
          </w:tcPr>
          <w:p w14:paraId="419F2697"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63</w:t>
            </w:r>
          </w:p>
        </w:tc>
        <w:tc>
          <w:tcPr>
            <w:tcW w:w="1843" w:type="dxa"/>
            <w:tcBorders>
              <w:top w:val="nil"/>
              <w:left w:val="nil"/>
              <w:bottom w:val="single" w:sz="4" w:space="0" w:color="auto"/>
              <w:right w:val="single" w:sz="4" w:space="0" w:color="auto"/>
            </w:tcBorders>
            <w:noWrap/>
            <w:vAlign w:val="bottom"/>
            <w:hideMark/>
          </w:tcPr>
          <w:p w14:paraId="119851EA"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1,05</w:t>
            </w:r>
          </w:p>
        </w:tc>
        <w:tc>
          <w:tcPr>
            <w:tcW w:w="859" w:type="dxa"/>
            <w:tcBorders>
              <w:top w:val="nil"/>
              <w:left w:val="nil"/>
              <w:bottom w:val="single" w:sz="4" w:space="0" w:color="auto"/>
              <w:right w:val="single" w:sz="4" w:space="0" w:color="auto"/>
            </w:tcBorders>
            <w:noWrap/>
            <w:vAlign w:val="bottom"/>
            <w:hideMark/>
          </w:tcPr>
          <w:p w14:paraId="1B8B366E"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46B3EB2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F425B69" w14:textId="77777777" w:rsidTr="00F93754">
        <w:trPr>
          <w:trHeight w:val="300"/>
          <w:jc w:val="center"/>
        </w:trPr>
        <w:tc>
          <w:tcPr>
            <w:tcW w:w="1980" w:type="dxa"/>
            <w:tcBorders>
              <w:top w:val="nil"/>
              <w:left w:val="single" w:sz="4" w:space="0" w:color="auto"/>
              <w:bottom w:val="single" w:sz="4" w:space="0" w:color="auto"/>
              <w:right w:val="single" w:sz="4" w:space="0" w:color="auto"/>
            </w:tcBorders>
            <w:noWrap/>
            <w:vAlign w:val="bottom"/>
            <w:hideMark/>
          </w:tcPr>
          <w:p w14:paraId="116EC068"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471" w:type="dxa"/>
            <w:tcBorders>
              <w:top w:val="nil"/>
              <w:left w:val="nil"/>
              <w:bottom w:val="single" w:sz="4" w:space="0" w:color="auto"/>
              <w:right w:val="single" w:sz="4" w:space="0" w:color="auto"/>
            </w:tcBorders>
            <w:noWrap/>
            <w:vAlign w:val="bottom"/>
            <w:hideMark/>
          </w:tcPr>
          <w:p w14:paraId="60D81F6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22,58</w:t>
            </w:r>
          </w:p>
        </w:tc>
        <w:tc>
          <w:tcPr>
            <w:tcW w:w="655" w:type="dxa"/>
            <w:tcBorders>
              <w:top w:val="nil"/>
              <w:left w:val="nil"/>
              <w:bottom w:val="single" w:sz="4" w:space="0" w:color="auto"/>
              <w:right w:val="single" w:sz="4" w:space="0" w:color="auto"/>
            </w:tcBorders>
            <w:noWrap/>
            <w:vAlign w:val="bottom"/>
            <w:hideMark/>
          </w:tcPr>
          <w:p w14:paraId="5E3AD45E"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43</w:t>
            </w:r>
          </w:p>
        </w:tc>
        <w:tc>
          <w:tcPr>
            <w:tcW w:w="1843" w:type="dxa"/>
            <w:tcBorders>
              <w:top w:val="nil"/>
              <w:left w:val="nil"/>
              <w:bottom w:val="single" w:sz="4" w:space="0" w:color="auto"/>
              <w:right w:val="single" w:sz="4" w:space="0" w:color="auto"/>
            </w:tcBorders>
            <w:noWrap/>
            <w:vAlign w:val="bottom"/>
            <w:hideMark/>
          </w:tcPr>
          <w:p w14:paraId="11F1FB55"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1,13</w:t>
            </w:r>
          </w:p>
        </w:tc>
        <w:tc>
          <w:tcPr>
            <w:tcW w:w="859" w:type="dxa"/>
            <w:tcBorders>
              <w:top w:val="nil"/>
              <w:left w:val="nil"/>
              <w:bottom w:val="single" w:sz="4" w:space="0" w:color="auto"/>
              <w:right w:val="single" w:sz="4" w:space="0" w:color="auto"/>
            </w:tcBorders>
            <w:noWrap/>
            <w:vAlign w:val="bottom"/>
            <w:hideMark/>
          </w:tcPr>
          <w:p w14:paraId="0B43B5E9"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19" w:type="dxa"/>
            <w:tcBorders>
              <w:top w:val="nil"/>
              <w:left w:val="nil"/>
              <w:bottom w:val="single" w:sz="4" w:space="0" w:color="auto"/>
              <w:right w:val="single" w:sz="4" w:space="0" w:color="auto"/>
            </w:tcBorders>
            <w:noWrap/>
            <w:vAlign w:val="bottom"/>
            <w:hideMark/>
          </w:tcPr>
          <w:p w14:paraId="3FA670CE"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bl>
    <w:p w14:paraId="6C6BBF5D" w14:textId="77777777" w:rsidR="00C82BCC" w:rsidRPr="004A05F2" w:rsidRDefault="00C82BCC" w:rsidP="004A05F2">
      <w:pPr>
        <w:pStyle w:val="Sinespaciado"/>
        <w:spacing w:after="360"/>
        <w:rPr>
          <w:rFonts w:ascii="Times New Roman" w:hAnsi="Times New Roman" w:cs="Times New Roman"/>
          <w:sz w:val="24"/>
          <w:szCs w:val="24"/>
        </w:rPr>
      </w:pPr>
      <w:r w:rsidRPr="004A05F2">
        <w:rPr>
          <w:rFonts w:ascii="Times New Roman" w:hAnsi="Times New Roman" w:cs="Times New Roman"/>
          <w:sz w:val="24"/>
          <w:szCs w:val="24"/>
        </w:rPr>
        <w:t>Medias con una letra común no son significativamente diferentes (p &gt; 0,05)</w:t>
      </w:r>
    </w:p>
    <w:p w14:paraId="4D9D55E5" w14:textId="528CCEC4" w:rsidR="006B387C" w:rsidRPr="006B387C" w:rsidRDefault="006B387C" w:rsidP="006B387C">
      <w:pPr>
        <w:pStyle w:val="Descripcin"/>
        <w:keepNext/>
        <w:rPr>
          <w:rFonts w:cs="Times New Roman"/>
          <w:i w:val="0"/>
          <w:iCs w:val="0"/>
          <w:color w:val="auto"/>
          <w:sz w:val="24"/>
          <w:szCs w:val="24"/>
          <w:lang w:eastAsia="en-US"/>
        </w:rPr>
      </w:pPr>
      <w:bookmarkStart w:id="2213" w:name="_Toc79314173"/>
      <w:r w:rsidRPr="006B387C">
        <w:rPr>
          <w:rFonts w:cs="Times New Roman"/>
          <w:b/>
          <w:i w:val="0"/>
          <w:iCs w:val="0"/>
          <w:color w:val="auto"/>
          <w:sz w:val="24"/>
          <w:szCs w:val="24"/>
          <w:lang w:eastAsia="en-US"/>
        </w:rPr>
        <w:t xml:space="preserve">Cuadro </w:t>
      </w:r>
      <w:r w:rsidRPr="006B387C">
        <w:rPr>
          <w:rFonts w:cs="Times New Roman"/>
          <w:b/>
          <w:i w:val="0"/>
          <w:iCs w:val="0"/>
          <w:color w:val="auto"/>
          <w:sz w:val="24"/>
          <w:szCs w:val="24"/>
          <w:lang w:eastAsia="en-US"/>
        </w:rPr>
        <w:fldChar w:fldCharType="begin"/>
      </w:r>
      <w:r w:rsidRPr="006B387C">
        <w:rPr>
          <w:rFonts w:cs="Times New Roman"/>
          <w:b/>
          <w:i w:val="0"/>
          <w:iCs w:val="0"/>
          <w:color w:val="auto"/>
          <w:sz w:val="24"/>
          <w:szCs w:val="24"/>
          <w:lang w:eastAsia="en-US"/>
        </w:rPr>
        <w:instrText xml:space="preserve"> SEQ Cuadro \* ARABIC </w:instrText>
      </w:r>
      <w:r w:rsidRPr="006B387C">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180</w:t>
      </w:r>
      <w:r w:rsidRPr="006B387C">
        <w:rPr>
          <w:rFonts w:cs="Times New Roman"/>
          <w:b/>
          <w:i w:val="0"/>
          <w:iCs w:val="0"/>
          <w:color w:val="auto"/>
          <w:sz w:val="24"/>
          <w:szCs w:val="24"/>
          <w:lang w:eastAsia="en-US"/>
        </w:rPr>
        <w:fldChar w:fldCharType="end"/>
      </w:r>
      <w:r w:rsidRPr="006B387C">
        <w:rPr>
          <w:rFonts w:cs="Times New Roman"/>
          <w:b/>
          <w:i w:val="0"/>
          <w:iCs w:val="0"/>
          <w:color w:val="auto"/>
          <w:sz w:val="24"/>
          <w:szCs w:val="24"/>
          <w:lang w:eastAsia="en-US"/>
        </w:rPr>
        <w:t>.</w:t>
      </w:r>
      <w:r w:rsidRPr="006B387C">
        <w:rPr>
          <w:rFonts w:cs="Times New Roman"/>
          <w:i w:val="0"/>
          <w:iCs w:val="0"/>
          <w:color w:val="auto"/>
          <w:sz w:val="24"/>
          <w:szCs w:val="24"/>
          <w:lang w:eastAsia="en-US"/>
        </w:rPr>
        <w:t xml:space="preserve"> Absorción total de magnesio en plantas de maíz suave para diversas dosis de azufre evaluado en las provincias de Bolívar, Chimborazo, Imbabura 2006-2015.</w:t>
      </w:r>
      <w:bookmarkEnd w:id="2213"/>
    </w:p>
    <w:tbl>
      <w:tblPr>
        <w:tblW w:w="8129" w:type="dxa"/>
        <w:jc w:val="center"/>
        <w:tblCellMar>
          <w:left w:w="70" w:type="dxa"/>
          <w:right w:w="70" w:type="dxa"/>
        </w:tblCellMar>
        <w:tblLook w:val="04A0" w:firstRow="1" w:lastRow="0" w:firstColumn="1" w:lastColumn="0" w:noHBand="0" w:noVBand="1"/>
      </w:tblPr>
      <w:tblGrid>
        <w:gridCol w:w="1838"/>
        <w:gridCol w:w="1134"/>
        <w:gridCol w:w="709"/>
        <w:gridCol w:w="1984"/>
        <w:gridCol w:w="567"/>
        <w:gridCol w:w="567"/>
        <w:gridCol w:w="709"/>
        <w:gridCol w:w="621"/>
      </w:tblGrid>
      <w:tr w:rsidR="004A05F2" w14:paraId="178A1329" w14:textId="77777777" w:rsidTr="004A05F2">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bottom"/>
            <w:hideMark/>
          </w:tcPr>
          <w:p w14:paraId="4429FCE5" w14:textId="77777777" w:rsidR="004A05F2" w:rsidRDefault="004A05F2">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S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134" w:type="dxa"/>
            <w:tcBorders>
              <w:top w:val="single" w:sz="4" w:space="0" w:color="auto"/>
              <w:left w:val="nil"/>
              <w:bottom w:val="single" w:sz="4" w:space="0" w:color="auto"/>
              <w:right w:val="single" w:sz="4" w:space="0" w:color="auto"/>
            </w:tcBorders>
            <w:noWrap/>
            <w:vAlign w:val="bottom"/>
            <w:hideMark/>
          </w:tcPr>
          <w:p w14:paraId="19D7A473" w14:textId="77777777" w:rsidR="004A05F2" w:rsidRDefault="004A05F2">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709" w:type="dxa"/>
            <w:tcBorders>
              <w:top w:val="single" w:sz="4" w:space="0" w:color="auto"/>
              <w:left w:val="nil"/>
              <w:bottom w:val="single" w:sz="4" w:space="0" w:color="auto"/>
              <w:right w:val="single" w:sz="4" w:space="0" w:color="auto"/>
            </w:tcBorders>
            <w:noWrap/>
            <w:vAlign w:val="bottom"/>
            <w:hideMark/>
          </w:tcPr>
          <w:p w14:paraId="00CC9FA8" w14:textId="77777777" w:rsidR="004A05F2" w:rsidRDefault="004A05F2">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984" w:type="dxa"/>
            <w:tcBorders>
              <w:top w:val="single" w:sz="4" w:space="0" w:color="auto"/>
              <w:left w:val="nil"/>
              <w:bottom w:val="single" w:sz="4" w:space="0" w:color="auto"/>
              <w:right w:val="single" w:sz="4" w:space="0" w:color="auto"/>
            </w:tcBorders>
            <w:noWrap/>
            <w:vAlign w:val="bottom"/>
            <w:hideMark/>
          </w:tcPr>
          <w:p w14:paraId="45159545" w14:textId="77777777" w:rsidR="004A05F2" w:rsidRDefault="004A05F2" w:rsidP="004A05F2">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2464" w:type="dxa"/>
            <w:gridSpan w:val="4"/>
            <w:tcBorders>
              <w:top w:val="single" w:sz="4" w:space="0" w:color="auto"/>
              <w:left w:val="single" w:sz="4" w:space="0" w:color="auto"/>
              <w:bottom w:val="single" w:sz="4" w:space="0" w:color="auto"/>
              <w:right w:val="single" w:sz="4" w:space="0" w:color="auto"/>
            </w:tcBorders>
            <w:noWrap/>
            <w:vAlign w:val="bottom"/>
            <w:hideMark/>
          </w:tcPr>
          <w:p w14:paraId="19BD8AFF" w14:textId="2C0D2808" w:rsidR="004A05F2" w:rsidRDefault="004A05F2" w:rsidP="004A05F2">
            <w:pPr>
              <w:spacing w:after="0" w:line="36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Lsd 0,05</w:t>
            </w:r>
          </w:p>
        </w:tc>
      </w:tr>
      <w:tr w:rsidR="00C82BCC" w14:paraId="15D31F76" w14:textId="77777777" w:rsidTr="004A05F2">
        <w:trPr>
          <w:trHeight w:val="300"/>
          <w:jc w:val="center"/>
        </w:trPr>
        <w:tc>
          <w:tcPr>
            <w:tcW w:w="1838" w:type="dxa"/>
            <w:tcBorders>
              <w:top w:val="nil"/>
              <w:left w:val="single" w:sz="4" w:space="0" w:color="auto"/>
              <w:bottom w:val="single" w:sz="4" w:space="0" w:color="auto"/>
              <w:right w:val="single" w:sz="4" w:space="0" w:color="auto"/>
            </w:tcBorders>
            <w:noWrap/>
            <w:vAlign w:val="bottom"/>
            <w:hideMark/>
          </w:tcPr>
          <w:p w14:paraId="270DD10E"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16</w:t>
            </w:r>
          </w:p>
        </w:tc>
        <w:tc>
          <w:tcPr>
            <w:tcW w:w="1134" w:type="dxa"/>
            <w:tcBorders>
              <w:top w:val="nil"/>
              <w:left w:val="nil"/>
              <w:bottom w:val="single" w:sz="4" w:space="0" w:color="auto"/>
              <w:right w:val="single" w:sz="4" w:space="0" w:color="auto"/>
            </w:tcBorders>
            <w:noWrap/>
            <w:vAlign w:val="bottom"/>
            <w:hideMark/>
          </w:tcPr>
          <w:p w14:paraId="5819D2A9"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8,26</w:t>
            </w:r>
          </w:p>
        </w:tc>
        <w:tc>
          <w:tcPr>
            <w:tcW w:w="709" w:type="dxa"/>
            <w:tcBorders>
              <w:top w:val="nil"/>
              <w:left w:val="nil"/>
              <w:bottom w:val="single" w:sz="4" w:space="0" w:color="auto"/>
              <w:right w:val="single" w:sz="4" w:space="0" w:color="auto"/>
            </w:tcBorders>
            <w:noWrap/>
            <w:vAlign w:val="bottom"/>
            <w:hideMark/>
          </w:tcPr>
          <w:p w14:paraId="71B38FA8"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984" w:type="dxa"/>
            <w:tcBorders>
              <w:top w:val="nil"/>
              <w:left w:val="nil"/>
              <w:bottom w:val="single" w:sz="4" w:space="0" w:color="auto"/>
              <w:right w:val="single" w:sz="4" w:space="0" w:color="auto"/>
            </w:tcBorders>
            <w:noWrap/>
            <w:vAlign w:val="bottom"/>
            <w:hideMark/>
          </w:tcPr>
          <w:p w14:paraId="109B2050"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3,09</w:t>
            </w:r>
          </w:p>
        </w:tc>
        <w:tc>
          <w:tcPr>
            <w:tcW w:w="567" w:type="dxa"/>
            <w:tcBorders>
              <w:top w:val="single" w:sz="4" w:space="0" w:color="auto"/>
              <w:left w:val="nil"/>
              <w:bottom w:val="single" w:sz="4" w:space="0" w:color="auto"/>
              <w:right w:val="single" w:sz="4" w:space="0" w:color="auto"/>
            </w:tcBorders>
            <w:noWrap/>
            <w:vAlign w:val="bottom"/>
            <w:hideMark/>
          </w:tcPr>
          <w:p w14:paraId="2A334F57"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567" w:type="dxa"/>
            <w:tcBorders>
              <w:top w:val="single" w:sz="4" w:space="0" w:color="auto"/>
              <w:left w:val="nil"/>
              <w:bottom w:val="single" w:sz="4" w:space="0" w:color="auto"/>
              <w:right w:val="single" w:sz="4" w:space="0" w:color="auto"/>
            </w:tcBorders>
            <w:noWrap/>
            <w:vAlign w:val="bottom"/>
            <w:hideMark/>
          </w:tcPr>
          <w:p w14:paraId="0D7791E1"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9" w:type="dxa"/>
            <w:tcBorders>
              <w:top w:val="single" w:sz="4" w:space="0" w:color="auto"/>
              <w:left w:val="nil"/>
              <w:bottom w:val="single" w:sz="4" w:space="0" w:color="auto"/>
              <w:right w:val="single" w:sz="4" w:space="0" w:color="auto"/>
            </w:tcBorders>
            <w:noWrap/>
            <w:vAlign w:val="bottom"/>
            <w:hideMark/>
          </w:tcPr>
          <w:p w14:paraId="3F240CFA"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21" w:type="dxa"/>
            <w:tcBorders>
              <w:top w:val="single" w:sz="4" w:space="0" w:color="auto"/>
              <w:left w:val="nil"/>
              <w:bottom w:val="single" w:sz="4" w:space="0" w:color="auto"/>
              <w:right w:val="single" w:sz="4" w:space="0" w:color="auto"/>
            </w:tcBorders>
            <w:noWrap/>
            <w:vAlign w:val="bottom"/>
            <w:hideMark/>
          </w:tcPr>
          <w:p w14:paraId="65129B0D"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68FE731D" w14:textId="77777777" w:rsidTr="004A05F2">
        <w:trPr>
          <w:trHeight w:val="300"/>
          <w:jc w:val="center"/>
        </w:trPr>
        <w:tc>
          <w:tcPr>
            <w:tcW w:w="1838" w:type="dxa"/>
            <w:tcBorders>
              <w:top w:val="nil"/>
              <w:left w:val="single" w:sz="4" w:space="0" w:color="auto"/>
              <w:bottom w:val="single" w:sz="4" w:space="0" w:color="auto"/>
              <w:right w:val="single" w:sz="4" w:space="0" w:color="auto"/>
            </w:tcBorders>
            <w:noWrap/>
            <w:vAlign w:val="bottom"/>
            <w:hideMark/>
          </w:tcPr>
          <w:p w14:paraId="5F6AAE42"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40</w:t>
            </w:r>
          </w:p>
        </w:tc>
        <w:tc>
          <w:tcPr>
            <w:tcW w:w="1134" w:type="dxa"/>
            <w:tcBorders>
              <w:top w:val="nil"/>
              <w:left w:val="nil"/>
              <w:bottom w:val="single" w:sz="4" w:space="0" w:color="auto"/>
              <w:right w:val="single" w:sz="4" w:space="0" w:color="auto"/>
            </w:tcBorders>
            <w:noWrap/>
            <w:vAlign w:val="bottom"/>
            <w:hideMark/>
          </w:tcPr>
          <w:p w14:paraId="1AAC0341"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17,09</w:t>
            </w:r>
          </w:p>
        </w:tc>
        <w:tc>
          <w:tcPr>
            <w:tcW w:w="709" w:type="dxa"/>
            <w:tcBorders>
              <w:top w:val="nil"/>
              <w:left w:val="nil"/>
              <w:bottom w:val="single" w:sz="4" w:space="0" w:color="auto"/>
              <w:right w:val="single" w:sz="4" w:space="0" w:color="auto"/>
            </w:tcBorders>
            <w:noWrap/>
            <w:vAlign w:val="bottom"/>
            <w:hideMark/>
          </w:tcPr>
          <w:p w14:paraId="54058FF5"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42</w:t>
            </w:r>
          </w:p>
        </w:tc>
        <w:tc>
          <w:tcPr>
            <w:tcW w:w="1984" w:type="dxa"/>
            <w:tcBorders>
              <w:top w:val="nil"/>
              <w:left w:val="nil"/>
              <w:bottom w:val="single" w:sz="4" w:space="0" w:color="auto"/>
              <w:right w:val="single" w:sz="4" w:space="0" w:color="auto"/>
            </w:tcBorders>
            <w:noWrap/>
            <w:vAlign w:val="bottom"/>
            <w:hideMark/>
          </w:tcPr>
          <w:p w14:paraId="74707E72"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1,14</w:t>
            </w:r>
          </w:p>
        </w:tc>
        <w:tc>
          <w:tcPr>
            <w:tcW w:w="567" w:type="dxa"/>
            <w:tcBorders>
              <w:top w:val="nil"/>
              <w:left w:val="nil"/>
              <w:bottom w:val="single" w:sz="4" w:space="0" w:color="auto"/>
              <w:right w:val="single" w:sz="4" w:space="0" w:color="auto"/>
            </w:tcBorders>
            <w:noWrap/>
            <w:vAlign w:val="bottom"/>
            <w:hideMark/>
          </w:tcPr>
          <w:p w14:paraId="1AAFD074"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7" w:type="dxa"/>
            <w:tcBorders>
              <w:top w:val="nil"/>
              <w:left w:val="nil"/>
              <w:bottom w:val="single" w:sz="4" w:space="0" w:color="auto"/>
              <w:right w:val="single" w:sz="4" w:space="0" w:color="auto"/>
            </w:tcBorders>
            <w:noWrap/>
            <w:vAlign w:val="bottom"/>
            <w:hideMark/>
          </w:tcPr>
          <w:p w14:paraId="65DCC17D"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09" w:type="dxa"/>
            <w:tcBorders>
              <w:top w:val="nil"/>
              <w:left w:val="nil"/>
              <w:bottom w:val="single" w:sz="4" w:space="0" w:color="auto"/>
              <w:right w:val="single" w:sz="4" w:space="0" w:color="auto"/>
            </w:tcBorders>
            <w:noWrap/>
            <w:vAlign w:val="bottom"/>
            <w:hideMark/>
          </w:tcPr>
          <w:p w14:paraId="60F7BFF6"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21" w:type="dxa"/>
            <w:tcBorders>
              <w:top w:val="nil"/>
              <w:left w:val="nil"/>
              <w:bottom w:val="single" w:sz="4" w:space="0" w:color="auto"/>
              <w:right w:val="single" w:sz="4" w:space="0" w:color="auto"/>
            </w:tcBorders>
            <w:noWrap/>
            <w:vAlign w:val="bottom"/>
            <w:hideMark/>
          </w:tcPr>
          <w:p w14:paraId="1B8C1B42"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408D87DD" w14:textId="77777777" w:rsidTr="004A05F2">
        <w:trPr>
          <w:trHeight w:val="300"/>
          <w:jc w:val="center"/>
        </w:trPr>
        <w:tc>
          <w:tcPr>
            <w:tcW w:w="1838" w:type="dxa"/>
            <w:tcBorders>
              <w:top w:val="nil"/>
              <w:left w:val="single" w:sz="4" w:space="0" w:color="auto"/>
              <w:bottom w:val="single" w:sz="4" w:space="0" w:color="auto"/>
              <w:right w:val="single" w:sz="4" w:space="0" w:color="auto"/>
            </w:tcBorders>
            <w:noWrap/>
            <w:vAlign w:val="bottom"/>
            <w:hideMark/>
          </w:tcPr>
          <w:p w14:paraId="04930BF6"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134" w:type="dxa"/>
            <w:tcBorders>
              <w:top w:val="nil"/>
              <w:left w:val="nil"/>
              <w:bottom w:val="single" w:sz="4" w:space="0" w:color="auto"/>
              <w:right w:val="single" w:sz="4" w:space="0" w:color="auto"/>
            </w:tcBorders>
            <w:noWrap/>
            <w:vAlign w:val="bottom"/>
            <w:hideMark/>
          </w:tcPr>
          <w:p w14:paraId="183E897A"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19,16</w:t>
            </w:r>
          </w:p>
        </w:tc>
        <w:tc>
          <w:tcPr>
            <w:tcW w:w="709" w:type="dxa"/>
            <w:tcBorders>
              <w:top w:val="nil"/>
              <w:left w:val="nil"/>
              <w:bottom w:val="single" w:sz="4" w:space="0" w:color="auto"/>
              <w:right w:val="single" w:sz="4" w:space="0" w:color="auto"/>
            </w:tcBorders>
            <w:noWrap/>
            <w:vAlign w:val="bottom"/>
            <w:hideMark/>
          </w:tcPr>
          <w:p w14:paraId="322CCE22"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76</w:t>
            </w:r>
          </w:p>
        </w:tc>
        <w:tc>
          <w:tcPr>
            <w:tcW w:w="1984" w:type="dxa"/>
            <w:tcBorders>
              <w:top w:val="nil"/>
              <w:left w:val="nil"/>
              <w:bottom w:val="single" w:sz="4" w:space="0" w:color="auto"/>
              <w:right w:val="single" w:sz="4" w:space="0" w:color="auto"/>
            </w:tcBorders>
            <w:noWrap/>
            <w:vAlign w:val="bottom"/>
            <w:hideMark/>
          </w:tcPr>
          <w:p w14:paraId="7BECCCC2"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1,11</w:t>
            </w:r>
          </w:p>
        </w:tc>
        <w:tc>
          <w:tcPr>
            <w:tcW w:w="567" w:type="dxa"/>
            <w:tcBorders>
              <w:top w:val="nil"/>
              <w:left w:val="nil"/>
              <w:bottom w:val="single" w:sz="4" w:space="0" w:color="auto"/>
              <w:right w:val="single" w:sz="4" w:space="0" w:color="auto"/>
            </w:tcBorders>
            <w:noWrap/>
            <w:vAlign w:val="bottom"/>
            <w:hideMark/>
          </w:tcPr>
          <w:p w14:paraId="46782995"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7" w:type="dxa"/>
            <w:tcBorders>
              <w:top w:val="nil"/>
              <w:left w:val="nil"/>
              <w:bottom w:val="single" w:sz="4" w:space="0" w:color="auto"/>
              <w:right w:val="single" w:sz="4" w:space="0" w:color="auto"/>
            </w:tcBorders>
            <w:noWrap/>
            <w:vAlign w:val="bottom"/>
            <w:hideMark/>
          </w:tcPr>
          <w:p w14:paraId="0AE023C1"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c>
          <w:tcPr>
            <w:tcW w:w="709" w:type="dxa"/>
            <w:tcBorders>
              <w:top w:val="nil"/>
              <w:left w:val="nil"/>
              <w:bottom w:val="single" w:sz="4" w:space="0" w:color="auto"/>
              <w:right w:val="single" w:sz="4" w:space="0" w:color="auto"/>
            </w:tcBorders>
            <w:noWrap/>
            <w:vAlign w:val="bottom"/>
            <w:hideMark/>
          </w:tcPr>
          <w:p w14:paraId="53C868CC"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621" w:type="dxa"/>
            <w:tcBorders>
              <w:top w:val="nil"/>
              <w:left w:val="nil"/>
              <w:bottom w:val="single" w:sz="4" w:space="0" w:color="auto"/>
              <w:right w:val="single" w:sz="4" w:space="0" w:color="auto"/>
            </w:tcBorders>
            <w:noWrap/>
            <w:vAlign w:val="bottom"/>
            <w:hideMark/>
          </w:tcPr>
          <w:p w14:paraId="4A69311A"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9C20C45" w14:textId="77777777" w:rsidTr="004A05F2">
        <w:trPr>
          <w:trHeight w:val="300"/>
          <w:jc w:val="center"/>
        </w:trPr>
        <w:tc>
          <w:tcPr>
            <w:tcW w:w="1838" w:type="dxa"/>
            <w:tcBorders>
              <w:top w:val="nil"/>
              <w:left w:val="single" w:sz="4" w:space="0" w:color="auto"/>
              <w:bottom w:val="single" w:sz="4" w:space="0" w:color="auto"/>
              <w:right w:val="single" w:sz="4" w:space="0" w:color="auto"/>
            </w:tcBorders>
            <w:noWrap/>
            <w:vAlign w:val="bottom"/>
            <w:hideMark/>
          </w:tcPr>
          <w:p w14:paraId="10A205D3"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134" w:type="dxa"/>
            <w:tcBorders>
              <w:top w:val="nil"/>
              <w:left w:val="nil"/>
              <w:bottom w:val="single" w:sz="4" w:space="0" w:color="auto"/>
              <w:right w:val="single" w:sz="4" w:space="0" w:color="auto"/>
            </w:tcBorders>
            <w:noWrap/>
            <w:vAlign w:val="bottom"/>
            <w:hideMark/>
          </w:tcPr>
          <w:p w14:paraId="32C62FA4"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21,03</w:t>
            </w:r>
          </w:p>
        </w:tc>
        <w:tc>
          <w:tcPr>
            <w:tcW w:w="709" w:type="dxa"/>
            <w:tcBorders>
              <w:top w:val="nil"/>
              <w:left w:val="nil"/>
              <w:bottom w:val="single" w:sz="4" w:space="0" w:color="auto"/>
              <w:right w:val="single" w:sz="4" w:space="0" w:color="auto"/>
            </w:tcBorders>
            <w:noWrap/>
            <w:vAlign w:val="bottom"/>
            <w:hideMark/>
          </w:tcPr>
          <w:p w14:paraId="781E850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69</w:t>
            </w:r>
          </w:p>
        </w:tc>
        <w:tc>
          <w:tcPr>
            <w:tcW w:w="1984" w:type="dxa"/>
            <w:tcBorders>
              <w:top w:val="nil"/>
              <w:left w:val="nil"/>
              <w:bottom w:val="single" w:sz="4" w:space="0" w:color="auto"/>
              <w:right w:val="single" w:sz="4" w:space="0" w:color="auto"/>
            </w:tcBorders>
            <w:noWrap/>
            <w:vAlign w:val="bottom"/>
            <w:hideMark/>
          </w:tcPr>
          <w:p w14:paraId="45E39286"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0,94</w:t>
            </w:r>
          </w:p>
        </w:tc>
        <w:tc>
          <w:tcPr>
            <w:tcW w:w="567" w:type="dxa"/>
            <w:tcBorders>
              <w:top w:val="nil"/>
              <w:left w:val="nil"/>
              <w:bottom w:val="single" w:sz="4" w:space="0" w:color="auto"/>
              <w:right w:val="single" w:sz="4" w:space="0" w:color="auto"/>
            </w:tcBorders>
            <w:noWrap/>
            <w:vAlign w:val="bottom"/>
            <w:hideMark/>
          </w:tcPr>
          <w:p w14:paraId="4679051B"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7" w:type="dxa"/>
            <w:tcBorders>
              <w:top w:val="nil"/>
              <w:left w:val="nil"/>
              <w:bottom w:val="single" w:sz="4" w:space="0" w:color="auto"/>
              <w:right w:val="single" w:sz="4" w:space="0" w:color="auto"/>
            </w:tcBorders>
            <w:noWrap/>
            <w:vAlign w:val="bottom"/>
            <w:hideMark/>
          </w:tcPr>
          <w:p w14:paraId="2BC5C243"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9" w:type="dxa"/>
            <w:tcBorders>
              <w:top w:val="nil"/>
              <w:left w:val="nil"/>
              <w:bottom w:val="single" w:sz="4" w:space="0" w:color="auto"/>
              <w:right w:val="single" w:sz="4" w:space="0" w:color="auto"/>
            </w:tcBorders>
            <w:noWrap/>
            <w:vAlign w:val="bottom"/>
            <w:hideMark/>
          </w:tcPr>
          <w:p w14:paraId="5CBA5BEE"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C </w:t>
            </w:r>
          </w:p>
        </w:tc>
        <w:tc>
          <w:tcPr>
            <w:tcW w:w="621" w:type="dxa"/>
            <w:tcBorders>
              <w:top w:val="nil"/>
              <w:left w:val="nil"/>
              <w:bottom w:val="single" w:sz="4" w:space="0" w:color="auto"/>
              <w:right w:val="single" w:sz="4" w:space="0" w:color="auto"/>
            </w:tcBorders>
            <w:noWrap/>
            <w:vAlign w:val="bottom"/>
            <w:hideMark/>
          </w:tcPr>
          <w:p w14:paraId="7465A042"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r w:rsidR="00C82BCC" w14:paraId="66F68533" w14:textId="77777777" w:rsidTr="004A05F2">
        <w:trPr>
          <w:trHeight w:val="300"/>
          <w:jc w:val="center"/>
        </w:trPr>
        <w:tc>
          <w:tcPr>
            <w:tcW w:w="1838" w:type="dxa"/>
            <w:tcBorders>
              <w:top w:val="nil"/>
              <w:left w:val="single" w:sz="4" w:space="0" w:color="auto"/>
              <w:bottom w:val="single" w:sz="4" w:space="0" w:color="auto"/>
              <w:right w:val="single" w:sz="4" w:space="0" w:color="auto"/>
            </w:tcBorders>
            <w:noWrap/>
            <w:vAlign w:val="bottom"/>
            <w:hideMark/>
          </w:tcPr>
          <w:p w14:paraId="245D9C7E"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134" w:type="dxa"/>
            <w:tcBorders>
              <w:top w:val="nil"/>
              <w:left w:val="nil"/>
              <w:bottom w:val="single" w:sz="4" w:space="0" w:color="auto"/>
              <w:right w:val="single" w:sz="4" w:space="0" w:color="auto"/>
            </w:tcBorders>
            <w:noWrap/>
            <w:vAlign w:val="bottom"/>
            <w:hideMark/>
          </w:tcPr>
          <w:p w14:paraId="36495721"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23,32</w:t>
            </w:r>
          </w:p>
        </w:tc>
        <w:tc>
          <w:tcPr>
            <w:tcW w:w="709" w:type="dxa"/>
            <w:tcBorders>
              <w:top w:val="nil"/>
              <w:left w:val="nil"/>
              <w:bottom w:val="single" w:sz="4" w:space="0" w:color="auto"/>
              <w:right w:val="single" w:sz="4" w:space="0" w:color="auto"/>
            </w:tcBorders>
            <w:noWrap/>
            <w:vAlign w:val="bottom"/>
            <w:hideMark/>
          </w:tcPr>
          <w:p w14:paraId="36A06029"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49</w:t>
            </w:r>
          </w:p>
        </w:tc>
        <w:tc>
          <w:tcPr>
            <w:tcW w:w="1984" w:type="dxa"/>
            <w:tcBorders>
              <w:top w:val="nil"/>
              <w:left w:val="nil"/>
              <w:bottom w:val="single" w:sz="4" w:space="0" w:color="auto"/>
              <w:right w:val="single" w:sz="4" w:space="0" w:color="auto"/>
            </w:tcBorders>
            <w:noWrap/>
            <w:vAlign w:val="bottom"/>
            <w:hideMark/>
          </w:tcPr>
          <w:p w14:paraId="4195D033"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1,12</w:t>
            </w:r>
          </w:p>
        </w:tc>
        <w:tc>
          <w:tcPr>
            <w:tcW w:w="567" w:type="dxa"/>
            <w:tcBorders>
              <w:top w:val="nil"/>
              <w:left w:val="nil"/>
              <w:bottom w:val="single" w:sz="4" w:space="0" w:color="auto"/>
              <w:right w:val="single" w:sz="4" w:space="0" w:color="auto"/>
            </w:tcBorders>
            <w:noWrap/>
            <w:vAlign w:val="bottom"/>
            <w:hideMark/>
          </w:tcPr>
          <w:p w14:paraId="2B60FD0F"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567" w:type="dxa"/>
            <w:tcBorders>
              <w:top w:val="nil"/>
              <w:left w:val="nil"/>
              <w:bottom w:val="single" w:sz="4" w:space="0" w:color="auto"/>
              <w:right w:val="single" w:sz="4" w:space="0" w:color="auto"/>
            </w:tcBorders>
            <w:noWrap/>
            <w:vAlign w:val="bottom"/>
            <w:hideMark/>
          </w:tcPr>
          <w:p w14:paraId="42D8FBB2"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709" w:type="dxa"/>
            <w:tcBorders>
              <w:top w:val="nil"/>
              <w:left w:val="nil"/>
              <w:bottom w:val="single" w:sz="4" w:space="0" w:color="auto"/>
              <w:right w:val="single" w:sz="4" w:space="0" w:color="auto"/>
            </w:tcBorders>
            <w:noWrap/>
            <w:vAlign w:val="bottom"/>
            <w:hideMark/>
          </w:tcPr>
          <w:p w14:paraId="193CADF0"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621" w:type="dxa"/>
            <w:tcBorders>
              <w:top w:val="nil"/>
              <w:left w:val="nil"/>
              <w:bottom w:val="single" w:sz="4" w:space="0" w:color="auto"/>
              <w:right w:val="single" w:sz="4" w:space="0" w:color="auto"/>
            </w:tcBorders>
            <w:noWrap/>
            <w:vAlign w:val="bottom"/>
            <w:hideMark/>
          </w:tcPr>
          <w:p w14:paraId="47E99499" w14:textId="77777777" w:rsidR="00C82BCC" w:rsidRDefault="00C82BCC">
            <w:pPr>
              <w:spacing w:after="0" w:line="36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D </w:t>
            </w:r>
          </w:p>
        </w:tc>
      </w:tr>
    </w:tbl>
    <w:p w14:paraId="47F08B03" w14:textId="77777777" w:rsidR="004A05F2" w:rsidRDefault="00C82BCC" w:rsidP="004A05F2">
      <w:pPr>
        <w:autoSpaceDE w:val="0"/>
        <w:autoSpaceDN w:val="0"/>
        <w:adjustRightInd w:val="0"/>
        <w:spacing w:after="360" w:line="360" w:lineRule="auto"/>
        <w:rPr>
          <w:rFonts w:cs="Times New Roman"/>
          <w:szCs w:val="24"/>
        </w:rPr>
      </w:pPr>
      <w:r>
        <w:rPr>
          <w:rFonts w:cs="Times New Roman"/>
          <w:szCs w:val="24"/>
        </w:rPr>
        <w:t>Medias con una letra común no son significativamente diferentes (p &gt; 0,05)</w:t>
      </w:r>
      <w:bookmarkStart w:id="2214" w:name="_Toc79314174"/>
      <w:bookmarkStart w:id="2215" w:name="_Toc72706453"/>
      <w:bookmarkStart w:id="2216" w:name="_Toc72741403"/>
      <w:bookmarkStart w:id="2217" w:name="_Toc72742201"/>
      <w:bookmarkStart w:id="2218" w:name="_Toc72881347"/>
      <w:bookmarkStart w:id="2219" w:name="_Toc72882800"/>
      <w:bookmarkStart w:id="2220" w:name="_Toc75606586"/>
      <w:bookmarkStart w:id="2221" w:name="_Toc75612911"/>
      <w:bookmarkStart w:id="2222" w:name="_Toc75680067"/>
      <w:bookmarkStart w:id="2223" w:name="_Toc75702675"/>
    </w:p>
    <w:p w14:paraId="041EEB41" w14:textId="5C5C7247" w:rsidR="006B387C" w:rsidRPr="004A05F2" w:rsidRDefault="006B387C" w:rsidP="004A05F2">
      <w:pPr>
        <w:autoSpaceDE w:val="0"/>
        <w:autoSpaceDN w:val="0"/>
        <w:adjustRightInd w:val="0"/>
        <w:spacing w:before="360" w:after="0" w:line="360" w:lineRule="auto"/>
        <w:rPr>
          <w:rFonts w:cs="Times New Roman"/>
          <w:szCs w:val="24"/>
        </w:rPr>
      </w:pPr>
      <w:r w:rsidRPr="006B387C">
        <w:rPr>
          <w:rFonts w:cs="Times New Roman"/>
          <w:b/>
          <w:szCs w:val="24"/>
        </w:rPr>
        <w:t xml:space="preserve">Cuadro </w:t>
      </w:r>
      <w:r w:rsidRPr="006B387C">
        <w:rPr>
          <w:rFonts w:cs="Times New Roman"/>
          <w:b/>
          <w:i/>
          <w:iCs/>
          <w:szCs w:val="24"/>
        </w:rPr>
        <w:fldChar w:fldCharType="begin"/>
      </w:r>
      <w:r w:rsidRPr="006B387C">
        <w:rPr>
          <w:rFonts w:cs="Times New Roman"/>
          <w:b/>
          <w:szCs w:val="24"/>
        </w:rPr>
        <w:instrText xml:space="preserve"> SEQ Cuadro \* ARABIC </w:instrText>
      </w:r>
      <w:r w:rsidRPr="006B387C">
        <w:rPr>
          <w:rFonts w:cs="Times New Roman"/>
          <w:b/>
          <w:i/>
          <w:iCs/>
          <w:szCs w:val="24"/>
        </w:rPr>
        <w:fldChar w:fldCharType="separate"/>
      </w:r>
      <w:r w:rsidR="000D1F55">
        <w:rPr>
          <w:rFonts w:cs="Times New Roman"/>
          <w:b/>
          <w:noProof/>
          <w:szCs w:val="24"/>
        </w:rPr>
        <w:t>181</w:t>
      </w:r>
      <w:r w:rsidRPr="006B387C">
        <w:rPr>
          <w:rFonts w:cs="Times New Roman"/>
          <w:b/>
          <w:i/>
          <w:iCs/>
          <w:szCs w:val="24"/>
        </w:rPr>
        <w:fldChar w:fldCharType="end"/>
      </w:r>
      <w:r w:rsidRPr="006B387C">
        <w:rPr>
          <w:rFonts w:cs="Times New Roman"/>
          <w:b/>
          <w:szCs w:val="24"/>
        </w:rPr>
        <w:t>.</w:t>
      </w:r>
      <w:r w:rsidRPr="006B387C">
        <w:rPr>
          <w:rFonts w:cs="Times New Roman"/>
          <w:szCs w:val="24"/>
        </w:rPr>
        <w:t xml:space="preserve"> Absorción total de magnesio en plantas de maíz suave para diversas dosis de magnesio evaluado en las provincias de Bolívar, Chimborazo, Imbabura 2006-2015.</w:t>
      </w:r>
      <w:bookmarkEnd w:id="2214"/>
    </w:p>
    <w:tbl>
      <w:tblPr>
        <w:tblW w:w="7927" w:type="dxa"/>
        <w:jc w:val="center"/>
        <w:tblCellMar>
          <w:left w:w="70" w:type="dxa"/>
          <w:right w:w="70" w:type="dxa"/>
        </w:tblCellMar>
        <w:tblLook w:val="04A0" w:firstRow="1" w:lastRow="0" w:firstColumn="1" w:lastColumn="0" w:noHBand="0" w:noVBand="1"/>
      </w:tblPr>
      <w:tblGrid>
        <w:gridCol w:w="2263"/>
        <w:gridCol w:w="1040"/>
        <w:gridCol w:w="520"/>
        <w:gridCol w:w="1792"/>
        <w:gridCol w:w="1156"/>
        <w:gridCol w:w="1156"/>
      </w:tblGrid>
      <w:tr w:rsidR="00C82BCC" w14:paraId="6E814A31" w14:textId="77777777" w:rsidTr="00F93754">
        <w:trPr>
          <w:trHeight w:val="300"/>
          <w:jc w:val="center"/>
        </w:trPr>
        <w:tc>
          <w:tcPr>
            <w:tcW w:w="2263" w:type="dxa"/>
            <w:tcBorders>
              <w:top w:val="single" w:sz="4" w:space="0" w:color="auto"/>
              <w:left w:val="single" w:sz="4" w:space="0" w:color="auto"/>
              <w:bottom w:val="single" w:sz="4" w:space="0" w:color="auto"/>
              <w:right w:val="single" w:sz="4" w:space="0" w:color="auto"/>
            </w:tcBorders>
            <w:noWrap/>
            <w:vAlign w:val="bottom"/>
            <w:hideMark/>
          </w:tcPr>
          <w:bookmarkEnd w:id="2215"/>
          <w:bookmarkEnd w:id="2216"/>
          <w:bookmarkEnd w:id="2217"/>
          <w:bookmarkEnd w:id="2218"/>
          <w:bookmarkEnd w:id="2219"/>
          <w:bookmarkEnd w:id="2220"/>
          <w:bookmarkEnd w:id="2221"/>
          <w:bookmarkEnd w:id="2222"/>
          <w:bookmarkEnd w:id="2223"/>
          <w:p w14:paraId="7F0EC23D" w14:textId="77777777" w:rsidR="00C82BCC" w:rsidRDefault="00C82BCC" w:rsidP="009F799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Dosis Mg (kg ha-</w:t>
            </w:r>
            <w:r>
              <w:rPr>
                <w:rFonts w:eastAsia="Times New Roman" w:cs="Times New Roman"/>
                <w:b/>
                <w:bCs/>
                <w:color w:val="000000"/>
                <w:szCs w:val="24"/>
                <w:vertAlign w:val="superscript"/>
                <w:lang w:eastAsia="es-EC"/>
              </w:rPr>
              <w:t>1</w:t>
            </w:r>
            <w:r>
              <w:rPr>
                <w:rFonts w:eastAsia="Times New Roman" w:cs="Times New Roman"/>
                <w:b/>
                <w:bCs/>
                <w:color w:val="000000"/>
                <w:szCs w:val="24"/>
                <w:lang w:eastAsia="es-EC"/>
              </w:rPr>
              <w:t>)</w:t>
            </w:r>
          </w:p>
        </w:tc>
        <w:tc>
          <w:tcPr>
            <w:tcW w:w="1040" w:type="dxa"/>
            <w:tcBorders>
              <w:top w:val="single" w:sz="4" w:space="0" w:color="auto"/>
              <w:left w:val="nil"/>
              <w:bottom w:val="single" w:sz="4" w:space="0" w:color="auto"/>
              <w:right w:val="single" w:sz="4" w:space="0" w:color="auto"/>
            </w:tcBorders>
            <w:noWrap/>
            <w:vAlign w:val="bottom"/>
            <w:hideMark/>
          </w:tcPr>
          <w:p w14:paraId="743EA6C0" w14:textId="77777777" w:rsidR="00C82BCC" w:rsidRDefault="00C82BCC" w:rsidP="009F799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Medias</w:t>
            </w:r>
          </w:p>
        </w:tc>
        <w:tc>
          <w:tcPr>
            <w:tcW w:w="520" w:type="dxa"/>
            <w:tcBorders>
              <w:top w:val="single" w:sz="4" w:space="0" w:color="auto"/>
              <w:left w:val="nil"/>
              <w:bottom w:val="single" w:sz="4" w:space="0" w:color="auto"/>
              <w:right w:val="single" w:sz="4" w:space="0" w:color="auto"/>
            </w:tcBorders>
            <w:noWrap/>
            <w:vAlign w:val="bottom"/>
            <w:hideMark/>
          </w:tcPr>
          <w:p w14:paraId="2290190D" w14:textId="77777777" w:rsidR="00C82BCC" w:rsidRDefault="00C82BCC" w:rsidP="009F799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n  </w:t>
            </w:r>
          </w:p>
        </w:tc>
        <w:tc>
          <w:tcPr>
            <w:tcW w:w="1792" w:type="dxa"/>
            <w:tcBorders>
              <w:top w:val="single" w:sz="4" w:space="0" w:color="auto"/>
              <w:left w:val="nil"/>
              <w:bottom w:val="single" w:sz="4" w:space="0" w:color="auto"/>
              <w:right w:val="single" w:sz="4" w:space="0" w:color="auto"/>
            </w:tcBorders>
            <w:noWrap/>
            <w:vAlign w:val="bottom"/>
            <w:hideMark/>
          </w:tcPr>
          <w:p w14:paraId="0D1DC099" w14:textId="77777777" w:rsidR="00C82BCC" w:rsidRDefault="00C82BCC" w:rsidP="009F799C">
            <w:pPr>
              <w:spacing w:after="0"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Error estándar</w:t>
            </w:r>
          </w:p>
        </w:tc>
        <w:tc>
          <w:tcPr>
            <w:tcW w:w="1156" w:type="dxa"/>
            <w:tcBorders>
              <w:top w:val="single" w:sz="4" w:space="0" w:color="auto"/>
              <w:left w:val="single" w:sz="4" w:space="0" w:color="auto"/>
              <w:bottom w:val="single" w:sz="4" w:space="0" w:color="auto"/>
              <w:right w:val="nil"/>
            </w:tcBorders>
            <w:noWrap/>
            <w:vAlign w:val="bottom"/>
            <w:hideMark/>
          </w:tcPr>
          <w:p w14:paraId="49725BE3" w14:textId="77777777" w:rsidR="00C82BCC" w:rsidRDefault="00C82BCC" w:rsidP="009F799C">
            <w:pPr>
              <w:spacing w:after="0" w:line="240" w:lineRule="auto"/>
              <w:jc w:val="right"/>
              <w:rPr>
                <w:rFonts w:eastAsia="Times New Roman" w:cs="Times New Roman"/>
                <w:b/>
                <w:bCs/>
                <w:color w:val="000000"/>
                <w:szCs w:val="24"/>
                <w:lang w:eastAsia="es-EC"/>
              </w:rPr>
            </w:pPr>
            <w:r>
              <w:rPr>
                <w:rFonts w:eastAsia="Times New Roman" w:cs="Times New Roman"/>
                <w:b/>
                <w:bCs/>
                <w:color w:val="000000"/>
                <w:szCs w:val="24"/>
                <w:lang w:eastAsia="es-EC"/>
              </w:rPr>
              <w:t xml:space="preserve">  Lsd</w:t>
            </w:r>
          </w:p>
        </w:tc>
        <w:tc>
          <w:tcPr>
            <w:tcW w:w="1156" w:type="dxa"/>
            <w:tcBorders>
              <w:top w:val="single" w:sz="4" w:space="0" w:color="auto"/>
              <w:left w:val="nil"/>
              <w:bottom w:val="single" w:sz="4" w:space="0" w:color="auto"/>
              <w:right w:val="single" w:sz="4" w:space="0" w:color="auto"/>
            </w:tcBorders>
            <w:noWrap/>
            <w:vAlign w:val="bottom"/>
            <w:hideMark/>
          </w:tcPr>
          <w:p w14:paraId="433BF70B" w14:textId="77777777" w:rsidR="00C82BCC" w:rsidRDefault="00C82BCC" w:rsidP="009F799C">
            <w:pPr>
              <w:spacing w:after="0" w:line="24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0,05  </w:t>
            </w:r>
          </w:p>
        </w:tc>
      </w:tr>
      <w:tr w:rsidR="00C82BCC" w14:paraId="67469E78" w14:textId="77777777" w:rsidTr="00F93754">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71083AE6"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20</w:t>
            </w:r>
          </w:p>
        </w:tc>
        <w:tc>
          <w:tcPr>
            <w:tcW w:w="1040" w:type="dxa"/>
            <w:tcBorders>
              <w:top w:val="nil"/>
              <w:left w:val="nil"/>
              <w:bottom w:val="single" w:sz="4" w:space="0" w:color="auto"/>
              <w:right w:val="single" w:sz="4" w:space="0" w:color="auto"/>
            </w:tcBorders>
            <w:noWrap/>
            <w:vAlign w:val="bottom"/>
            <w:hideMark/>
          </w:tcPr>
          <w:p w14:paraId="63C8888E"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14,03</w:t>
            </w:r>
          </w:p>
        </w:tc>
        <w:tc>
          <w:tcPr>
            <w:tcW w:w="520" w:type="dxa"/>
            <w:tcBorders>
              <w:top w:val="nil"/>
              <w:left w:val="nil"/>
              <w:bottom w:val="single" w:sz="4" w:space="0" w:color="auto"/>
              <w:right w:val="single" w:sz="4" w:space="0" w:color="auto"/>
            </w:tcBorders>
            <w:noWrap/>
            <w:vAlign w:val="bottom"/>
            <w:hideMark/>
          </w:tcPr>
          <w:p w14:paraId="1F2BAB4B"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50</w:t>
            </w:r>
          </w:p>
        </w:tc>
        <w:tc>
          <w:tcPr>
            <w:tcW w:w="1792" w:type="dxa"/>
            <w:tcBorders>
              <w:top w:val="nil"/>
              <w:left w:val="nil"/>
              <w:bottom w:val="single" w:sz="4" w:space="0" w:color="auto"/>
              <w:right w:val="single" w:sz="4" w:space="0" w:color="auto"/>
            </w:tcBorders>
            <w:noWrap/>
            <w:vAlign w:val="bottom"/>
            <w:hideMark/>
          </w:tcPr>
          <w:p w14:paraId="695731D0"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1,05</w:t>
            </w:r>
          </w:p>
        </w:tc>
        <w:tc>
          <w:tcPr>
            <w:tcW w:w="1156" w:type="dxa"/>
            <w:tcBorders>
              <w:top w:val="single" w:sz="4" w:space="0" w:color="auto"/>
              <w:left w:val="nil"/>
              <w:bottom w:val="single" w:sz="4" w:space="0" w:color="auto"/>
              <w:right w:val="single" w:sz="4" w:space="0" w:color="auto"/>
            </w:tcBorders>
            <w:noWrap/>
            <w:vAlign w:val="bottom"/>
            <w:hideMark/>
          </w:tcPr>
          <w:p w14:paraId="511EE309"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6" w:type="dxa"/>
            <w:tcBorders>
              <w:top w:val="single" w:sz="4" w:space="0" w:color="auto"/>
              <w:left w:val="nil"/>
              <w:bottom w:val="single" w:sz="4" w:space="0" w:color="auto"/>
              <w:right w:val="single" w:sz="4" w:space="0" w:color="auto"/>
            </w:tcBorders>
            <w:noWrap/>
            <w:vAlign w:val="bottom"/>
            <w:hideMark/>
          </w:tcPr>
          <w:p w14:paraId="28F8AE62"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76608A82" w14:textId="77777777" w:rsidTr="00F93754">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1B3A5CA1"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w:t>
            </w:r>
          </w:p>
        </w:tc>
        <w:tc>
          <w:tcPr>
            <w:tcW w:w="1040" w:type="dxa"/>
            <w:tcBorders>
              <w:top w:val="nil"/>
              <w:left w:val="nil"/>
              <w:bottom w:val="single" w:sz="4" w:space="0" w:color="auto"/>
              <w:right w:val="single" w:sz="4" w:space="0" w:color="auto"/>
            </w:tcBorders>
            <w:noWrap/>
            <w:vAlign w:val="bottom"/>
            <w:hideMark/>
          </w:tcPr>
          <w:p w14:paraId="290049B5"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15,61</w:t>
            </w:r>
          </w:p>
        </w:tc>
        <w:tc>
          <w:tcPr>
            <w:tcW w:w="520" w:type="dxa"/>
            <w:tcBorders>
              <w:top w:val="nil"/>
              <w:left w:val="nil"/>
              <w:bottom w:val="single" w:sz="4" w:space="0" w:color="auto"/>
              <w:right w:val="single" w:sz="4" w:space="0" w:color="auto"/>
            </w:tcBorders>
            <w:noWrap/>
            <w:vAlign w:val="bottom"/>
            <w:hideMark/>
          </w:tcPr>
          <w:p w14:paraId="0B186798"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92" w:type="dxa"/>
            <w:tcBorders>
              <w:top w:val="nil"/>
              <w:left w:val="nil"/>
              <w:bottom w:val="single" w:sz="4" w:space="0" w:color="auto"/>
              <w:right w:val="single" w:sz="4" w:space="0" w:color="auto"/>
            </w:tcBorders>
            <w:noWrap/>
            <w:vAlign w:val="bottom"/>
            <w:hideMark/>
          </w:tcPr>
          <w:p w14:paraId="424AE698"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3,09</w:t>
            </w:r>
          </w:p>
        </w:tc>
        <w:tc>
          <w:tcPr>
            <w:tcW w:w="1156" w:type="dxa"/>
            <w:tcBorders>
              <w:top w:val="nil"/>
              <w:left w:val="nil"/>
              <w:bottom w:val="single" w:sz="4" w:space="0" w:color="auto"/>
              <w:right w:val="single" w:sz="4" w:space="0" w:color="auto"/>
            </w:tcBorders>
            <w:noWrap/>
            <w:vAlign w:val="bottom"/>
            <w:hideMark/>
          </w:tcPr>
          <w:p w14:paraId="4E7D2DC9"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6" w:type="dxa"/>
            <w:tcBorders>
              <w:top w:val="nil"/>
              <w:left w:val="nil"/>
              <w:bottom w:val="single" w:sz="4" w:space="0" w:color="auto"/>
              <w:right w:val="single" w:sz="4" w:space="0" w:color="auto"/>
            </w:tcBorders>
            <w:noWrap/>
            <w:vAlign w:val="bottom"/>
            <w:hideMark/>
          </w:tcPr>
          <w:p w14:paraId="33524652"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C157749" w14:textId="77777777" w:rsidTr="00F93754">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70AE8B72"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w:t>
            </w:r>
          </w:p>
        </w:tc>
        <w:tc>
          <w:tcPr>
            <w:tcW w:w="1040" w:type="dxa"/>
            <w:tcBorders>
              <w:top w:val="nil"/>
              <w:left w:val="nil"/>
              <w:bottom w:val="single" w:sz="4" w:space="0" w:color="auto"/>
              <w:right w:val="single" w:sz="4" w:space="0" w:color="auto"/>
            </w:tcBorders>
            <w:noWrap/>
            <w:vAlign w:val="bottom"/>
            <w:hideMark/>
          </w:tcPr>
          <w:p w14:paraId="732875BE"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15,9</w:t>
            </w:r>
          </w:p>
        </w:tc>
        <w:tc>
          <w:tcPr>
            <w:tcW w:w="520" w:type="dxa"/>
            <w:tcBorders>
              <w:top w:val="nil"/>
              <w:left w:val="nil"/>
              <w:bottom w:val="single" w:sz="4" w:space="0" w:color="auto"/>
              <w:right w:val="single" w:sz="4" w:space="0" w:color="auto"/>
            </w:tcBorders>
            <w:noWrap/>
            <w:vAlign w:val="bottom"/>
            <w:hideMark/>
          </w:tcPr>
          <w:p w14:paraId="7239F86D"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58</w:t>
            </w:r>
          </w:p>
        </w:tc>
        <w:tc>
          <w:tcPr>
            <w:tcW w:w="1792" w:type="dxa"/>
            <w:tcBorders>
              <w:top w:val="nil"/>
              <w:left w:val="nil"/>
              <w:bottom w:val="single" w:sz="4" w:space="0" w:color="auto"/>
              <w:right w:val="single" w:sz="4" w:space="0" w:color="auto"/>
            </w:tcBorders>
            <w:noWrap/>
            <w:vAlign w:val="bottom"/>
            <w:hideMark/>
          </w:tcPr>
          <w:p w14:paraId="34FC57EC"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1,64</w:t>
            </w:r>
          </w:p>
        </w:tc>
        <w:tc>
          <w:tcPr>
            <w:tcW w:w="1156" w:type="dxa"/>
            <w:tcBorders>
              <w:top w:val="nil"/>
              <w:left w:val="nil"/>
              <w:bottom w:val="single" w:sz="4" w:space="0" w:color="auto"/>
              <w:right w:val="single" w:sz="4" w:space="0" w:color="auto"/>
            </w:tcBorders>
            <w:noWrap/>
            <w:vAlign w:val="bottom"/>
            <w:hideMark/>
          </w:tcPr>
          <w:p w14:paraId="4FC5C8FB"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6" w:type="dxa"/>
            <w:tcBorders>
              <w:top w:val="nil"/>
              <w:left w:val="nil"/>
              <w:bottom w:val="single" w:sz="4" w:space="0" w:color="auto"/>
              <w:right w:val="single" w:sz="4" w:space="0" w:color="auto"/>
            </w:tcBorders>
            <w:noWrap/>
            <w:vAlign w:val="bottom"/>
            <w:hideMark/>
          </w:tcPr>
          <w:p w14:paraId="71BC33A0"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r>
      <w:tr w:rsidR="00C82BCC" w14:paraId="5CC941F5" w14:textId="77777777" w:rsidTr="00F93754">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3E8E1698"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15</w:t>
            </w:r>
          </w:p>
        </w:tc>
        <w:tc>
          <w:tcPr>
            <w:tcW w:w="1040" w:type="dxa"/>
            <w:tcBorders>
              <w:top w:val="nil"/>
              <w:left w:val="nil"/>
              <w:bottom w:val="single" w:sz="4" w:space="0" w:color="auto"/>
              <w:right w:val="single" w:sz="4" w:space="0" w:color="auto"/>
            </w:tcBorders>
            <w:noWrap/>
            <w:vAlign w:val="bottom"/>
            <w:hideMark/>
          </w:tcPr>
          <w:p w14:paraId="6C058E59"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19,11</w:t>
            </w:r>
          </w:p>
        </w:tc>
        <w:tc>
          <w:tcPr>
            <w:tcW w:w="520" w:type="dxa"/>
            <w:tcBorders>
              <w:top w:val="nil"/>
              <w:left w:val="nil"/>
              <w:bottom w:val="single" w:sz="4" w:space="0" w:color="auto"/>
              <w:right w:val="single" w:sz="4" w:space="0" w:color="auto"/>
            </w:tcBorders>
            <w:noWrap/>
            <w:vAlign w:val="bottom"/>
            <w:hideMark/>
          </w:tcPr>
          <w:p w14:paraId="2C32D0F6"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5</w:t>
            </w:r>
          </w:p>
        </w:tc>
        <w:tc>
          <w:tcPr>
            <w:tcW w:w="1792" w:type="dxa"/>
            <w:tcBorders>
              <w:top w:val="nil"/>
              <w:left w:val="nil"/>
              <w:bottom w:val="single" w:sz="4" w:space="0" w:color="auto"/>
              <w:right w:val="single" w:sz="4" w:space="0" w:color="auto"/>
            </w:tcBorders>
            <w:noWrap/>
            <w:vAlign w:val="bottom"/>
            <w:hideMark/>
          </w:tcPr>
          <w:p w14:paraId="3487451C"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3,09</w:t>
            </w:r>
          </w:p>
        </w:tc>
        <w:tc>
          <w:tcPr>
            <w:tcW w:w="1156" w:type="dxa"/>
            <w:tcBorders>
              <w:top w:val="nil"/>
              <w:left w:val="nil"/>
              <w:bottom w:val="single" w:sz="4" w:space="0" w:color="auto"/>
              <w:right w:val="single" w:sz="4" w:space="0" w:color="auto"/>
            </w:tcBorders>
            <w:noWrap/>
            <w:vAlign w:val="bottom"/>
            <w:hideMark/>
          </w:tcPr>
          <w:p w14:paraId="4473118C"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A </w:t>
            </w:r>
          </w:p>
        </w:tc>
        <w:tc>
          <w:tcPr>
            <w:tcW w:w="1156" w:type="dxa"/>
            <w:tcBorders>
              <w:top w:val="nil"/>
              <w:left w:val="nil"/>
              <w:bottom w:val="single" w:sz="4" w:space="0" w:color="auto"/>
              <w:right w:val="single" w:sz="4" w:space="0" w:color="auto"/>
            </w:tcBorders>
            <w:noWrap/>
            <w:vAlign w:val="bottom"/>
            <w:hideMark/>
          </w:tcPr>
          <w:p w14:paraId="0D75018D"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r w:rsidR="00C82BCC" w14:paraId="31911267" w14:textId="77777777" w:rsidTr="00F93754">
        <w:trPr>
          <w:trHeight w:val="300"/>
          <w:jc w:val="center"/>
        </w:trPr>
        <w:tc>
          <w:tcPr>
            <w:tcW w:w="2263" w:type="dxa"/>
            <w:tcBorders>
              <w:top w:val="nil"/>
              <w:left w:val="single" w:sz="4" w:space="0" w:color="auto"/>
              <w:bottom w:val="single" w:sz="4" w:space="0" w:color="auto"/>
              <w:right w:val="single" w:sz="4" w:space="0" w:color="auto"/>
            </w:tcBorders>
            <w:noWrap/>
            <w:vAlign w:val="bottom"/>
            <w:hideMark/>
          </w:tcPr>
          <w:p w14:paraId="2FF435A3"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w:t>
            </w:r>
          </w:p>
        </w:tc>
        <w:tc>
          <w:tcPr>
            <w:tcW w:w="1040" w:type="dxa"/>
            <w:tcBorders>
              <w:top w:val="nil"/>
              <w:left w:val="nil"/>
              <w:bottom w:val="single" w:sz="4" w:space="0" w:color="auto"/>
              <w:right w:val="single" w:sz="4" w:space="0" w:color="auto"/>
            </w:tcBorders>
            <w:noWrap/>
            <w:vAlign w:val="bottom"/>
            <w:hideMark/>
          </w:tcPr>
          <w:p w14:paraId="46BA7BB1"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23,41</w:t>
            </w:r>
          </w:p>
        </w:tc>
        <w:tc>
          <w:tcPr>
            <w:tcW w:w="520" w:type="dxa"/>
            <w:tcBorders>
              <w:top w:val="nil"/>
              <w:left w:val="nil"/>
              <w:bottom w:val="single" w:sz="4" w:space="0" w:color="auto"/>
              <w:right w:val="single" w:sz="4" w:space="0" w:color="auto"/>
            </w:tcBorders>
            <w:noWrap/>
            <w:vAlign w:val="bottom"/>
            <w:hideMark/>
          </w:tcPr>
          <w:p w14:paraId="7B280818"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123</w:t>
            </w:r>
          </w:p>
        </w:tc>
        <w:tc>
          <w:tcPr>
            <w:tcW w:w="1792" w:type="dxa"/>
            <w:tcBorders>
              <w:top w:val="nil"/>
              <w:left w:val="nil"/>
              <w:bottom w:val="single" w:sz="4" w:space="0" w:color="auto"/>
              <w:right w:val="single" w:sz="4" w:space="0" w:color="auto"/>
            </w:tcBorders>
            <w:noWrap/>
            <w:vAlign w:val="bottom"/>
            <w:hideMark/>
          </w:tcPr>
          <w:p w14:paraId="49CB75E8"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0,67</w:t>
            </w:r>
          </w:p>
        </w:tc>
        <w:tc>
          <w:tcPr>
            <w:tcW w:w="1156" w:type="dxa"/>
            <w:tcBorders>
              <w:top w:val="nil"/>
              <w:left w:val="nil"/>
              <w:bottom w:val="single" w:sz="4" w:space="0" w:color="auto"/>
              <w:right w:val="single" w:sz="4" w:space="0" w:color="auto"/>
            </w:tcBorders>
            <w:noWrap/>
            <w:vAlign w:val="bottom"/>
            <w:hideMark/>
          </w:tcPr>
          <w:p w14:paraId="1D77226B"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p>
        </w:tc>
        <w:tc>
          <w:tcPr>
            <w:tcW w:w="1156" w:type="dxa"/>
            <w:tcBorders>
              <w:top w:val="nil"/>
              <w:left w:val="nil"/>
              <w:bottom w:val="single" w:sz="4" w:space="0" w:color="auto"/>
              <w:right w:val="single" w:sz="4" w:space="0" w:color="auto"/>
            </w:tcBorders>
            <w:noWrap/>
            <w:vAlign w:val="bottom"/>
            <w:hideMark/>
          </w:tcPr>
          <w:p w14:paraId="7E70343D" w14:textId="77777777" w:rsidR="00C82BCC" w:rsidRDefault="00C82BCC" w:rsidP="009F799C">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B </w:t>
            </w:r>
          </w:p>
        </w:tc>
      </w:tr>
    </w:tbl>
    <w:p w14:paraId="257BD834" w14:textId="77777777" w:rsidR="00C82BCC" w:rsidRDefault="00C82BCC" w:rsidP="009F799C">
      <w:pPr>
        <w:autoSpaceDE w:val="0"/>
        <w:autoSpaceDN w:val="0"/>
        <w:adjustRightInd w:val="0"/>
        <w:spacing w:after="360" w:line="360" w:lineRule="auto"/>
        <w:rPr>
          <w:rFonts w:cs="Times New Roman"/>
          <w:szCs w:val="24"/>
        </w:rPr>
      </w:pPr>
      <w:r>
        <w:rPr>
          <w:rFonts w:cs="Times New Roman"/>
          <w:szCs w:val="24"/>
        </w:rPr>
        <w:t>Medias con una letra común no son significativamente diferentes (p &gt; 0,05)</w:t>
      </w:r>
    </w:p>
    <w:p w14:paraId="056A727B" w14:textId="6E6458FB" w:rsidR="00C82BCC" w:rsidRDefault="00C82BCC" w:rsidP="009F799C">
      <w:pPr>
        <w:autoSpaceDE w:val="0"/>
        <w:autoSpaceDN w:val="0"/>
        <w:adjustRightInd w:val="0"/>
        <w:spacing w:before="360" w:after="360" w:line="360" w:lineRule="auto"/>
        <w:rPr>
          <w:rFonts w:cs="Times New Roman"/>
          <w:bCs/>
          <w:szCs w:val="24"/>
        </w:rPr>
      </w:pPr>
      <w:r>
        <w:rPr>
          <w:rFonts w:cs="Times New Roman"/>
          <w:bCs/>
          <w:szCs w:val="24"/>
        </w:rPr>
        <w:lastRenderedPageBreak/>
        <w:t>El efecto de los nutrientes que fueron significativos sobre la a</w:t>
      </w:r>
      <w:r w:rsidR="001B6327">
        <w:rPr>
          <w:rFonts w:cs="Times New Roman"/>
          <w:bCs/>
          <w:szCs w:val="24"/>
        </w:rPr>
        <w:t>b</w:t>
      </w:r>
      <w:r>
        <w:rPr>
          <w:rFonts w:cs="Times New Roman"/>
          <w:bCs/>
          <w:szCs w:val="24"/>
        </w:rPr>
        <w:t xml:space="preserve">sorción de magnesio en las provincias de Bolívar, Chimborazo y de Imbabura se observa en </w:t>
      </w:r>
      <w:r w:rsidR="005367D2">
        <w:rPr>
          <w:rFonts w:cs="Times New Roman"/>
          <w:bCs/>
          <w:szCs w:val="24"/>
        </w:rPr>
        <w:t>l</w:t>
      </w:r>
      <w:r w:rsidR="006E5162">
        <w:rPr>
          <w:rFonts w:cs="Times New Roman"/>
          <w:bCs/>
          <w:szCs w:val="24"/>
        </w:rPr>
        <w:t>a</w:t>
      </w:r>
      <w:r>
        <w:rPr>
          <w:rFonts w:cs="Times New Roman"/>
          <w:bCs/>
          <w:szCs w:val="24"/>
        </w:rPr>
        <w:t xml:space="preserve"> siguiente </w:t>
      </w:r>
      <w:r w:rsidR="006E5162">
        <w:rPr>
          <w:rFonts w:cs="Times New Roman"/>
          <w:bCs/>
          <w:szCs w:val="24"/>
        </w:rPr>
        <w:t>figura</w:t>
      </w:r>
      <w:r w:rsidR="006E0BEC">
        <w:rPr>
          <w:rFonts w:cs="Times New Roman"/>
          <w:bCs/>
          <w:szCs w:val="24"/>
        </w:rPr>
        <w:t>:</w:t>
      </w:r>
      <w:r>
        <w:rPr>
          <w:rFonts w:cs="Times New Roman"/>
          <w:bCs/>
          <w:szCs w:val="24"/>
        </w:rPr>
        <w:t xml:space="preserve"> </w:t>
      </w:r>
    </w:p>
    <w:p w14:paraId="5FB69945" w14:textId="4355D1A8" w:rsidR="00C82BCC" w:rsidRDefault="00897618" w:rsidP="009F799C">
      <w:pPr>
        <w:pStyle w:val="Ttulo1"/>
        <w:numPr>
          <w:ilvl w:val="0"/>
          <w:numId w:val="21"/>
        </w:numPr>
        <w:spacing w:before="360" w:after="360"/>
        <w:rPr>
          <w:b w:val="0"/>
          <w:bCs w:val="0"/>
        </w:rPr>
      </w:pPr>
      <w:bookmarkStart w:id="2224" w:name="_Toc72706454"/>
      <w:bookmarkStart w:id="2225" w:name="_Toc72741404"/>
      <w:bookmarkStart w:id="2226" w:name="_Toc72743000"/>
      <w:bookmarkStart w:id="2227" w:name="_Toc72881348"/>
      <w:bookmarkStart w:id="2228" w:name="_Toc72881719"/>
      <w:bookmarkStart w:id="2229" w:name="_Toc75606587"/>
      <w:bookmarkStart w:id="2230" w:name="_Toc75612066"/>
      <w:bookmarkStart w:id="2231" w:name="_Toc75612912"/>
      <w:bookmarkStart w:id="2232" w:name="_Toc75680068"/>
      <w:bookmarkStart w:id="2233" w:name="_Toc75702676"/>
      <w:bookmarkStart w:id="2234" w:name="_Toc79313258"/>
      <w:bookmarkStart w:id="2235" w:name="_Toc80008479"/>
      <w:bookmarkStart w:id="2236" w:name="_Toc80312372"/>
      <w:r>
        <w:rPr>
          <w:b w:val="0"/>
          <w:bCs w:val="0"/>
        </w:rPr>
        <w:t>N</w:t>
      </w:r>
      <w:r w:rsidR="006D666B" w:rsidRPr="006D666B">
        <w:rPr>
          <w:b w:val="0"/>
          <w:bCs w:val="0"/>
        </w:rPr>
        <w:t>itrógeno</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5D948F41" w14:textId="68105149" w:rsidR="000E2AE7" w:rsidRPr="005367D2" w:rsidRDefault="000E2AE7" w:rsidP="002111F0">
      <w:pPr>
        <w:jc w:val="center"/>
        <w:rPr>
          <w:b/>
          <w:bCs/>
        </w:rPr>
      </w:pPr>
      <w:r w:rsidRPr="00146EAD">
        <w:rPr>
          <w:noProof/>
          <w:lang w:eastAsia="es-EC"/>
        </w:rPr>
        <w:drawing>
          <wp:inline distT="0" distB="0" distL="0" distR="0" wp14:anchorId="550B4093" wp14:editId="64C9D0AE">
            <wp:extent cx="4219302" cy="2534194"/>
            <wp:effectExtent l="0" t="0" r="10160" b="0"/>
            <wp:docPr id="23" name="Gráfico 23">
              <a:extLst xmlns:a="http://schemas.openxmlformats.org/drawingml/2006/main">
                <a:ext uri="{FF2B5EF4-FFF2-40B4-BE49-F238E27FC236}">
                  <a16:creationId xmlns:a16="http://schemas.microsoft.com/office/drawing/2014/main" id="{AF2F058B-59A1-4C1A-8672-37345E7F1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612467B" w14:textId="0F3305C4" w:rsidR="006B387C" w:rsidRPr="00501D82" w:rsidRDefault="00897618" w:rsidP="009F799C">
      <w:pPr>
        <w:pStyle w:val="Prrafodelista"/>
        <w:numPr>
          <w:ilvl w:val="0"/>
          <w:numId w:val="21"/>
        </w:numPr>
        <w:tabs>
          <w:tab w:val="left" w:pos="1407"/>
        </w:tabs>
        <w:spacing w:before="360" w:after="360"/>
        <w:rPr>
          <w:bCs/>
        </w:rPr>
      </w:pPr>
      <w:bookmarkStart w:id="2237" w:name="_Toc72706456"/>
      <w:bookmarkStart w:id="2238" w:name="_Toc72741406"/>
      <w:bookmarkStart w:id="2239" w:name="_Toc72743002"/>
      <w:bookmarkStart w:id="2240" w:name="_Toc72881349"/>
      <w:bookmarkStart w:id="2241" w:name="_Toc72881720"/>
      <w:bookmarkStart w:id="2242" w:name="_Toc75606588"/>
      <w:bookmarkStart w:id="2243" w:name="_Toc75612067"/>
      <w:bookmarkStart w:id="2244" w:name="_Toc75612913"/>
      <w:bookmarkStart w:id="2245" w:name="_Toc75680069"/>
      <w:bookmarkStart w:id="2246" w:name="_Toc75702677"/>
      <w:r w:rsidRPr="00501D82">
        <w:rPr>
          <w:bCs/>
        </w:rPr>
        <w:t>P</w:t>
      </w:r>
      <w:r w:rsidR="006D666B" w:rsidRPr="00501D82">
        <w:rPr>
          <w:bCs/>
        </w:rPr>
        <w:t>otasio</w:t>
      </w:r>
      <w:bookmarkEnd w:id="2237"/>
      <w:bookmarkEnd w:id="2238"/>
      <w:bookmarkEnd w:id="2239"/>
      <w:bookmarkEnd w:id="2240"/>
      <w:bookmarkEnd w:id="2241"/>
    </w:p>
    <w:p w14:paraId="54527A59" w14:textId="631EF7B8" w:rsidR="006D666B" w:rsidRPr="006D666B" w:rsidRDefault="000E2AE7" w:rsidP="006B387C">
      <w:pPr>
        <w:tabs>
          <w:tab w:val="left" w:pos="1407"/>
        </w:tabs>
        <w:jc w:val="center"/>
        <w:rPr>
          <w:b/>
          <w:bCs/>
        </w:rPr>
      </w:pPr>
      <w:r>
        <w:rPr>
          <w:noProof/>
          <w:lang w:eastAsia="es-EC"/>
        </w:rPr>
        <w:drawing>
          <wp:inline distT="0" distB="0" distL="0" distR="0" wp14:anchorId="3291F404" wp14:editId="27DD3B65">
            <wp:extent cx="4323805" cy="2364377"/>
            <wp:effectExtent l="0" t="0" r="635" b="17145"/>
            <wp:docPr id="29" name="Gráfico 29">
              <a:extLst xmlns:a="http://schemas.openxmlformats.org/drawingml/2006/main">
                <a:ext uri="{FF2B5EF4-FFF2-40B4-BE49-F238E27FC236}">
                  <a16:creationId xmlns:a16="http://schemas.microsoft.com/office/drawing/2014/main" id="{AF2F058B-59A1-4C1A-8672-37345E7F1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bookmarkEnd w:id="2242"/>
      <w:bookmarkEnd w:id="2243"/>
      <w:bookmarkEnd w:id="2244"/>
      <w:bookmarkEnd w:id="2245"/>
      <w:bookmarkEnd w:id="2246"/>
    </w:p>
    <w:p w14:paraId="2CA72DE1" w14:textId="204FDA32" w:rsidR="006D666B" w:rsidRPr="006D666B" w:rsidRDefault="006D666B" w:rsidP="009F799C">
      <w:pPr>
        <w:pStyle w:val="Ttulo1"/>
        <w:numPr>
          <w:ilvl w:val="0"/>
          <w:numId w:val="21"/>
        </w:numPr>
        <w:spacing w:before="360" w:after="360"/>
        <w:rPr>
          <w:b w:val="0"/>
          <w:bCs w:val="0"/>
        </w:rPr>
      </w:pPr>
      <w:bookmarkStart w:id="2247" w:name="_Toc72706457"/>
      <w:bookmarkStart w:id="2248" w:name="_Toc72741407"/>
      <w:bookmarkStart w:id="2249" w:name="_Toc72743003"/>
      <w:bookmarkStart w:id="2250" w:name="_Toc72881350"/>
      <w:bookmarkStart w:id="2251" w:name="_Toc72881721"/>
      <w:r w:rsidRPr="006D666B">
        <w:rPr>
          <w:b w:val="0"/>
          <w:bCs w:val="0"/>
        </w:rPr>
        <w:lastRenderedPageBreak/>
        <w:t xml:space="preserve"> </w:t>
      </w:r>
      <w:bookmarkStart w:id="2252" w:name="_Toc75606589"/>
      <w:bookmarkStart w:id="2253" w:name="_Toc75612068"/>
      <w:bookmarkStart w:id="2254" w:name="_Toc75612914"/>
      <w:bookmarkStart w:id="2255" w:name="_Toc75680070"/>
      <w:bookmarkStart w:id="2256" w:name="_Toc75702678"/>
      <w:bookmarkStart w:id="2257" w:name="_Toc79313259"/>
      <w:bookmarkStart w:id="2258" w:name="_Toc80008480"/>
      <w:bookmarkStart w:id="2259" w:name="_Toc80312373"/>
      <w:r w:rsidR="00897618">
        <w:rPr>
          <w:b w:val="0"/>
          <w:bCs w:val="0"/>
        </w:rPr>
        <w:t>A</w:t>
      </w:r>
      <w:r>
        <w:rPr>
          <w:b w:val="0"/>
          <w:bCs w:val="0"/>
        </w:rPr>
        <w:t>zufre</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305474BF" w14:textId="32131867" w:rsidR="00C82BCC" w:rsidRDefault="00C82BCC" w:rsidP="00C82BCC">
      <w:pPr>
        <w:jc w:val="center"/>
        <w:rPr>
          <w:rFonts w:cs="Times New Roman"/>
          <w:szCs w:val="24"/>
        </w:rPr>
      </w:pPr>
      <w:r>
        <w:rPr>
          <w:noProof/>
          <w:lang w:eastAsia="es-EC"/>
        </w:rPr>
        <w:drawing>
          <wp:inline distT="0" distB="0" distL="0" distR="0" wp14:anchorId="4494931F" wp14:editId="124AAD9C">
            <wp:extent cx="4354285" cy="2569028"/>
            <wp:effectExtent l="0" t="0" r="8255" b="3175"/>
            <wp:docPr id="11" name="Gráfico 11">
              <a:extLst xmlns:a="http://schemas.openxmlformats.org/drawingml/2006/main">
                <a:ext uri="{FF2B5EF4-FFF2-40B4-BE49-F238E27FC236}">
                  <a16:creationId xmlns:a16="http://schemas.microsoft.com/office/drawing/2014/main" id="{D0A46318-71A8-432C-877A-7889181C0C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A6B402F" w14:textId="3A17C0FB" w:rsidR="006D666B" w:rsidRDefault="000E2AE7" w:rsidP="009F799C">
      <w:pPr>
        <w:pStyle w:val="Ttulo1"/>
        <w:numPr>
          <w:ilvl w:val="0"/>
          <w:numId w:val="21"/>
        </w:numPr>
        <w:spacing w:before="360" w:after="360"/>
        <w:rPr>
          <w:b w:val="0"/>
          <w:bCs w:val="0"/>
        </w:rPr>
      </w:pPr>
      <w:bookmarkStart w:id="2260" w:name="_Toc72706458"/>
      <w:bookmarkStart w:id="2261" w:name="_Toc72741408"/>
      <w:bookmarkStart w:id="2262" w:name="_Toc72743004"/>
      <w:bookmarkStart w:id="2263" w:name="_Toc72881351"/>
      <w:bookmarkStart w:id="2264" w:name="_Toc72881722"/>
      <w:bookmarkStart w:id="2265" w:name="_Toc75606590"/>
      <w:bookmarkStart w:id="2266" w:name="_Toc75612069"/>
      <w:bookmarkStart w:id="2267" w:name="_Toc75612915"/>
      <w:bookmarkStart w:id="2268" w:name="_Toc75680071"/>
      <w:bookmarkStart w:id="2269" w:name="_Toc75702679"/>
      <w:bookmarkStart w:id="2270" w:name="_Toc79313260"/>
      <w:bookmarkStart w:id="2271" w:name="_Toc80008481"/>
      <w:bookmarkStart w:id="2272" w:name="_Toc80312374"/>
      <w:r>
        <w:rPr>
          <w:b w:val="0"/>
          <w:bCs w:val="0"/>
        </w:rPr>
        <w:t>M</w:t>
      </w:r>
      <w:r w:rsidR="00897618">
        <w:rPr>
          <w:b w:val="0"/>
          <w:bCs w:val="0"/>
        </w:rPr>
        <w:t>agnesio</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330F8F97" w14:textId="27648188" w:rsidR="00C82BCC" w:rsidRDefault="00C82BCC" w:rsidP="00C82BCC">
      <w:pPr>
        <w:jc w:val="center"/>
        <w:rPr>
          <w:rFonts w:cs="Times New Roman"/>
          <w:szCs w:val="24"/>
        </w:rPr>
      </w:pPr>
      <w:r>
        <w:rPr>
          <w:rFonts w:cs="Times New Roman"/>
          <w:noProof/>
          <w:szCs w:val="24"/>
          <w:lang w:eastAsia="es-EC"/>
        </w:rPr>
        <w:drawing>
          <wp:inline distT="0" distB="0" distL="0" distR="0" wp14:anchorId="12DCD95E" wp14:editId="3B741973">
            <wp:extent cx="4441372" cy="2677885"/>
            <wp:effectExtent l="0" t="0" r="16510" b="8255"/>
            <wp:docPr id="119" name="Gráfico 119">
              <a:extLst xmlns:a="http://schemas.openxmlformats.org/drawingml/2006/main">
                <a:ext uri="{FF2B5EF4-FFF2-40B4-BE49-F238E27FC236}">
                  <a16:creationId xmlns:a16="http://schemas.microsoft.com/office/drawing/2014/main" id="{9B8833FC-3121-49E4-96D4-EFFF7F9A3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074F74" w14:textId="5BA816DF" w:rsidR="00372F0A" w:rsidRPr="00372F0A" w:rsidRDefault="00CC712A" w:rsidP="009F799C">
      <w:pPr>
        <w:pStyle w:val="Ttulo2"/>
        <w:spacing w:before="360" w:after="360"/>
      </w:pPr>
      <w:bookmarkStart w:id="2273" w:name="_Toc79313261"/>
      <w:bookmarkStart w:id="2274" w:name="_Toc80312375"/>
      <w:bookmarkStart w:id="2275" w:name="_Toc75612070"/>
      <w:bookmarkStart w:id="2276" w:name="_Toc75612916"/>
      <w:bookmarkStart w:id="2277" w:name="_Toc72741409"/>
      <w:bookmarkStart w:id="2278" w:name="_Toc72742207"/>
      <w:bookmarkStart w:id="2279" w:name="_Toc72743005"/>
      <w:bookmarkStart w:id="2280" w:name="_Toc72881723"/>
      <w:bookmarkStart w:id="2281" w:name="_Toc72882805"/>
      <w:r>
        <w:t>Análisis consolidado de los resultados</w:t>
      </w:r>
      <w:bookmarkEnd w:id="2273"/>
      <w:bookmarkEnd w:id="2274"/>
    </w:p>
    <w:p w14:paraId="251A593C" w14:textId="3765F37F" w:rsidR="00BC7320" w:rsidRDefault="00715E8E" w:rsidP="00BC7320">
      <w:pPr>
        <w:autoSpaceDE w:val="0"/>
        <w:autoSpaceDN w:val="0"/>
        <w:adjustRightInd w:val="0"/>
        <w:spacing w:before="360" w:after="360" w:line="360" w:lineRule="auto"/>
        <w:rPr>
          <w:rFonts w:cs="Times New Roman"/>
          <w:b/>
          <w:bCs/>
          <w:szCs w:val="24"/>
        </w:rPr>
      </w:pPr>
      <w:r w:rsidRPr="00BC7320">
        <w:rPr>
          <w:rFonts w:cs="Times New Roman"/>
          <w:b/>
          <w:bCs/>
        </w:rPr>
        <w:t>Rendimiento</w:t>
      </w:r>
      <w:r w:rsidR="00BC7320" w:rsidRPr="00BC7320">
        <w:rPr>
          <w:rFonts w:cs="Times New Roman"/>
          <w:b/>
          <w:bCs/>
        </w:rPr>
        <w:t xml:space="preserve"> </w:t>
      </w:r>
      <w:r w:rsidR="00BC7320">
        <w:rPr>
          <w:rFonts w:cs="Times New Roman"/>
          <w:b/>
          <w:bCs/>
          <w:szCs w:val="24"/>
        </w:rPr>
        <w:t>(t/ha</w:t>
      </w:r>
      <w:r w:rsidR="00BC7320">
        <w:rPr>
          <w:rFonts w:cs="Times New Roman"/>
          <w:b/>
          <w:bCs/>
          <w:szCs w:val="24"/>
          <w:vertAlign w:val="superscript"/>
        </w:rPr>
        <w:t>-1</w:t>
      </w:r>
      <w:r w:rsidR="00BC7320">
        <w:rPr>
          <w:rFonts w:cs="Times New Roman"/>
          <w:b/>
          <w:bCs/>
          <w:szCs w:val="24"/>
        </w:rPr>
        <w:t>)</w:t>
      </w:r>
      <w:r w:rsidR="00BC7320" w:rsidRPr="00BC7320">
        <w:rPr>
          <w:rFonts w:eastAsia="Times New Roman" w:cs="Times New Roman"/>
          <w:b/>
          <w:bCs/>
          <w:color w:val="000000"/>
          <w:szCs w:val="24"/>
          <w:lang w:eastAsia="es-EC"/>
        </w:rPr>
        <w:t xml:space="preserve"> </w:t>
      </w:r>
    </w:p>
    <w:p w14:paraId="059ED3F8" w14:textId="77777777" w:rsidR="00715E8E" w:rsidRDefault="00715E8E" w:rsidP="00715E8E">
      <w:pPr>
        <w:spacing w:line="360" w:lineRule="auto"/>
      </w:pPr>
      <w:r>
        <w:t xml:space="preserve">La principal variable </w:t>
      </w:r>
      <w:r w:rsidRPr="00854935">
        <w:t>analizad</w:t>
      </w:r>
      <w:r>
        <w:t>a</w:t>
      </w:r>
      <w:r w:rsidRPr="00854935">
        <w:t xml:space="preserve"> </w:t>
      </w:r>
      <w:r>
        <w:t xml:space="preserve">en el presente estudio sobre la respuesta de los fertilizantes en el cultivo de maíz </w:t>
      </w:r>
      <w:r w:rsidRPr="00854935">
        <w:t xml:space="preserve">es </w:t>
      </w:r>
      <w:r>
        <w:t>e</w:t>
      </w:r>
      <w:r w:rsidRPr="00854935">
        <w:t xml:space="preserve">l rendimiento </w:t>
      </w:r>
      <w:r>
        <w:t xml:space="preserve">de grano seco </w:t>
      </w:r>
      <w:r w:rsidRPr="00854935">
        <w:t>expresado en t ha-</w:t>
      </w:r>
      <w:r w:rsidRPr="005837EA">
        <w:rPr>
          <w:vertAlign w:val="superscript"/>
        </w:rPr>
        <w:t>1</w:t>
      </w:r>
      <w:r>
        <w:t>. A</w:t>
      </w:r>
      <w:r w:rsidRPr="00854935">
        <w:t xml:space="preserve"> continuación, se realiza una discusión comparativa entre los resultados </w:t>
      </w:r>
      <w:r>
        <w:t xml:space="preserve">de </w:t>
      </w:r>
      <w:r>
        <w:lastRenderedPageBreak/>
        <w:t xml:space="preserve">los ensayos analizados, conducidos entre el 2006 al 2015 </w:t>
      </w:r>
      <w:r w:rsidRPr="00854935">
        <w:t>que present</w:t>
      </w:r>
      <w:r>
        <w:t>ó</w:t>
      </w:r>
      <w:r w:rsidRPr="00854935">
        <w:t xml:space="preserve"> cada provincia y los datos </w:t>
      </w:r>
      <w:r>
        <w:t xml:space="preserve">reportados </w:t>
      </w:r>
      <w:r w:rsidRPr="00854935">
        <w:t>po</w:t>
      </w:r>
      <w:r>
        <w:t>r</w:t>
      </w:r>
      <w:r w:rsidRPr="00854935">
        <w:t xml:space="preserve"> el MAG</w:t>
      </w:r>
      <w:r>
        <w:t>, INIAP</w:t>
      </w:r>
      <w:r w:rsidRPr="00854935">
        <w:t xml:space="preserve"> y </w:t>
      </w:r>
      <w:r>
        <w:t>varios</w:t>
      </w:r>
      <w:r w:rsidRPr="00854935">
        <w:t xml:space="preserve"> investigadores</w:t>
      </w:r>
      <w:r>
        <w:t>.</w:t>
      </w:r>
    </w:p>
    <w:p w14:paraId="393682EC" w14:textId="0667A114" w:rsidR="00715E8E" w:rsidRDefault="00715E8E" w:rsidP="009F799C">
      <w:pPr>
        <w:spacing w:before="360" w:after="360" w:line="360" w:lineRule="auto"/>
        <w:rPr>
          <w:rFonts w:cs="Times New Roman"/>
          <w:szCs w:val="24"/>
        </w:rPr>
      </w:pPr>
      <w:r>
        <w:rPr>
          <w:rFonts w:cs="Times New Roman"/>
        </w:rPr>
        <w:t>El rendimiento promedio alcanzado en el presente estudio fue de 4.29</w:t>
      </w:r>
      <w:r>
        <w:rPr>
          <w:rFonts w:cs="Times New Roman"/>
          <w:szCs w:val="24"/>
        </w:rPr>
        <w:t>t ha</w:t>
      </w:r>
      <w:r w:rsidRPr="005837EA">
        <w:rPr>
          <w:rFonts w:cs="Times New Roman"/>
          <w:szCs w:val="24"/>
          <w:vertAlign w:val="superscript"/>
        </w:rPr>
        <w:t>-1</w:t>
      </w:r>
      <w:r>
        <w:rPr>
          <w:rFonts w:cs="Times New Roman"/>
          <w:szCs w:val="24"/>
          <w:vertAlign w:val="superscript"/>
        </w:rPr>
        <w:t xml:space="preserve">, </w:t>
      </w:r>
      <w:r>
        <w:rPr>
          <w:rFonts w:cs="Times New Roman"/>
          <w:szCs w:val="24"/>
        </w:rPr>
        <w:t xml:space="preserve">con una desviación estándar de </w:t>
      </w:r>
      <w:r w:rsidR="002111F0">
        <w:rPr>
          <w:rFonts w:cs="Times New Roman"/>
          <w:szCs w:val="24"/>
        </w:rPr>
        <w:t>0.68 t</w:t>
      </w:r>
      <w:r>
        <w:rPr>
          <w:rFonts w:cs="Times New Roman"/>
          <w:szCs w:val="24"/>
        </w:rPr>
        <w:t xml:space="preserve"> ha</w:t>
      </w:r>
      <w:r>
        <w:rPr>
          <w:rFonts w:cs="Times New Roman"/>
          <w:szCs w:val="24"/>
          <w:vertAlign w:val="superscript"/>
        </w:rPr>
        <w:t xml:space="preserve">-1.  </w:t>
      </w:r>
      <w:r>
        <w:rPr>
          <w:rFonts w:cs="Times New Roman"/>
          <w:szCs w:val="24"/>
        </w:rPr>
        <w:t xml:space="preserve">Este valor es superior con relación al rendimiento nacional que se encuentra 1,37; </w:t>
      </w:r>
      <w:r>
        <w:rPr>
          <w:rFonts w:cs="Times New Roman"/>
          <w:bCs/>
          <w:szCs w:val="24"/>
        </w:rPr>
        <w:t>(ver cuadro 12)</w:t>
      </w:r>
      <w:r>
        <w:rPr>
          <w:rFonts w:cs="Times New Roman"/>
          <w:szCs w:val="24"/>
        </w:rPr>
        <w:t>.</w:t>
      </w:r>
    </w:p>
    <w:p w14:paraId="70B8F858" w14:textId="68C0701F" w:rsidR="006B387C" w:rsidRPr="006B387C" w:rsidRDefault="006B387C" w:rsidP="009F799C">
      <w:pPr>
        <w:pStyle w:val="Descripcin"/>
        <w:keepNext/>
        <w:spacing w:before="360"/>
        <w:rPr>
          <w:rFonts w:cs="Times New Roman"/>
          <w:i w:val="0"/>
          <w:iCs w:val="0"/>
          <w:color w:val="auto"/>
          <w:sz w:val="24"/>
          <w:szCs w:val="24"/>
          <w:lang w:eastAsia="en-US"/>
        </w:rPr>
      </w:pPr>
      <w:bookmarkStart w:id="2282" w:name="_Toc79314175"/>
      <w:r w:rsidRPr="006B387C">
        <w:rPr>
          <w:rFonts w:cs="Times New Roman"/>
          <w:b/>
          <w:i w:val="0"/>
          <w:iCs w:val="0"/>
          <w:color w:val="auto"/>
          <w:sz w:val="24"/>
          <w:szCs w:val="24"/>
          <w:lang w:eastAsia="en-US"/>
        </w:rPr>
        <w:t xml:space="preserve">Cuadro </w:t>
      </w:r>
      <w:r w:rsidRPr="006B387C">
        <w:rPr>
          <w:rFonts w:cs="Times New Roman"/>
          <w:b/>
          <w:i w:val="0"/>
          <w:iCs w:val="0"/>
          <w:color w:val="auto"/>
          <w:sz w:val="24"/>
          <w:szCs w:val="24"/>
          <w:lang w:eastAsia="en-US"/>
        </w:rPr>
        <w:fldChar w:fldCharType="begin"/>
      </w:r>
      <w:r w:rsidRPr="006B387C">
        <w:rPr>
          <w:rFonts w:cs="Times New Roman"/>
          <w:b/>
          <w:i w:val="0"/>
          <w:iCs w:val="0"/>
          <w:color w:val="auto"/>
          <w:sz w:val="24"/>
          <w:szCs w:val="24"/>
          <w:lang w:eastAsia="en-US"/>
        </w:rPr>
        <w:instrText xml:space="preserve"> SEQ Cuadro \* ARABIC </w:instrText>
      </w:r>
      <w:r w:rsidRPr="006B387C">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182</w:t>
      </w:r>
      <w:r w:rsidRPr="006B387C">
        <w:rPr>
          <w:rFonts w:cs="Times New Roman"/>
          <w:b/>
          <w:i w:val="0"/>
          <w:iCs w:val="0"/>
          <w:color w:val="auto"/>
          <w:sz w:val="24"/>
          <w:szCs w:val="24"/>
          <w:lang w:eastAsia="en-US"/>
        </w:rPr>
        <w:fldChar w:fldCharType="end"/>
      </w:r>
      <w:r w:rsidRPr="006B387C">
        <w:rPr>
          <w:rFonts w:cs="Times New Roman"/>
          <w:b/>
          <w:i w:val="0"/>
          <w:iCs w:val="0"/>
          <w:color w:val="auto"/>
          <w:sz w:val="24"/>
          <w:szCs w:val="24"/>
          <w:lang w:eastAsia="en-US"/>
        </w:rPr>
        <w:t>.</w:t>
      </w:r>
      <w:r w:rsidRPr="006B387C">
        <w:rPr>
          <w:rFonts w:cs="Times New Roman"/>
          <w:i w:val="0"/>
          <w:iCs w:val="0"/>
          <w:color w:val="auto"/>
          <w:sz w:val="24"/>
          <w:szCs w:val="24"/>
          <w:lang w:eastAsia="en-US"/>
        </w:rPr>
        <w:t xml:space="preserve"> Rendimiento promedio de maíz en grano seco obtenidas en 242 parcelas entre el 2006 al 2015.</w:t>
      </w:r>
      <w:bookmarkEnd w:id="2282"/>
    </w:p>
    <w:tbl>
      <w:tblPr>
        <w:tblStyle w:val="Tablaconcuadrcula"/>
        <w:tblW w:w="4106" w:type="dxa"/>
        <w:jc w:val="center"/>
        <w:tblLook w:val="04A0" w:firstRow="1" w:lastRow="0" w:firstColumn="1" w:lastColumn="0" w:noHBand="0" w:noVBand="1"/>
      </w:tblPr>
      <w:tblGrid>
        <w:gridCol w:w="1591"/>
        <w:gridCol w:w="2515"/>
      </w:tblGrid>
      <w:tr w:rsidR="00715E8E" w:rsidRPr="00854935" w14:paraId="3E9DA5A5" w14:textId="77777777" w:rsidTr="00715E8E">
        <w:trPr>
          <w:trHeight w:val="300"/>
          <w:jc w:val="center"/>
        </w:trPr>
        <w:tc>
          <w:tcPr>
            <w:tcW w:w="1591" w:type="dxa"/>
            <w:noWrap/>
            <w:hideMark/>
          </w:tcPr>
          <w:p w14:paraId="4A6353E9" w14:textId="77777777" w:rsidR="00715E8E" w:rsidRPr="00854935" w:rsidRDefault="00715E8E" w:rsidP="009F799C">
            <w:pPr>
              <w:rPr>
                <w:rFonts w:eastAsia="Times New Roman" w:cs="Times New Roman"/>
                <w:color w:val="000000"/>
                <w:szCs w:val="24"/>
                <w:lang w:eastAsia="es-EC"/>
              </w:rPr>
            </w:pPr>
            <w:r w:rsidRPr="00854935">
              <w:rPr>
                <w:rFonts w:eastAsia="Times New Roman" w:cs="Times New Roman"/>
                <w:color w:val="000000"/>
                <w:szCs w:val="24"/>
                <w:lang w:eastAsia="es-EC"/>
              </w:rPr>
              <w:t>PROVINCIA</w:t>
            </w:r>
          </w:p>
        </w:tc>
        <w:tc>
          <w:tcPr>
            <w:tcW w:w="2515" w:type="dxa"/>
            <w:noWrap/>
            <w:hideMark/>
          </w:tcPr>
          <w:p w14:paraId="5F96FE10" w14:textId="77777777" w:rsidR="00715E8E" w:rsidRPr="00854935" w:rsidRDefault="00715E8E" w:rsidP="009F799C">
            <w:pPr>
              <w:rPr>
                <w:rFonts w:eastAsia="Times New Roman" w:cs="Times New Roman"/>
                <w:color w:val="000000"/>
                <w:szCs w:val="24"/>
                <w:lang w:eastAsia="es-EC"/>
              </w:rPr>
            </w:pPr>
            <w:r w:rsidRPr="00854935">
              <w:rPr>
                <w:rFonts w:eastAsia="Times New Roman" w:cs="Times New Roman"/>
                <w:color w:val="000000"/>
                <w:szCs w:val="24"/>
                <w:lang w:eastAsia="es-EC"/>
              </w:rPr>
              <w:t>RENDIMIENTO (t ha)</w:t>
            </w:r>
          </w:p>
        </w:tc>
      </w:tr>
      <w:tr w:rsidR="00715E8E" w:rsidRPr="00854935" w14:paraId="1C9A1672" w14:textId="77777777" w:rsidTr="00715E8E">
        <w:trPr>
          <w:trHeight w:val="300"/>
          <w:jc w:val="center"/>
        </w:trPr>
        <w:tc>
          <w:tcPr>
            <w:tcW w:w="1591" w:type="dxa"/>
            <w:noWrap/>
            <w:hideMark/>
          </w:tcPr>
          <w:p w14:paraId="40E8921E" w14:textId="77777777" w:rsidR="00715E8E" w:rsidRPr="00854935" w:rsidRDefault="00715E8E" w:rsidP="009F799C">
            <w:pPr>
              <w:rPr>
                <w:rFonts w:eastAsia="Times New Roman" w:cs="Times New Roman"/>
                <w:b/>
                <w:bCs/>
                <w:color w:val="000000"/>
                <w:szCs w:val="24"/>
                <w:lang w:eastAsia="es-EC"/>
              </w:rPr>
            </w:pPr>
            <w:r w:rsidRPr="00854935">
              <w:rPr>
                <w:rFonts w:eastAsia="Times New Roman" w:cs="Times New Roman"/>
                <w:color w:val="000000"/>
                <w:szCs w:val="24"/>
                <w:lang w:eastAsia="es-EC"/>
              </w:rPr>
              <w:t>Bolívar</w:t>
            </w:r>
          </w:p>
        </w:tc>
        <w:tc>
          <w:tcPr>
            <w:tcW w:w="2515" w:type="dxa"/>
            <w:noWrap/>
            <w:hideMark/>
          </w:tcPr>
          <w:p w14:paraId="353A674F" w14:textId="77777777" w:rsidR="00715E8E" w:rsidRPr="00854935" w:rsidRDefault="00715E8E" w:rsidP="009F799C">
            <w:pPr>
              <w:jc w:val="right"/>
              <w:rPr>
                <w:rFonts w:eastAsia="Times New Roman" w:cs="Times New Roman"/>
                <w:color w:val="000000"/>
                <w:szCs w:val="24"/>
                <w:lang w:eastAsia="es-EC"/>
              </w:rPr>
            </w:pPr>
            <w:r w:rsidRPr="00854935">
              <w:rPr>
                <w:rFonts w:eastAsia="Times New Roman" w:cs="Times New Roman"/>
                <w:color w:val="000000"/>
                <w:szCs w:val="24"/>
                <w:lang w:eastAsia="es-EC"/>
              </w:rPr>
              <w:t>3,79</w:t>
            </w:r>
          </w:p>
        </w:tc>
      </w:tr>
      <w:tr w:rsidR="00715E8E" w:rsidRPr="00854935" w14:paraId="152C4783" w14:textId="77777777" w:rsidTr="00715E8E">
        <w:trPr>
          <w:trHeight w:val="300"/>
          <w:jc w:val="center"/>
        </w:trPr>
        <w:tc>
          <w:tcPr>
            <w:tcW w:w="1591" w:type="dxa"/>
            <w:noWrap/>
            <w:hideMark/>
          </w:tcPr>
          <w:p w14:paraId="5E5BD799" w14:textId="77777777" w:rsidR="00715E8E" w:rsidRPr="00854935" w:rsidRDefault="00715E8E" w:rsidP="009F799C">
            <w:pPr>
              <w:rPr>
                <w:rFonts w:eastAsia="Times New Roman" w:cs="Times New Roman"/>
                <w:b/>
                <w:bCs/>
                <w:color w:val="000000"/>
                <w:szCs w:val="24"/>
                <w:lang w:eastAsia="es-EC"/>
              </w:rPr>
            </w:pPr>
            <w:r w:rsidRPr="00854935">
              <w:rPr>
                <w:rFonts w:eastAsia="Times New Roman" w:cs="Times New Roman"/>
                <w:color w:val="000000"/>
                <w:szCs w:val="24"/>
                <w:lang w:eastAsia="es-EC"/>
              </w:rPr>
              <w:t>Chimborazo</w:t>
            </w:r>
          </w:p>
        </w:tc>
        <w:tc>
          <w:tcPr>
            <w:tcW w:w="2515" w:type="dxa"/>
            <w:noWrap/>
            <w:hideMark/>
          </w:tcPr>
          <w:p w14:paraId="046AEDAA" w14:textId="77777777" w:rsidR="00715E8E" w:rsidRPr="00854935" w:rsidRDefault="00715E8E" w:rsidP="009F799C">
            <w:pPr>
              <w:jc w:val="right"/>
              <w:rPr>
                <w:rFonts w:eastAsia="Times New Roman" w:cs="Times New Roman"/>
                <w:color w:val="000000"/>
                <w:szCs w:val="24"/>
                <w:lang w:eastAsia="es-EC"/>
              </w:rPr>
            </w:pPr>
            <w:r w:rsidRPr="00854935">
              <w:rPr>
                <w:rFonts w:eastAsia="Times New Roman" w:cs="Times New Roman"/>
                <w:color w:val="000000"/>
                <w:szCs w:val="24"/>
                <w:lang w:eastAsia="es-EC"/>
              </w:rPr>
              <w:t>4,59</w:t>
            </w:r>
          </w:p>
        </w:tc>
      </w:tr>
      <w:tr w:rsidR="00715E8E" w:rsidRPr="00854935" w14:paraId="426ECE38" w14:textId="77777777" w:rsidTr="00715E8E">
        <w:trPr>
          <w:trHeight w:val="300"/>
          <w:jc w:val="center"/>
        </w:trPr>
        <w:tc>
          <w:tcPr>
            <w:tcW w:w="1591" w:type="dxa"/>
            <w:noWrap/>
            <w:hideMark/>
          </w:tcPr>
          <w:p w14:paraId="5EC01B45" w14:textId="77777777" w:rsidR="00715E8E" w:rsidRPr="00854935" w:rsidRDefault="00715E8E" w:rsidP="009F799C">
            <w:pPr>
              <w:rPr>
                <w:rFonts w:eastAsia="Times New Roman" w:cs="Times New Roman"/>
                <w:b/>
                <w:bCs/>
                <w:color w:val="000000"/>
                <w:szCs w:val="24"/>
                <w:lang w:eastAsia="es-EC"/>
              </w:rPr>
            </w:pPr>
            <w:r w:rsidRPr="00854935">
              <w:rPr>
                <w:rFonts w:eastAsia="Times New Roman" w:cs="Times New Roman"/>
                <w:color w:val="000000"/>
                <w:szCs w:val="24"/>
                <w:lang w:eastAsia="es-EC"/>
              </w:rPr>
              <w:t>Imbabura</w:t>
            </w:r>
          </w:p>
        </w:tc>
        <w:tc>
          <w:tcPr>
            <w:tcW w:w="2515" w:type="dxa"/>
            <w:noWrap/>
            <w:hideMark/>
          </w:tcPr>
          <w:p w14:paraId="0AE30621" w14:textId="77777777" w:rsidR="00715E8E" w:rsidRPr="00854935" w:rsidRDefault="00715E8E" w:rsidP="009F799C">
            <w:pPr>
              <w:jc w:val="right"/>
              <w:rPr>
                <w:rFonts w:eastAsia="Times New Roman" w:cs="Times New Roman"/>
                <w:color w:val="000000"/>
                <w:szCs w:val="24"/>
                <w:lang w:eastAsia="es-EC"/>
              </w:rPr>
            </w:pPr>
            <w:r w:rsidRPr="00854935">
              <w:rPr>
                <w:rFonts w:eastAsia="Times New Roman" w:cs="Times New Roman"/>
                <w:color w:val="000000"/>
                <w:szCs w:val="24"/>
                <w:lang w:eastAsia="es-EC"/>
              </w:rPr>
              <w:t>4,59</w:t>
            </w:r>
          </w:p>
        </w:tc>
      </w:tr>
      <w:tr w:rsidR="00715E8E" w:rsidRPr="00854935" w14:paraId="2FC366BB" w14:textId="77777777" w:rsidTr="00715E8E">
        <w:trPr>
          <w:trHeight w:val="300"/>
          <w:jc w:val="center"/>
        </w:trPr>
        <w:tc>
          <w:tcPr>
            <w:tcW w:w="1591" w:type="dxa"/>
            <w:noWrap/>
            <w:hideMark/>
          </w:tcPr>
          <w:p w14:paraId="2FEA16F5" w14:textId="77777777" w:rsidR="00715E8E" w:rsidRPr="00854935" w:rsidRDefault="00715E8E" w:rsidP="009F799C">
            <w:pPr>
              <w:rPr>
                <w:rFonts w:eastAsia="Times New Roman" w:cs="Times New Roman"/>
                <w:color w:val="000000"/>
                <w:szCs w:val="24"/>
                <w:lang w:eastAsia="es-EC"/>
              </w:rPr>
            </w:pPr>
            <w:r w:rsidRPr="00854935">
              <w:rPr>
                <w:rFonts w:eastAsia="Times New Roman" w:cs="Times New Roman"/>
                <w:color w:val="000000"/>
                <w:szCs w:val="24"/>
                <w:lang w:eastAsia="es-EC"/>
              </w:rPr>
              <w:t>Promedio</w:t>
            </w:r>
          </w:p>
        </w:tc>
        <w:tc>
          <w:tcPr>
            <w:tcW w:w="2515" w:type="dxa"/>
            <w:noWrap/>
            <w:hideMark/>
          </w:tcPr>
          <w:p w14:paraId="427F7BF6" w14:textId="77777777" w:rsidR="00715E8E" w:rsidRPr="00854935" w:rsidRDefault="00715E8E" w:rsidP="009F799C">
            <w:pPr>
              <w:jc w:val="right"/>
              <w:rPr>
                <w:rFonts w:eastAsia="Times New Roman" w:cs="Times New Roman"/>
                <w:color w:val="000000"/>
                <w:szCs w:val="24"/>
                <w:lang w:eastAsia="es-EC"/>
              </w:rPr>
            </w:pPr>
            <w:r w:rsidRPr="00854935">
              <w:rPr>
                <w:rFonts w:eastAsia="Times New Roman" w:cs="Times New Roman"/>
                <w:color w:val="000000"/>
                <w:szCs w:val="24"/>
                <w:lang w:eastAsia="es-EC"/>
              </w:rPr>
              <w:t>4,29</w:t>
            </w:r>
          </w:p>
        </w:tc>
      </w:tr>
    </w:tbl>
    <w:p w14:paraId="672CD2B8" w14:textId="57965DA1" w:rsidR="00715E8E" w:rsidRDefault="00715E8E" w:rsidP="009F799C">
      <w:pPr>
        <w:spacing w:before="360" w:after="360" w:line="360" w:lineRule="auto"/>
        <w:rPr>
          <w:rFonts w:cs="Times New Roman"/>
          <w:szCs w:val="24"/>
        </w:rPr>
      </w:pPr>
      <w:r>
        <w:rPr>
          <w:rFonts w:cs="Times New Roman"/>
          <w:szCs w:val="24"/>
        </w:rPr>
        <w:t>L</w:t>
      </w:r>
      <w:r w:rsidRPr="00854935">
        <w:rPr>
          <w:rFonts w:cs="Times New Roman"/>
          <w:szCs w:val="24"/>
        </w:rPr>
        <w:t xml:space="preserve">os rendimientos </w:t>
      </w:r>
      <w:r>
        <w:rPr>
          <w:rFonts w:cs="Times New Roman"/>
          <w:szCs w:val="24"/>
        </w:rPr>
        <w:t xml:space="preserve">promedios </w:t>
      </w:r>
      <w:r w:rsidRPr="00854935">
        <w:rPr>
          <w:rFonts w:cs="Times New Roman"/>
          <w:szCs w:val="24"/>
        </w:rPr>
        <w:t xml:space="preserve">obtenidos </w:t>
      </w:r>
      <w:r>
        <w:rPr>
          <w:rFonts w:cs="Times New Roman"/>
          <w:szCs w:val="24"/>
        </w:rPr>
        <w:t>fueron</w:t>
      </w:r>
      <w:r w:rsidRPr="00854935">
        <w:rPr>
          <w:rFonts w:cs="Times New Roman"/>
          <w:szCs w:val="24"/>
        </w:rPr>
        <w:t xml:space="preserve"> iguales entre las Provincias de Imbabura y Chimborazo, pero diferentes con la provincia de Bolívar</w:t>
      </w:r>
      <w:r>
        <w:rPr>
          <w:rFonts w:cs="Times New Roman"/>
          <w:szCs w:val="24"/>
        </w:rPr>
        <w:t xml:space="preserve"> (Cuadro 183), </w:t>
      </w:r>
      <w:r w:rsidRPr="00854935">
        <w:rPr>
          <w:rFonts w:cs="Times New Roman"/>
          <w:szCs w:val="24"/>
        </w:rPr>
        <w:t>la misma que registra una diferencia de 0,80</w:t>
      </w:r>
      <w:r>
        <w:rPr>
          <w:rFonts w:cs="Times New Roman"/>
          <w:szCs w:val="24"/>
        </w:rPr>
        <w:t xml:space="preserve"> </w:t>
      </w:r>
      <w:r w:rsidRPr="00854935">
        <w:rPr>
          <w:rFonts w:eastAsia="Times New Roman" w:cs="Times New Roman"/>
          <w:color w:val="000000"/>
          <w:szCs w:val="24"/>
          <w:lang w:eastAsia="es-EC"/>
        </w:rPr>
        <w:t>(t ha</w:t>
      </w:r>
      <w:r w:rsidRPr="008576F8">
        <w:rPr>
          <w:rFonts w:eastAsia="Times New Roman" w:cs="Times New Roman"/>
          <w:color w:val="000000"/>
          <w:szCs w:val="24"/>
          <w:vertAlign w:val="superscript"/>
          <w:lang w:eastAsia="es-EC"/>
        </w:rPr>
        <w:t>-1</w:t>
      </w:r>
      <w:r w:rsidRPr="00854935">
        <w:rPr>
          <w:rFonts w:eastAsia="Times New Roman" w:cs="Times New Roman"/>
          <w:color w:val="000000"/>
          <w:szCs w:val="24"/>
          <w:lang w:eastAsia="es-EC"/>
        </w:rPr>
        <w:t>)</w:t>
      </w:r>
      <w:r w:rsidRPr="00854935">
        <w:rPr>
          <w:rFonts w:cs="Times New Roman"/>
          <w:szCs w:val="24"/>
        </w:rPr>
        <w:t xml:space="preserve"> en relación a</w:t>
      </w:r>
      <w:r>
        <w:rPr>
          <w:rFonts w:cs="Times New Roman"/>
          <w:szCs w:val="24"/>
        </w:rPr>
        <w:t xml:space="preserve"> Imbabura.</w:t>
      </w:r>
      <w:r w:rsidRPr="00854935">
        <w:rPr>
          <w:rFonts w:cs="Times New Roman"/>
          <w:szCs w:val="24"/>
        </w:rPr>
        <w:t xml:space="preserve"> </w:t>
      </w:r>
      <w:r>
        <w:rPr>
          <w:rFonts w:cs="Times New Roman"/>
          <w:szCs w:val="24"/>
        </w:rPr>
        <w:t xml:space="preserve">Los resultados de rendimiento concuerdan </w:t>
      </w:r>
      <w:r w:rsidRPr="00854935">
        <w:rPr>
          <w:rFonts w:cs="Times New Roman"/>
          <w:szCs w:val="24"/>
        </w:rPr>
        <w:t>con los publicados por diversas fuentes como los consolidados del INIAP a nivel nacional en la zona de la Sierra en diversas locaciones</w:t>
      </w:r>
      <w:r>
        <w:rPr>
          <w:rFonts w:cs="Times New Roman"/>
          <w:szCs w:val="24"/>
        </w:rPr>
        <w:t xml:space="preserve"> </w:t>
      </w:r>
      <w:sdt>
        <w:sdtPr>
          <w:rPr>
            <w:rFonts w:cs="Times New Roman"/>
            <w:szCs w:val="24"/>
          </w:rPr>
          <w:id w:val="1222017313"/>
          <w:citation/>
        </w:sdtPr>
        <w:sdtEndPr/>
        <w:sdtContent>
          <w:r>
            <w:rPr>
              <w:rFonts w:cs="Times New Roman"/>
              <w:szCs w:val="24"/>
            </w:rPr>
            <w:fldChar w:fldCharType="begin"/>
          </w:r>
          <w:r>
            <w:rPr>
              <w:rFonts w:cs="Times New Roman"/>
              <w:szCs w:val="24"/>
            </w:rPr>
            <w:instrText xml:space="preserve"> CITATION INI17 \l 12298 </w:instrText>
          </w:r>
          <w:r>
            <w:rPr>
              <w:rFonts w:cs="Times New Roman"/>
              <w:szCs w:val="24"/>
            </w:rPr>
            <w:fldChar w:fldCharType="separate"/>
          </w:r>
          <w:r w:rsidR="005106B9" w:rsidRPr="005106B9">
            <w:rPr>
              <w:rFonts w:cs="Times New Roman"/>
              <w:noProof/>
              <w:szCs w:val="24"/>
            </w:rPr>
            <w:t>(INIAP, 2017)</w:t>
          </w:r>
          <w:r>
            <w:rPr>
              <w:rFonts w:cs="Times New Roman"/>
              <w:szCs w:val="24"/>
            </w:rPr>
            <w:fldChar w:fldCharType="end"/>
          </w:r>
        </w:sdtContent>
      </w:sdt>
      <w:r>
        <w:rPr>
          <w:rFonts w:cs="Times New Roman"/>
          <w:szCs w:val="24"/>
        </w:rPr>
        <w:t xml:space="preserve">. </w:t>
      </w:r>
    </w:p>
    <w:p w14:paraId="0D5AC1EE" w14:textId="55AFC4F8" w:rsidR="006B387C" w:rsidRPr="006B387C" w:rsidRDefault="006B387C" w:rsidP="006B387C">
      <w:pPr>
        <w:pStyle w:val="Descripcin"/>
        <w:keepNext/>
        <w:jc w:val="center"/>
        <w:rPr>
          <w:rFonts w:cs="Times New Roman"/>
          <w:i w:val="0"/>
          <w:iCs w:val="0"/>
          <w:color w:val="auto"/>
          <w:sz w:val="24"/>
          <w:szCs w:val="24"/>
          <w:lang w:eastAsia="en-US"/>
        </w:rPr>
      </w:pPr>
      <w:bookmarkStart w:id="2283" w:name="_Toc79314408"/>
      <w:r w:rsidRPr="006B387C">
        <w:rPr>
          <w:rFonts w:cs="Times New Roman"/>
          <w:b/>
          <w:i w:val="0"/>
          <w:iCs w:val="0"/>
          <w:color w:val="auto"/>
          <w:sz w:val="24"/>
          <w:szCs w:val="24"/>
          <w:lang w:eastAsia="en-US"/>
        </w:rPr>
        <w:t xml:space="preserve">Figura </w:t>
      </w:r>
      <w:r w:rsidRPr="006B387C">
        <w:rPr>
          <w:rFonts w:cs="Times New Roman"/>
          <w:b/>
          <w:i w:val="0"/>
          <w:iCs w:val="0"/>
          <w:color w:val="auto"/>
          <w:sz w:val="24"/>
          <w:szCs w:val="24"/>
          <w:lang w:eastAsia="en-US"/>
        </w:rPr>
        <w:fldChar w:fldCharType="begin"/>
      </w:r>
      <w:r w:rsidRPr="006B387C">
        <w:rPr>
          <w:rFonts w:cs="Times New Roman"/>
          <w:b/>
          <w:i w:val="0"/>
          <w:iCs w:val="0"/>
          <w:color w:val="auto"/>
          <w:sz w:val="24"/>
          <w:szCs w:val="24"/>
          <w:lang w:eastAsia="en-US"/>
        </w:rPr>
        <w:instrText xml:space="preserve"> SEQ Figura \* ARABIC </w:instrText>
      </w:r>
      <w:r w:rsidRPr="006B387C">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2</w:t>
      </w:r>
      <w:r w:rsidRPr="006B387C">
        <w:rPr>
          <w:rFonts w:cs="Times New Roman"/>
          <w:b/>
          <w:i w:val="0"/>
          <w:iCs w:val="0"/>
          <w:color w:val="auto"/>
          <w:sz w:val="24"/>
          <w:szCs w:val="24"/>
          <w:lang w:eastAsia="en-US"/>
        </w:rPr>
        <w:fldChar w:fldCharType="end"/>
      </w:r>
      <w:r w:rsidRPr="006B387C">
        <w:rPr>
          <w:rFonts w:cs="Times New Roman"/>
          <w:b/>
          <w:i w:val="0"/>
          <w:iCs w:val="0"/>
          <w:color w:val="auto"/>
          <w:sz w:val="24"/>
          <w:szCs w:val="24"/>
          <w:lang w:eastAsia="en-US"/>
        </w:rPr>
        <w:t>.</w:t>
      </w:r>
      <w:r w:rsidRPr="006B387C">
        <w:rPr>
          <w:rFonts w:cs="Times New Roman"/>
          <w:i w:val="0"/>
          <w:iCs w:val="0"/>
          <w:color w:val="auto"/>
          <w:sz w:val="24"/>
          <w:szCs w:val="24"/>
          <w:lang w:eastAsia="en-US"/>
        </w:rPr>
        <w:t xml:space="preserve"> Evolución del rendimiento de maíz suave en la Sierra del Ecuador</w:t>
      </w:r>
      <w:bookmarkEnd w:id="2283"/>
    </w:p>
    <w:p w14:paraId="447FF68D" w14:textId="77777777" w:rsidR="00715E8E" w:rsidRPr="00854935" w:rsidRDefault="00715E8E" w:rsidP="00715E8E">
      <w:pPr>
        <w:spacing w:after="0" w:line="360" w:lineRule="auto"/>
        <w:jc w:val="center"/>
        <w:rPr>
          <w:rFonts w:cs="Times New Roman"/>
          <w:noProof/>
          <w:szCs w:val="24"/>
        </w:rPr>
      </w:pPr>
      <w:r w:rsidRPr="00854935">
        <w:rPr>
          <w:rFonts w:cs="Times New Roman"/>
          <w:noProof/>
          <w:szCs w:val="24"/>
          <w:lang w:eastAsia="es-EC"/>
        </w:rPr>
        <w:drawing>
          <wp:inline distT="0" distB="0" distL="0" distR="0" wp14:anchorId="0ED784FB" wp14:editId="26685B49">
            <wp:extent cx="4927404" cy="2386693"/>
            <wp:effectExtent l="19050" t="19050" r="26035" b="139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3337" t="16728" r="7229" b="14842"/>
                    <a:stretch/>
                  </pic:blipFill>
                  <pic:spPr bwMode="auto">
                    <a:xfrm>
                      <a:off x="0" y="0"/>
                      <a:ext cx="4945676" cy="23955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22546A" w14:textId="45C0510C" w:rsidR="00715E8E" w:rsidRPr="009F799C" w:rsidRDefault="00B05008" w:rsidP="009F799C">
      <w:pPr>
        <w:spacing w:after="360"/>
        <w:rPr>
          <w:sz w:val="20"/>
          <w:szCs w:val="20"/>
        </w:rPr>
      </w:pPr>
      <w:r w:rsidRPr="009F799C">
        <w:rPr>
          <w:b/>
          <w:sz w:val="20"/>
          <w:szCs w:val="20"/>
        </w:rPr>
        <w:t xml:space="preserve">     </w:t>
      </w:r>
      <w:r w:rsidR="00F34FEE" w:rsidRPr="009F799C">
        <w:rPr>
          <w:b/>
          <w:sz w:val="20"/>
          <w:szCs w:val="20"/>
        </w:rPr>
        <w:t xml:space="preserve"> </w:t>
      </w:r>
      <w:r w:rsidR="00715E8E" w:rsidRPr="009F799C">
        <w:rPr>
          <w:b/>
          <w:sz w:val="20"/>
          <w:szCs w:val="20"/>
        </w:rPr>
        <w:t>Fuente:</w:t>
      </w:r>
      <w:r w:rsidR="00715E8E" w:rsidRPr="009F799C">
        <w:rPr>
          <w:sz w:val="20"/>
          <w:szCs w:val="20"/>
        </w:rPr>
        <w:t xml:space="preserve"> </w:t>
      </w:r>
      <w:sdt>
        <w:sdtPr>
          <w:rPr>
            <w:sz w:val="20"/>
            <w:szCs w:val="20"/>
          </w:rPr>
          <w:id w:val="868036679"/>
          <w:citation/>
        </w:sdtPr>
        <w:sdtEndPr/>
        <w:sdtContent>
          <w:r w:rsidR="00715E8E" w:rsidRPr="009F799C">
            <w:rPr>
              <w:sz w:val="20"/>
              <w:szCs w:val="20"/>
            </w:rPr>
            <w:fldChar w:fldCharType="begin"/>
          </w:r>
          <w:r w:rsidR="00715E8E" w:rsidRPr="009F799C">
            <w:rPr>
              <w:sz w:val="20"/>
              <w:szCs w:val="20"/>
              <w:lang w:val="es-MX"/>
            </w:rPr>
            <w:instrText xml:space="preserve"> CITATION Zam19 \l 2058 </w:instrText>
          </w:r>
          <w:r w:rsidR="00715E8E" w:rsidRPr="009F799C">
            <w:rPr>
              <w:sz w:val="20"/>
              <w:szCs w:val="20"/>
            </w:rPr>
            <w:fldChar w:fldCharType="separate"/>
          </w:r>
          <w:r w:rsidR="005106B9" w:rsidRPr="005106B9">
            <w:rPr>
              <w:noProof/>
              <w:sz w:val="20"/>
              <w:szCs w:val="20"/>
              <w:lang w:val="es-MX"/>
            </w:rPr>
            <w:t>(Zambrano, 2019)</w:t>
          </w:r>
          <w:r w:rsidR="00715E8E" w:rsidRPr="009F799C">
            <w:rPr>
              <w:sz w:val="20"/>
              <w:szCs w:val="20"/>
            </w:rPr>
            <w:fldChar w:fldCharType="end"/>
          </w:r>
        </w:sdtContent>
      </w:sdt>
      <w:r w:rsidR="00715E8E" w:rsidRPr="009F799C">
        <w:rPr>
          <w:sz w:val="20"/>
          <w:szCs w:val="20"/>
        </w:rPr>
        <w:t xml:space="preserve"> </w:t>
      </w:r>
    </w:p>
    <w:p w14:paraId="4C0D5481" w14:textId="2E08DDF7" w:rsidR="00715E8E" w:rsidRDefault="002111F0" w:rsidP="009F4CC8">
      <w:pPr>
        <w:spacing w:before="360" w:after="360" w:line="360" w:lineRule="auto"/>
        <w:rPr>
          <w:rFonts w:cs="Times New Roman"/>
          <w:szCs w:val="24"/>
          <w:vertAlign w:val="superscript"/>
        </w:rPr>
      </w:pPr>
      <w:r>
        <w:rPr>
          <w:rFonts w:cs="Times New Roman"/>
          <w:szCs w:val="24"/>
        </w:rPr>
        <w:lastRenderedPageBreak/>
        <w:t xml:space="preserve">Zambrano </w:t>
      </w:r>
      <w:r w:rsidRPr="00854935">
        <w:rPr>
          <w:rFonts w:cs="Times New Roman"/>
          <w:szCs w:val="24"/>
        </w:rPr>
        <w:t>muestra</w:t>
      </w:r>
      <w:r>
        <w:rPr>
          <w:rFonts w:cs="Times New Roman"/>
          <w:szCs w:val="24"/>
        </w:rPr>
        <w:t xml:space="preserve"> </w:t>
      </w:r>
      <w:r w:rsidRPr="00854935">
        <w:rPr>
          <w:rFonts w:cs="Times New Roman"/>
          <w:szCs w:val="24"/>
        </w:rPr>
        <w:t>la</w:t>
      </w:r>
      <w:r w:rsidR="00715E8E" w:rsidRPr="00854935">
        <w:rPr>
          <w:rFonts w:cs="Times New Roman"/>
          <w:szCs w:val="24"/>
        </w:rPr>
        <w:t xml:space="preserve"> evolución del rendimiento del maíz suave en la </w:t>
      </w:r>
      <w:r w:rsidR="00715E8E">
        <w:rPr>
          <w:rFonts w:cs="Times New Roman"/>
          <w:szCs w:val="24"/>
        </w:rPr>
        <w:t>S</w:t>
      </w:r>
      <w:r w:rsidR="00715E8E" w:rsidRPr="00854935">
        <w:rPr>
          <w:rFonts w:cs="Times New Roman"/>
          <w:szCs w:val="24"/>
        </w:rPr>
        <w:t>ierra del Ecuador</w:t>
      </w:r>
      <w:r w:rsidR="00715E8E" w:rsidRPr="00910011">
        <w:rPr>
          <w:rFonts w:cs="Times New Roman"/>
          <w:szCs w:val="24"/>
        </w:rPr>
        <w:t xml:space="preserve"> </w:t>
      </w:r>
      <w:sdt>
        <w:sdtPr>
          <w:rPr>
            <w:rFonts w:cs="Times New Roman"/>
            <w:szCs w:val="24"/>
          </w:rPr>
          <w:id w:val="1514347234"/>
          <w:citation/>
        </w:sdtPr>
        <w:sdtEndPr/>
        <w:sdtContent>
          <w:r w:rsidR="00715E8E">
            <w:rPr>
              <w:rFonts w:cs="Times New Roman"/>
              <w:szCs w:val="24"/>
            </w:rPr>
            <w:fldChar w:fldCharType="begin"/>
          </w:r>
          <w:r w:rsidR="00715E8E">
            <w:rPr>
              <w:rFonts w:cs="Times New Roman"/>
              <w:szCs w:val="24"/>
              <w:lang w:val="es-MX"/>
            </w:rPr>
            <w:instrText xml:space="preserve"> CITATION Zam19 \l 2058 </w:instrText>
          </w:r>
          <w:r w:rsidR="00715E8E">
            <w:rPr>
              <w:rFonts w:cs="Times New Roman"/>
              <w:szCs w:val="24"/>
            </w:rPr>
            <w:fldChar w:fldCharType="separate"/>
          </w:r>
          <w:r w:rsidR="005106B9" w:rsidRPr="005106B9">
            <w:rPr>
              <w:rFonts w:cs="Times New Roman"/>
              <w:noProof/>
              <w:szCs w:val="24"/>
              <w:lang w:val="es-MX"/>
            </w:rPr>
            <w:t>(Zambrano, 2019)</w:t>
          </w:r>
          <w:r w:rsidR="00715E8E">
            <w:rPr>
              <w:rFonts w:cs="Times New Roman"/>
              <w:szCs w:val="24"/>
            </w:rPr>
            <w:fldChar w:fldCharType="end"/>
          </w:r>
        </w:sdtContent>
      </w:sdt>
      <w:r w:rsidR="00715E8E">
        <w:rPr>
          <w:rFonts w:cs="Times New Roman"/>
          <w:szCs w:val="24"/>
        </w:rPr>
        <w:t>. Estos</w:t>
      </w:r>
      <w:r w:rsidR="00715E8E" w:rsidRPr="00854935">
        <w:rPr>
          <w:rFonts w:cs="Times New Roman"/>
          <w:szCs w:val="24"/>
        </w:rPr>
        <w:t xml:space="preserve"> datos podrían emplearse para compararlos con los obtenidos en la base de datos del INIAP. El reporte muestra que entre los años 2000 y 2018 </w:t>
      </w:r>
      <w:r w:rsidR="00715E8E">
        <w:rPr>
          <w:rFonts w:cs="Times New Roman"/>
          <w:szCs w:val="24"/>
        </w:rPr>
        <w:t xml:space="preserve">existió </w:t>
      </w:r>
      <w:r w:rsidR="00715E8E" w:rsidRPr="00854935">
        <w:rPr>
          <w:rFonts w:cs="Times New Roman"/>
          <w:szCs w:val="24"/>
        </w:rPr>
        <w:t xml:space="preserve">un </w:t>
      </w:r>
      <w:r w:rsidR="00715E8E">
        <w:rPr>
          <w:rFonts w:cs="Times New Roman"/>
          <w:szCs w:val="24"/>
        </w:rPr>
        <w:t xml:space="preserve">ligero </w:t>
      </w:r>
      <w:r w:rsidR="00715E8E" w:rsidRPr="00854935">
        <w:rPr>
          <w:rFonts w:cs="Times New Roman"/>
          <w:szCs w:val="24"/>
        </w:rPr>
        <w:t xml:space="preserve">incremento en cuanto al rendimiento por hectárea del maíz suave en </w:t>
      </w:r>
      <w:r w:rsidR="00715E8E">
        <w:rPr>
          <w:rFonts w:cs="Times New Roman"/>
          <w:szCs w:val="24"/>
        </w:rPr>
        <w:t>seco. L</w:t>
      </w:r>
      <w:r w:rsidR="00715E8E" w:rsidRPr="00854935">
        <w:rPr>
          <w:rFonts w:cs="Times New Roman"/>
          <w:szCs w:val="24"/>
        </w:rPr>
        <w:t xml:space="preserve">a producción en el 2000 </w:t>
      </w:r>
      <w:r w:rsidR="00715E8E">
        <w:rPr>
          <w:rFonts w:cs="Times New Roman"/>
          <w:szCs w:val="24"/>
        </w:rPr>
        <w:t>fue de</w:t>
      </w:r>
      <w:r w:rsidR="00715E8E" w:rsidRPr="00854935">
        <w:rPr>
          <w:rFonts w:cs="Times New Roman"/>
          <w:szCs w:val="24"/>
        </w:rPr>
        <w:t xml:space="preserve"> </w:t>
      </w:r>
      <w:r w:rsidR="00715E8E">
        <w:rPr>
          <w:rFonts w:cs="Times New Roman"/>
          <w:szCs w:val="24"/>
        </w:rPr>
        <w:t xml:space="preserve">0.50 </w:t>
      </w:r>
      <w:r w:rsidR="00715E8E" w:rsidRPr="00854935">
        <w:rPr>
          <w:rFonts w:cs="Times New Roman"/>
          <w:szCs w:val="24"/>
        </w:rPr>
        <w:t>t ha</w:t>
      </w:r>
      <w:r w:rsidR="00715E8E" w:rsidRPr="00854935">
        <w:rPr>
          <w:rFonts w:cs="Times New Roman"/>
          <w:szCs w:val="24"/>
          <w:vertAlign w:val="superscript"/>
        </w:rPr>
        <w:t>-1</w:t>
      </w:r>
      <w:r w:rsidR="00715E8E">
        <w:rPr>
          <w:rFonts w:cs="Times New Roman"/>
          <w:szCs w:val="24"/>
          <w:vertAlign w:val="superscript"/>
        </w:rPr>
        <w:t xml:space="preserve"> </w:t>
      </w:r>
      <w:r w:rsidR="00715E8E" w:rsidRPr="00854935">
        <w:rPr>
          <w:rFonts w:cs="Times New Roman"/>
          <w:szCs w:val="24"/>
        </w:rPr>
        <w:t xml:space="preserve">y el pico más alto </w:t>
      </w:r>
      <w:r w:rsidR="00715E8E">
        <w:rPr>
          <w:rFonts w:cs="Times New Roman"/>
          <w:szCs w:val="24"/>
        </w:rPr>
        <w:t xml:space="preserve">fue </w:t>
      </w:r>
      <w:r w:rsidR="00715E8E" w:rsidRPr="00854935">
        <w:rPr>
          <w:rFonts w:cs="Times New Roman"/>
          <w:szCs w:val="24"/>
        </w:rPr>
        <w:t xml:space="preserve">en el 2018 con </w:t>
      </w:r>
      <w:r w:rsidR="00715E8E">
        <w:rPr>
          <w:rFonts w:cs="Times New Roman"/>
          <w:szCs w:val="24"/>
        </w:rPr>
        <w:t>1.07</w:t>
      </w:r>
      <w:r w:rsidR="00715E8E" w:rsidRPr="00854935">
        <w:rPr>
          <w:rFonts w:cs="Times New Roman"/>
          <w:szCs w:val="24"/>
        </w:rPr>
        <w:t xml:space="preserve"> t ha</w:t>
      </w:r>
      <w:r w:rsidR="00715E8E" w:rsidRPr="00854935">
        <w:rPr>
          <w:rFonts w:cs="Times New Roman"/>
          <w:szCs w:val="24"/>
          <w:vertAlign w:val="superscript"/>
        </w:rPr>
        <w:t>-1</w:t>
      </w:r>
    </w:p>
    <w:p w14:paraId="74220C57" w14:textId="49B4085E" w:rsidR="00715E8E" w:rsidRDefault="00715E8E" w:rsidP="009F4CC8">
      <w:pPr>
        <w:spacing w:before="360" w:after="360" w:line="360" w:lineRule="auto"/>
        <w:rPr>
          <w:b/>
          <w:bCs/>
        </w:rPr>
      </w:pPr>
      <w:r w:rsidRPr="00854935">
        <w:rPr>
          <w:rFonts w:cs="Times New Roman"/>
          <w:szCs w:val="24"/>
        </w:rPr>
        <w:t xml:space="preserve">De acuerdo al </w:t>
      </w:r>
      <w:sdt>
        <w:sdtPr>
          <w:rPr>
            <w:rFonts w:cs="Times New Roman"/>
            <w:szCs w:val="24"/>
          </w:rPr>
          <w:id w:val="-1730759208"/>
          <w:citation/>
        </w:sdtPr>
        <w:sdtEndPr/>
        <w:sdtContent>
          <w:r>
            <w:rPr>
              <w:rFonts w:cs="Times New Roman"/>
              <w:szCs w:val="24"/>
            </w:rPr>
            <w:fldChar w:fldCharType="begin"/>
          </w:r>
          <w:r>
            <w:rPr>
              <w:rFonts w:cs="Times New Roman"/>
              <w:szCs w:val="24"/>
              <w:lang w:val="es-MX"/>
            </w:rPr>
            <w:instrText xml:space="preserve"> CITATION INI17 \l 2058 </w:instrText>
          </w:r>
          <w:r>
            <w:rPr>
              <w:rFonts w:cs="Times New Roman"/>
              <w:szCs w:val="24"/>
            </w:rPr>
            <w:fldChar w:fldCharType="separate"/>
          </w:r>
          <w:r w:rsidR="005106B9" w:rsidRPr="005106B9">
            <w:rPr>
              <w:rFonts w:cs="Times New Roman"/>
              <w:noProof/>
              <w:szCs w:val="24"/>
              <w:lang w:val="es-MX"/>
            </w:rPr>
            <w:t>(INIAP, 2017)</w:t>
          </w:r>
          <w:r>
            <w:rPr>
              <w:rFonts w:cs="Times New Roman"/>
              <w:szCs w:val="24"/>
            </w:rPr>
            <w:fldChar w:fldCharType="end"/>
          </w:r>
        </w:sdtContent>
      </w:sdt>
      <w:r w:rsidRPr="00854935">
        <w:rPr>
          <w:rFonts w:cs="Times New Roman"/>
          <w:szCs w:val="24"/>
        </w:rPr>
        <w:t xml:space="preserve"> factores como suelos pobres, bajos nutrientes, sin rotación, dependientes de la lluvia son los responsables de los bajos rendimientos del maíz suave en la zona andina con rendimientos que bordean en el nivel más bajo, hasta valores de 0.8 t ha</w:t>
      </w:r>
      <w:r w:rsidRPr="00854935">
        <w:rPr>
          <w:rFonts w:cs="Times New Roman"/>
          <w:szCs w:val="24"/>
          <w:vertAlign w:val="superscript"/>
        </w:rPr>
        <w:t>-1</w:t>
      </w:r>
      <w:r>
        <w:rPr>
          <w:rFonts w:cs="Times New Roman"/>
          <w:szCs w:val="24"/>
        </w:rPr>
        <w:t>. Sin embargo, en el presente estudio los rendimientos promedios de los ensayos estuvieron muy por encima del promedio reportado por el MAG para las provincias analizadas (Cuadro 184).  Esto pudo deberse a que los ensayos cumplieron con todas las recomendaciones de las buenas prácticas agrícolas, realizando un manejo adecuado de las parcelas de investigación. Muchos agricultores no utilizan buenas prácticas agrícolas. Esto sugiere que los agricultores pueden incrementar sus rendimientos si realizan las labores de manejo adecuadas.</w:t>
      </w:r>
    </w:p>
    <w:p w14:paraId="37B20319" w14:textId="55E9D6AD" w:rsidR="002D15CE" w:rsidRPr="002D15CE" w:rsidRDefault="002D15CE" w:rsidP="009F4CC8">
      <w:pPr>
        <w:pStyle w:val="Descripcin"/>
        <w:keepNext/>
        <w:spacing w:before="360" w:after="120" w:line="240" w:lineRule="auto"/>
        <w:rPr>
          <w:rFonts w:cs="Times New Roman"/>
          <w:i w:val="0"/>
          <w:iCs w:val="0"/>
          <w:color w:val="auto"/>
          <w:sz w:val="24"/>
          <w:szCs w:val="24"/>
          <w:lang w:eastAsia="en-US"/>
        </w:rPr>
      </w:pPr>
      <w:bookmarkStart w:id="2284" w:name="_Toc79314176"/>
      <w:r w:rsidRPr="002D15CE">
        <w:rPr>
          <w:rFonts w:cs="Times New Roman"/>
          <w:b/>
          <w:i w:val="0"/>
          <w:iCs w:val="0"/>
          <w:color w:val="auto"/>
          <w:sz w:val="24"/>
          <w:szCs w:val="24"/>
          <w:lang w:eastAsia="en-US"/>
        </w:rPr>
        <w:t xml:space="preserve">Cuadro </w:t>
      </w:r>
      <w:r w:rsidRPr="002D15CE">
        <w:rPr>
          <w:rFonts w:cs="Times New Roman"/>
          <w:b/>
          <w:i w:val="0"/>
          <w:iCs w:val="0"/>
          <w:color w:val="auto"/>
          <w:sz w:val="24"/>
          <w:szCs w:val="24"/>
          <w:lang w:eastAsia="en-US"/>
        </w:rPr>
        <w:fldChar w:fldCharType="begin"/>
      </w:r>
      <w:r w:rsidRPr="002D15CE">
        <w:rPr>
          <w:rFonts w:cs="Times New Roman"/>
          <w:b/>
          <w:i w:val="0"/>
          <w:iCs w:val="0"/>
          <w:color w:val="auto"/>
          <w:sz w:val="24"/>
          <w:szCs w:val="24"/>
          <w:lang w:eastAsia="en-US"/>
        </w:rPr>
        <w:instrText xml:space="preserve"> SEQ Cuadro \* ARABIC </w:instrText>
      </w:r>
      <w:r w:rsidRPr="002D15CE">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183</w:t>
      </w:r>
      <w:r w:rsidRPr="002D15CE">
        <w:rPr>
          <w:rFonts w:cs="Times New Roman"/>
          <w:b/>
          <w:i w:val="0"/>
          <w:iCs w:val="0"/>
          <w:color w:val="auto"/>
          <w:sz w:val="24"/>
          <w:szCs w:val="24"/>
          <w:lang w:eastAsia="en-US"/>
        </w:rPr>
        <w:fldChar w:fldCharType="end"/>
      </w:r>
      <w:r w:rsidRPr="002D15CE">
        <w:rPr>
          <w:rFonts w:cs="Times New Roman"/>
          <w:b/>
          <w:i w:val="0"/>
          <w:iCs w:val="0"/>
          <w:color w:val="auto"/>
          <w:sz w:val="24"/>
          <w:szCs w:val="24"/>
          <w:lang w:eastAsia="en-US"/>
        </w:rPr>
        <w:t xml:space="preserve">. </w:t>
      </w:r>
      <w:r w:rsidRPr="002D15CE">
        <w:rPr>
          <w:rFonts w:cs="Times New Roman"/>
          <w:i w:val="0"/>
          <w:iCs w:val="0"/>
          <w:color w:val="auto"/>
          <w:sz w:val="24"/>
          <w:szCs w:val="24"/>
          <w:lang w:eastAsia="en-US"/>
        </w:rPr>
        <w:t>Rendimiento de maíz suave en grano seco en tres provincias de la sierra del Ecuador (Bolívar, Chimborazo e Imbabura) durante el periodo 2012-2015</w:t>
      </w:r>
      <w:bookmarkEnd w:id="2284"/>
    </w:p>
    <w:tbl>
      <w:tblPr>
        <w:tblStyle w:val="Tablaconcuadrcula"/>
        <w:tblW w:w="8075" w:type="dxa"/>
        <w:tblLook w:val="04A0" w:firstRow="1" w:lastRow="0" w:firstColumn="1" w:lastColumn="0" w:noHBand="0" w:noVBand="1"/>
      </w:tblPr>
      <w:tblGrid>
        <w:gridCol w:w="2208"/>
        <w:gridCol w:w="1905"/>
        <w:gridCol w:w="1677"/>
        <w:gridCol w:w="2285"/>
      </w:tblGrid>
      <w:tr w:rsidR="00715E8E" w:rsidRPr="00854935" w14:paraId="03063AD1" w14:textId="77777777" w:rsidTr="009F4CC8">
        <w:trPr>
          <w:trHeight w:val="727"/>
        </w:trPr>
        <w:tc>
          <w:tcPr>
            <w:tcW w:w="2208" w:type="dxa"/>
          </w:tcPr>
          <w:p w14:paraId="69D7111A" w14:textId="77777777" w:rsidR="00715E8E" w:rsidRPr="009F4CC8" w:rsidRDefault="00715E8E" w:rsidP="00715E8E">
            <w:pPr>
              <w:spacing w:line="276" w:lineRule="auto"/>
              <w:jc w:val="center"/>
              <w:rPr>
                <w:rFonts w:cs="Times New Roman"/>
                <w:b/>
                <w:bCs/>
                <w:szCs w:val="24"/>
              </w:rPr>
            </w:pPr>
            <w:r w:rsidRPr="009F4CC8">
              <w:rPr>
                <w:rFonts w:cs="Times New Roman"/>
                <w:b/>
                <w:bCs/>
                <w:szCs w:val="24"/>
              </w:rPr>
              <w:t>PROVINCIAS</w:t>
            </w:r>
          </w:p>
        </w:tc>
        <w:tc>
          <w:tcPr>
            <w:tcW w:w="1905" w:type="dxa"/>
          </w:tcPr>
          <w:p w14:paraId="7AB7F460" w14:textId="77777777" w:rsidR="00715E8E" w:rsidRPr="009F4CC8" w:rsidRDefault="00715E8E" w:rsidP="00715E8E">
            <w:pPr>
              <w:spacing w:line="276" w:lineRule="auto"/>
              <w:jc w:val="center"/>
              <w:rPr>
                <w:rFonts w:cs="Times New Roman"/>
                <w:b/>
                <w:bCs/>
                <w:szCs w:val="24"/>
              </w:rPr>
            </w:pPr>
            <w:r w:rsidRPr="009F4CC8">
              <w:rPr>
                <w:rFonts w:cs="Times New Roman"/>
                <w:b/>
                <w:bCs/>
                <w:szCs w:val="24"/>
              </w:rPr>
              <w:t>Rendimiento</w:t>
            </w:r>
          </w:p>
          <w:p w14:paraId="7E26F039" w14:textId="77777777" w:rsidR="00715E8E" w:rsidRPr="009F4CC8" w:rsidRDefault="00715E8E" w:rsidP="00715E8E">
            <w:pPr>
              <w:spacing w:line="276" w:lineRule="auto"/>
              <w:jc w:val="center"/>
              <w:rPr>
                <w:rFonts w:cs="Times New Roman"/>
                <w:b/>
                <w:bCs/>
                <w:szCs w:val="24"/>
              </w:rPr>
            </w:pPr>
            <w:r w:rsidRPr="009F4CC8">
              <w:rPr>
                <w:rFonts w:cs="Times New Roman"/>
                <w:b/>
                <w:bCs/>
                <w:szCs w:val="24"/>
              </w:rPr>
              <w:t>2012 t ha</w:t>
            </w:r>
            <w:r w:rsidRPr="009F4CC8">
              <w:rPr>
                <w:rFonts w:cs="Times New Roman"/>
                <w:b/>
                <w:bCs/>
                <w:szCs w:val="24"/>
                <w:vertAlign w:val="superscript"/>
              </w:rPr>
              <w:t>-1</w:t>
            </w:r>
          </w:p>
        </w:tc>
        <w:tc>
          <w:tcPr>
            <w:tcW w:w="1677" w:type="dxa"/>
          </w:tcPr>
          <w:p w14:paraId="36DAA388" w14:textId="77777777" w:rsidR="00715E8E" w:rsidRPr="009F4CC8" w:rsidRDefault="00715E8E" w:rsidP="00715E8E">
            <w:pPr>
              <w:spacing w:line="276" w:lineRule="auto"/>
              <w:jc w:val="center"/>
              <w:rPr>
                <w:rFonts w:cs="Times New Roman"/>
                <w:b/>
                <w:bCs/>
                <w:szCs w:val="24"/>
              </w:rPr>
            </w:pPr>
            <w:r w:rsidRPr="009F4CC8">
              <w:rPr>
                <w:rFonts w:cs="Times New Roman"/>
                <w:b/>
                <w:bCs/>
                <w:szCs w:val="24"/>
              </w:rPr>
              <w:t>Rendimiento</w:t>
            </w:r>
          </w:p>
          <w:p w14:paraId="7CC076BD" w14:textId="77777777" w:rsidR="00715E8E" w:rsidRPr="009F4CC8" w:rsidRDefault="00715E8E" w:rsidP="00715E8E">
            <w:pPr>
              <w:spacing w:line="276" w:lineRule="auto"/>
              <w:jc w:val="center"/>
              <w:rPr>
                <w:rFonts w:cs="Times New Roman"/>
                <w:b/>
                <w:bCs/>
                <w:szCs w:val="24"/>
              </w:rPr>
            </w:pPr>
            <w:r w:rsidRPr="009F4CC8">
              <w:rPr>
                <w:rFonts w:cs="Times New Roman"/>
                <w:b/>
                <w:bCs/>
                <w:szCs w:val="24"/>
              </w:rPr>
              <w:t>2014 t ha</w:t>
            </w:r>
            <w:r w:rsidRPr="009F4CC8">
              <w:rPr>
                <w:rFonts w:cs="Times New Roman"/>
                <w:b/>
                <w:bCs/>
                <w:szCs w:val="24"/>
                <w:vertAlign w:val="superscript"/>
              </w:rPr>
              <w:t>-1</w:t>
            </w:r>
          </w:p>
        </w:tc>
        <w:tc>
          <w:tcPr>
            <w:tcW w:w="2285" w:type="dxa"/>
          </w:tcPr>
          <w:p w14:paraId="7E9824CC" w14:textId="77777777" w:rsidR="00715E8E" w:rsidRPr="009F4CC8" w:rsidRDefault="00715E8E" w:rsidP="00715E8E">
            <w:pPr>
              <w:spacing w:line="276" w:lineRule="auto"/>
              <w:jc w:val="center"/>
              <w:rPr>
                <w:rFonts w:cs="Times New Roman"/>
                <w:b/>
                <w:bCs/>
                <w:szCs w:val="24"/>
              </w:rPr>
            </w:pPr>
            <w:r w:rsidRPr="009F4CC8">
              <w:rPr>
                <w:rFonts w:cs="Times New Roman"/>
                <w:b/>
                <w:bCs/>
                <w:szCs w:val="24"/>
              </w:rPr>
              <w:t>Rendimiento</w:t>
            </w:r>
          </w:p>
          <w:p w14:paraId="2DC894EE" w14:textId="77777777" w:rsidR="00715E8E" w:rsidRPr="009F4CC8" w:rsidRDefault="00715E8E" w:rsidP="00715E8E">
            <w:pPr>
              <w:spacing w:line="276" w:lineRule="auto"/>
              <w:jc w:val="center"/>
              <w:rPr>
                <w:rFonts w:cs="Times New Roman"/>
                <w:b/>
                <w:bCs/>
                <w:szCs w:val="24"/>
              </w:rPr>
            </w:pPr>
            <w:r w:rsidRPr="009F4CC8">
              <w:rPr>
                <w:rFonts w:cs="Times New Roman"/>
                <w:b/>
                <w:bCs/>
                <w:szCs w:val="24"/>
              </w:rPr>
              <w:t>2015 t ha</w:t>
            </w:r>
            <w:r w:rsidRPr="009F4CC8">
              <w:rPr>
                <w:rFonts w:cs="Times New Roman"/>
                <w:b/>
                <w:bCs/>
                <w:szCs w:val="24"/>
                <w:vertAlign w:val="superscript"/>
              </w:rPr>
              <w:t>-1</w:t>
            </w:r>
          </w:p>
        </w:tc>
      </w:tr>
      <w:tr w:rsidR="00715E8E" w:rsidRPr="00854935" w14:paraId="4F256190" w14:textId="77777777" w:rsidTr="009F4CC8">
        <w:trPr>
          <w:trHeight w:val="370"/>
        </w:trPr>
        <w:tc>
          <w:tcPr>
            <w:tcW w:w="2208" w:type="dxa"/>
          </w:tcPr>
          <w:p w14:paraId="210B1AED" w14:textId="77777777" w:rsidR="00715E8E" w:rsidRPr="00854935" w:rsidRDefault="00715E8E" w:rsidP="00715E8E">
            <w:pPr>
              <w:spacing w:line="360" w:lineRule="auto"/>
              <w:jc w:val="center"/>
              <w:rPr>
                <w:rFonts w:cs="Times New Roman"/>
                <w:szCs w:val="24"/>
              </w:rPr>
            </w:pPr>
            <w:r w:rsidRPr="00854935">
              <w:rPr>
                <w:rFonts w:cs="Times New Roman"/>
                <w:szCs w:val="24"/>
              </w:rPr>
              <w:t>Bolívar</w:t>
            </w:r>
          </w:p>
        </w:tc>
        <w:tc>
          <w:tcPr>
            <w:tcW w:w="1905" w:type="dxa"/>
          </w:tcPr>
          <w:p w14:paraId="4214B604" w14:textId="77777777" w:rsidR="00715E8E" w:rsidRPr="00854935" w:rsidRDefault="00715E8E" w:rsidP="00715E8E">
            <w:pPr>
              <w:spacing w:line="360" w:lineRule="auto"/>
              <w:jc w:val="center"/>
              <w:rPr>
                <w:rFonts w:cs="Times New Roman"/>
                <w:szCs w:val="24"/>
              </w:rPr>
            </w:pPr>
            <w:r w:rsidRPr="00854935">
              <w:rPr>
                <w:rFonts w:cs="Times New Roman"/>
                <w:szCs w:val="24"/>
              </w:rPr>
              <w:t>1.16</w:t>
            </w:r>
          </w:p>
        </w:tc>
        <w:tc>
          <w:tcPr>
            <w:tcW w:w="1677" w:type="dxa"/>
          </w:tcPr>
          <w:p w14:paraId="2F977F9C" w14:textId="77777777" w:rsidR="00715E8E" w:rsidRPr="00854935" w:rsidRDefault="00715E8E" w:rsidP="00715E8E">
            <w:pPr>
              <w:spacing w:line="360" w:lineRule="auto"/>
              <w:jc w:val="center"/>
              <w:rPr>
                <w:rFonts w:cs="Times New Roman"/>
                <w:szCs w:val="24"/>
              </w:rPr>
            </w:pPr>
            <w:r w:rsidRPr="00854935">
              <w:rPr>
                <w:rFonts w:cs="Times New Roman"/>
                <w:szCs w:val="24"/>
              </w:rPr>
              <w:t>2.88</w:t>
            </w:r>
          </w:p>
        </w:tc>
        <w:tc>
          <w:tcPr>
            <w:tcW w:w="2285" w:type="dxa"/>
          </w:tcPr>
          <w:p w14:paraId="62075A70" w14:textId="77777777" w:rsidR="00715E8E" w:rsidRPr="00854935" w:rsidRDefault="00715E8E" w:rsidP="00715E8E">
            <w:pPr>
              <w:spacing w:line="360" w:lineRule="auto"/>
              <w:jc w:val="center"/>
              <w:rPr>
                <w:rFonts w:cs="Times New Roman"/>
                <w:szCs w:val="24"/>
              </w:rPr>
            </w:pPr>
            <w:r w:rsidRPr="00854935">
              <w:rPr>
                <w:rFonts w:cs="Times New Roman"/>
                <w:szCs w:val="24"/>
              </w:rPr>
              <w:t>2.76</w:t>
            </w:r>
          </w:p>
        </w:tc>
      </w:tr>
      <w:tr w:rsidR="00715E8E" w:rsidRPr="00854935" w14:paraId="7D41D3B4" w14:textId="77777777" w:rsidTr="009F4CC8">
        <w:trPr>
          <w:trHeight w:val="357"/>
        </w:trPr>
        <w:tc>
          <w:tcPr>
            <w:tcW w:w="2208" w:type="dxa"/>
          </w:tcPr>
          <w:p w14:paraId="681CBA36" w14:textId="77777777" w:rsidR="00715E8E" w:rsidRPr="00854935" w:rsidRDefault="00715E8E" w:rsidP="00715E8E">
            <w:pPr>
              <w:spacing w:line="360" w:lineRule="auto"/>
              <w:jc w:val="center"/>
              <w:rPr>
                <w:rFonts w:cs="Times New Roman"/>
                <w:szCs w:val="24"/>
              </w:rPr>
            </w:pPr>
            <w:r w:rsidRPr="00854935">
              <w:rPr>
                <w:rFonts w:cs="Times New Roman"/>
                <w:szCs w:val="24"/>
              </w:rPr>
              <w:t>Chimborazo</w:t>
            </w:r>
          </w:p>
        </w:tc>
        <w:tc>
          <w:tcPr>
            <w:tcW w:w="1905" w:type="dxa"/>
          </w:tcPr>
          <w:p w14:paraId="31208ED9" w14:textId="77777777" w:rsidR="00715E8E" w:rsidRPr="00854935" w:rsidRDefault="00715E8E" w:rsidP="00715E8E">
            <w:pPr>
              <w:spacing w:line="360" w:lineRule="auto"/>
              <w:jc w:val="center"/>
              <w:rPr>
                <w:rFonts w:cs="Times New Roman"/>
                <w:szCs w:val="24"/>
              </w:rPr>
            </w:pPr>
            <w:r w:rsidRPr="00854935">
              <w:rPr>
                <w:rFonts w:cs="Times New Roman"/>
                <w:szCs w:val="24"/>
              </w:rPr>
              <w:t>1.21</w:t>
            </w:r>
          </w:p>
        </w:tc>
        <w:tc>
          <w:tcPr>
            <w:tcW w:w="1677" w:type="dxa"/>
          </w:tcPr>
          <w:p w14:paraId="4914DD85" w14:textId="77777777" w:rsidR="00715E8E" w:rsidRPr="00854935" w:rsidRDefault="00715E8E" w:rsidP="00715E8E">
            <w:pPr>
              <w:spacing w:line="360" w:lineRule="auto"/>
              <w:jc w:val="center"/>
              <w:rPr>
                <w:rFonts w:cs="Times New Roman"/>
                <w:szCs w:val="24"/>
              </w:rPr>
            </w:pPr>
            <w:r w:rsidRPr="00854935">
              <w:rPr>
                <w:rFonts w:cs="Times New Roman"/>
                <w:szCs w:val="24"/>
              </w:rPr>
              <w:t>1.76</w:t>
            </w:r>
          </w:p>
        </w:tc>
        <w:tc>
          <w:tcPr>
            <w:tcW w:w="2285" w:type="dxa"/>
          </w:tcPr>
          <w:p w14:paraId="4083041E" w14:textId="77777777" w:rsidR="00715E8E" w:rsidRPr="00854935" w:rsidRDefault="00715E8E" w:rsidP="00715E8E">
            <w:pPr>
              <w:spacing w:line="360" w:lineRule="auto"/>
              <w:jc w:val="center"/>
              <w:rPr>
                <w:rFonts w:cs="Times New Roman"/>
                <w:szCs w:val="24"/>
              </w:rPr>
            </w:pPr>
            <w:r w:rsidRPr="00854935">
              <w:rPr>
                <w:rFonts w:cs="Times New Roman"/>
                <w:szCs w:val="24"/>
              </w:rPr>
              <w:t>2.21</w:t>
            </w:r>
          </w:p>
        </w:tc>
      </w:tr>
      <w:tr w:rsidR="00715E8E" w:rsidRPr="00854935" w14:paraId="1B89EA8E" w14:textId="77777777" w:rsidTr="009F4CC8">
        <w:trPr>
          <w:trHeight w:val="345"/>
        </w:trPr>
        <w:tc>
          <w:tcPr>
            <w:tcW w:w="2208" w:type="dxa"/>
          </w:tcPr>
          <w:p w14:paraId="6163944E" w14:textId="77777777" w:rsidR="00715E8E" w:rsidRPr="00854935" w:rsidRDefault="00715E8E" w:rsidP="00715E8E">
            <w:pPr>
              <w:spacing w:line="360" w:lineRule="auto"/>
              <w:jc w:val="center"/>
              <w:rPr>
                <w:rFonts w:cs="Times New Roman"/>
                <w:szCs w:val="24"/>
              </w:rPr>
            </w:pPr>
            <w:r w:rsidRPr="00854935">
              <w:rPr>
                <w:rFonts w:cs="Times New Roman"/>
                <w:szCs w:val="24"/>
              </w:rPr>
              <w:t>Promedio Nacional</w:t>
            </w:r>
          </w:p>
        </w:tc>
        <w:tc>
          <w:tcPr>
            <w:tcW w:w="1905" w:type="dxa"/>
          </w:tcPr>
          <w:p w14:paraId="443D4E2D" w14:textId="77777777" w:rsidR="00715E8E" w:rsidRPr="00854935" w:rsidRDefault="00715E8E" w:rsidP="00715E8E">
            <w:pPr>
              <w:spacing w:line="360" w:lineRule="auto"/>
              <w:jc w:val="center"/>
              <w:rPr>
                <w:rFonts w:cs="Times New Roman"/>
                <w:szCs w:val="24"/>
              </w:rPr>
            </w:pPr>
            <w:r w:rsidRPr="00854935">
              <w:rPr>
                <w:rFonts w:cs="Times New Roman"/>
                <w:szCs w:val="24"/>
              </w:rPr>
              <w:t>1.05</w:t>
            </w:r>
          </w:p>
        </w:tc>
        <w:tc>
          <w:tcPr>
            <w:tcW w:w="1677" w:type="dxa"/>
          </w:tcPr>
          <w:p w14:paraId="7EECE604" w14:textId="77777777" w:rsidR="00715E8E" w:rsidRPr="00854935" w:rsidRDefault="00715E8E" w:rsidP="00715E8E">
            <w:pPr>
              <w:spacing w:line="360" w:lineRule="auto"/>
              <w:jc w:val="center"/>
              <w:rPr>
                <w:rFonts w:cs="Times New Roman"/>
                <w:szCs w:val="24"/>
              </w:rPr>
            </w:pPr>
            <w:r w:rsidRPr="00854935">
              <w:rPr>
                <w:rFonts w:cs="Times New Roman"/>
                <w:szCs w:val="24"/>
              </w:rPr>
              <w:t>1.91</w:t>
            </w:r>
          </w:p>
        </w:tc>
        <w:tc>
          <w:tcPr>
            <w:tcW w:w="2285" w:type="dxa"/>
          </w:tcPr>
          <w:p w14:paraId="61412734" w14:textId="77777777" w:rsidR="00715E8E" w:rsidRPr="00854935" w:rsidRDefault="00715E8E" w:rsidP="00715E8E">
            <w:pPr>
              <w:spacing w:line="360" w:lineRule="auto"/>
              <w:jc w:val="center"/>
              <w:rPr>
                <w:rFonts w:cs="Times New Roman"/>
                <w:szCs w:val="24"/>
              </w:rPr>
            </w:pPr>
            <w:r w:rsidRPr="00854935">
              <w:rPr>
                <w:rFonts w:cs="Times New Roman"/>
                <w:szCs w:val="24"/>
              </w:rPr>
              <w:t>1.97</w:t>
            </w:r>
          </w:p>
        </w:tc>
      </w:tr>
    </w:tbl>
    <w:p w14:paraId="14F81C4F" w14:textId="065B0D9E" w:rsidR="00715E8E" w:rsidRPr="00F34FEE" w:rsidRDefault="00715E8E" w:rsidP="00715E8E">
      <w:pPr>
        <w:spacing w:after="0" w:line="360" w:lineRule="auto"/>
        <w:rPr>
          <w:rFonts w:cs="Times New Roman"/>
          <w:sz w:val="20"/>
          <w:szCs w:val="20"/>
        </w:rPr>
      </w:pPr>
      <w:r w:rsidRPr="00F34FEE">
        <w:rPr>
          <w:rFonts w:cs="Times New Roman"/>
          <w:b/>
          <w:sz w:val="20"/>
          <w:szCs w:val="20"/>
        </w:rPr>
        <w:t>Fuente:</w:t>
      </w:r>
      <w:r w:rsidRPr="00F34FEE">
        <w:rPr>
          <w:rFonts w:cs="Times New Roman"/>
          <w:sz w:val="20"/>
          <w:szCs w:val="20"/>
        </w:rPr>
        <w:t xml:space="preserve"> </w:t>
      </w:r>
      <w:sdt>
        <w:sdtPr>
          <w:rPr>
            <w:rFonts w:cs="Times New Roman"/>
            <w:sz w:val="20"/>
            <w:szCs w:val="20"/>
          </w:rPr>
          <w:id w:val="-2023628694"/>
          <w:citation/>
        </w:sdtPr>
        <w:sdtEndPr/>
        <w:sdtContent>
          <w:r w:rsidRPr="00F34FEE">
            <w:rPr>
              <w:rFonts w:cs="Times New Roman"/>
              <w:sz w:val="20"/>
              <w:szCs w:val="20"/>
            </w:rPr>
            <w:fldChar w:fldCharType="begin"/>
          </w:r>
          <w:r w:rsidRPr="00F34FEE">
            <w:rPr>
              <w:rFonts w:cs="Times New Roman"/>
              <w:sz w:val="20"/>
              <w:szCs w:val="20"/>
              <w:lang w:val="es-MX"/>
            </w:rPr>
            <w:instrText xml:space="preserve">CITATION MAG17 \l 2058 </w:instrText>
          </w:r>
          <w:r w:rsidRPr="00F34FEE">
            <w:rPr>
              <w:rFonts w:cs="Times New Roman"/>
              <w:sz w:val="20"/>
              <w:szCs w:val="20"/>
            </w:rPr>
            <w:fldChar w:fldCharType="separate"/>
          </w:r>
          <w:r w:rsidR="005106B9" w:rsidRPr="005106B9">
            <w:rPr>
              <w:rFonts w:cs="Times New Roman"/>
              <w:noProof/>
              <w:sz w:val="20"/>
              <w:szCs w:val="20"/>
              <w:lang w:val="es-MX"/>
            </w:rPr>
            <w:t>(MAG, 2013-2014-2017)</w:t>
          </w:r>
          <w:r w:rsidRPr="00F34FEE">
            <w:rPr>
              <w:rFonts w:cs="Times New Roman"/>
              <w:sz w:val="20"/>
              <w:szCs w:val="20"/>
            </w:rPr>
            <w:fldChar w:fldCharType="end"/>
          </w:r>
        </w:sdtContent>
      </w:sdt>
    </w:p>
    <w:p w14:paraId="0D62CA8F" w14:textId="392584F6" w:rsidR="00715E8E" w:rsidRDefault="00CC712A" w:rsidP="009F4CC8">
      <w:pPr>
        <w:spacing w:before="360" w:after="360" w:line="360" w:lineRule="auto"/>
        <w:rPr>
          <w:rFonts w:cs="Times New Roman"/>
          <w:szCs w:val="24"/>
        </w:rPr>
      </w:pPr>
      <w:r>
        <w:rPr>
          <w:rFonts w:cs="Times New Roman"/>
          <w:szCs w:val="24"/>
        </w:rPr>
        <w:t>E</w:t>
      </w:r>
      <w:r w:rsidR="002111F0" w:rsidRPr="00854935">
        <w:rPr>
          <w:rFonts w:cs="Times New Roman"/>
          <w:szCs w:val="24"/>
        </w:rPr>
        <w:t>l</w:t>
      </w:r>
      <w:sdt>
        <w:sdtPr>
          <w:rPr>
            <w:rFonts w:cs="Times New Roman"/>
            <w:szCs w:val="24"/>
          </w:rPr>
          <w:id w:val="-1585293806"/>
          <w:citation/>
        </w:sdtPr>
        <w:sdtEndPr/>
        <w:sdtContent>
          <w:r w:rsidR="00715E8E">
            <w:rPr>
              <w:rFonts w:cs="Times New Roman"/>
              <w:szCs w:val="24"/>
            </w:rPr>
            <w:fldChar w:fldCharType="begin"/>
          </w:r>
          <w:r w:rsidR="00715E8E">
            <w:rPr>
              <w:rFonts w:cs="Times New Roman"/>
              <w:szCs w:val="24"/>
              <w:lang w:val="es-MX"/>
            </w:rPr>
            <w:instrText xml:space="preserve">CITATION INI19 \l 2058 </w:instrText>
          </w:r>
          <w:r w:rsidR="00715E8E">
            <w:rPr>
              <w:rFonts w:cs="Times New Roman"/>
              <w:szCs w:val="24"/>
            </w:rPr>
            <w:fldChar w:fldCharType="separate"/>
          </w:r>
          <w:r w:rsidR="005106B9">
            <w:rPr>
              <w:rFonts w:cs="Times New Roman"/>
              <w:noProof/>
              <w:szCs w:val="24"/>
              <w:lang w:val="es-MX"/>
            </w:rPr>
            <w:t xml:space="preserve"> </w:t>
          </w:r>
          <w:r w:rsidR="005106B9" w:rsidRPr="005106B9">
            <w:rPr>
              <w:rFonts w:cs="Times New Roman"/>
              <w:noProof/>
              <w:szCs w:val="24"/>
              <w:lang w:val="es-MX"/>
            </w:rPr>
            <w:t>(INIAP, 2019)</w:t>
          </w:r>
          <w:r w:rsidR="00715E8E">
            <w:rPr>
              <w:rFonts w:cs="Times New Roman"/>
              <w:szCs w:val="24"/>
            </w:rPr>
            <w:fldChar w:fldCharType="end"/>
          </w:r>
        </w:sdtContent>
      </w:sdt>
      <w:r w:rsidR="00715E8E">
        <w:rPr>
          <w:rFonts w:cs="Times New Roman"/>
          <w:szCs w:val="24"/>
        </w:rPr>
        <w:t xml:space="preserve"> ha publicado </w:t>
      </w:r>
      <w:r w:rsidR="00715E8E" w:rsidRPr="00854935">
        <w:rPr>
          <w:rFonts w:cs="Times New Roman"/>
          <w:szCs w:val="24"/>
        </w:rPr>
        <w:t xml:space="preserve">el rendimiento esperado en las diversas variedades experimentales de maíz suave en la Sierra en diferentes </w:t>
      </w:r>
      <w:r w:rsidR="00715E8E" w:rsidRPr="00AF1CEF">
        <w:rPr>
          <w:rFonts w:cs="Times New Roman"/>
          <w:szCs w:val="24"/>
        </w:rPr>
        <w:t>loca</w:t>
      </w:r>
      <w:r w:rsidR="00AF1CEF" w:rsidRPr="00AF1CEF">
        <w:rPr>
          <w:rFonts w:cs="Times New Roman"/>
          <w:szCs w:val="24"/>
        </w:rPr>
        <w:t>lidades</w:t>
      </w:r>
      <w:r w:rsidR="00715E8E" w:rsidRPr="00AF1CEF">
        <w:rPr>
          <w:rFonts w:cs="Times New Roman"/>
          <w:szCs w:val="24"/>
        </w:rPr>
        <w:t>:</w:t>
      </w:r>
    </w:p>
    <w:p w14:paraId="5822E4F4" w14:textId="03E8BFC3" w:rsidR="002D15CE" w:rsidRDefault="002D15CE" w:rsidP="00F06D1D">
      <w:pPr>
        <w:pStyle w:val="Descripcin"/>
        <w:keepNext/>
        <w:spacing w:before="360"/>
      </w:pPr>
      <w:bookmarkStart w:id="2285" w:name="_Toc79314177"/>
      <w:r w:rsidRPr="002D15CE">
        <w:rPr>
          <w:rFonts w:cs="Times New Roman"/>
          <w:b/>
          <w:i w:val="0"/>
          <w:iCs w:val="0"/>
          <w:color w:val="auto"/>
          <w:sz w:val="24"/>
          <w:szCs w:val="24"/>
          <w:lang w:eastAsia="en-US"/>
        </w:rPr>
        <w:lastRenderedPageBreak/>
        <w:t xml:space="preserve">Cuadro </w:t>
      </w:r>
      <w:r w:rsidRPr="002D15CE">
        <w:rPr>
          <w:rFonts w:cs="Times New Roman"/>
          <w:b/>
          <w:i w:val="0"/>
          <w:iCs w:val="0"/>
          <w:color w:val="auto"/>
          <w:sz w:val="24"/>
          <w:szCs w:val="24"/>
          <w:lang w:eastAsia="en-US"/>
        </w:rPr>
        <w:fldChar w:fldCharType="begin"/>
      </w:r>
      <w:r w:rsidRPr="002D15CE">
        <w:rPr>
          <w:rFonts w:cs="Times New Roman"/>
          <w:b/>
          <w:i w:val="0"/>
          <w:iCs w:val="0"/>
          <w:color w:val="auto"/>
          <w:sz w:val="24"/>
          <w:szCs w:val="24"/>
          <w:lang w:eastAsia="en-US"/>
        </w:rPr>
        <w:instrText xml:space="preserve"> SEQ Cuadro \* ARABIC </w:instrText>
      </w:r>
      <w:r w:rsidRPr="002D15CE">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184</w:t>
      </w:r>
      <w:r w:rsidRPr="002D15CE">
        <w:rPr>
          <w:rFonts w:cs="Times New Roman"/>
          <w:b/>
          <w:i w:val="0"/>
          <w:iCs w:val="0"/>
          <w:color w:val="auto"/>
          <w:sz w:val="24"/>
          <w:szCs w:val="24"/>
          <w:lang w:eastAsia="en-US"/>
        </w:rPr>
        <w:fldChar w:fldCharType="end"/>
      </w:r>
      <w:r w:rsidRPr="002D15CE">
        <w:rPr>
          <w:rFonts w:cs="Times New Roman"/>
          <w:b/>
          <w:i w:val="0"/>
          <w:iCs w:val="0"/>
          <w:color w:val="auto"/>
          <w:sz w:val="24"/>
          <w:szCs w:val="24"/>
          <w:lang w:eastAsia="en-US"/>
        </w:rPr>
        <w:t>.</w:t>
      </w:r>
      <w:r w:rsidRPr="002D15CE">
        <w:rPr>
          <w:rFonts w:cs="Times New Roman"/>
          <w:i w:val="0"/>
          <w:iCs w:val="0"/>
          <w:color w:val="auto"/>
          <w:sz w:val="24"/>
          <w:szCs w:val="24"/>
          <w:lang w:eastAsia="en-US"/>
        </w:rPr>
        <w:t xml:space="preserve"> Rendimiento de maíz suave en grano seco de variedades mejoradas por el INIAP.</w:t>
      </w:r>
      <w:bookmarkEnd w:id="2285"/>
    </w:p>
    <w:tbl>
      <w:tblPr>
        <w:tblStyle w:val="Tablaconcuadrcula"/>
        <w:tblW w:w="7654" w:type="dxa"/>
        <w:tblInd w:w="421" w:type="dxa"/>
        <w:tblLook w:val="04A0" w:firstRow="1" w:lastRow="0" w:firstColumn="1" w:lastColumn="0" w:noHBand="0" w:noVBand="1"/>
      </w:tblPr>
      <w:tblGrid>
        <w:gridCol w:w="2482"/>
        <w:gridCol w:w="2560"/>
        <w:gridCol w:w="2612"/>
      </w:tblGrid>
      <w:tr w:rsidR="00715E8E" w:rsidRPr="00854935" w14:paraId="6BC4BF4A" w14:textId="77777777" w:rsidTr="00F06D1D">
        <w:trPr>
          <w:trHeight w:val="374"/>
        </w:trPr>
        <w:tc>
          <w:tcPr>
            <w:tcW w:w="2482" w:type="dxa"/>
            <w:vAlign w:val="center"/>
          </w:tcPr>
          <w:p w14:paraId="30385178" w14:textId="77777777" w:rsidR="00715E8E" w:rsidRPr="009F4CC8" w:rsidRDefault="00715E8E" w:rsidP="009F4CC8">
            <w:pPr>
              <w:jc w:val="center"/>
              <w:rPr>
                <w:rFonts w:cs="Times New Roman"/>
                <w:b/>
                <w:bCs/>
                <w:szCs w:val="24"/>
              </w:rPr>
            </w:pPr>
            <w:r w:rsidRPr="009F4CC8">
              <w:rPr>
                <w:rFonts w:cs="Times New Roman"/>
                <w:b/>
                <w:bCs/>
                <w:szCs w:val="24"/>
              </w:rPr>
              <w:t>VARIEDAD</w:t>
            </w:r>
          </w:p>
        </w:tc>
        <w:tc>
          <w:tcPr>
            <w:tcW w:w="2560" w:type="dxa"/>
            <w:vAlign w:val="center"/>
          </w:tcPr>
          <w:p w14:paraId="7B9A29A1" w14:textId="5FC4EEB9" w:rsidR="00715E8E" w:rsidRPr="009F4CC8" w:rsidRDefault="00AF1CEF" w:rsidP="009F4CC8">
            <w:pPr>
              <w:jc w:val="center"/>
              <w:rPr>
                <w:rFonts w:cs="Times New Roman"/>
                <w:b/>
                <w:bCs/>
                <w:szCs w:val="24"/>
              </w:rPr>
            </w:pPr>
            <w:r>
              <w:rPr>
                <w:rFonts w:cs="Times New Roman"/>
                <w:b/>
                <w:bCs/>
                <w:szCs w:val="24"/>
              </w:rPr>
              <w:t>LOCALIDADES</w:t>
            </w:r>
            <w:r w:rsidR="00715E8E" w:rsidRPr="009F4CC8">
              <w:rPr>
                <w:rFonts w:cs="Times New Roman"/>
                <w:b/>
                <w:bCs/>
                <w:szCs w:val="24"/>
              </w:rPr>
              <w:t xml:space="preserve"> SIERRA</w:t>
            </w:r>
          </w:p>
        </w:tc>
        <w:tc>
          <w:tcPr>
            <w:tcW w:w="2612" w:type="dxa"/>
            <w:vAlign w:val="center"/>
          </w:tcPr>
          <w:p w14:paraId="643BF8CD" w14:textId="77777777" w:rsidR="00715E8E" w:rsidRPr="009F4CC8" w:rsidRDefault="00715E8E" w:rsidP="009F4CC8">
            <w:pPr>
              <w:jc w:val="center"/>
              <w:rPr>
                <w:rFonts w:cs="Times New Roman"/>
                <w:b/>
                <w:bCs/>
                <w:szCs w:val="24"/>
              </w:rPr>
            </w:pPr>
            <w:r w:rsidRPr="009F4CC8">
              <w:rPr>
                <w:rFonts w:cs="Times New Roman"/>
                <w:b/>
                <w:bCs/>
                <w:szCs w:val="24"/>
              </w:rPr>
              <w:t>RENDIMIENTO (t ha</w:t>
            </w:r>
            <w:r w:rsidRPr="009F4CC8">
              <w:rPr>
                <w:rFonts w:cs="Times New Roman"/>
                <w:b/>
                <w:bCs/>
                <w:szCs w:val="24"/>
                <w:vertAlign w:val="superscript"/>
              </w:rPr>
              <w:t>-1</w:t>
            </w:r>
            <w:r w:rsidRPr="009F4CC8">
              <w:rPr>
                <w:rFonts w:cs="Times New Roman"/>
                <w:b/>
                <w:bCs/>
                <w:szCs w:val="24"/>
              </w:rPr>
              <w:t>)</w:t>
            </w:r>
          </w:p>
        </w:tc>
      </w:tr>
      <w:tr w:rsidR="00715E8E" w:rsidRPr="00854935" w14:paraId="4AE4CCFB" w14:textId="77777777" w:rsidTr="00F06D1D">
        <w:trPr>
          <w:trHeight w:val="723"/>
        </w:trPr>
        <w:tc>
          <w:tcPr>
            <w:tcW w:w="2482" w:type="dxa"/>
            <w:vAlign w:val="center"/>
          </w:tcPr>
          <w:p w14:paraId="75EB6C85" w14:textId="77777777" w:rsidR="00715E8E" w:rsidRPr="00854935" w:rsidRDefault="00715E8E" w:rsidP="009F4CC8">
            <w:pPr>
              <w:jc w:val="center"/>
              <w:rPr>
                <w:rFonts w:cs="Times New Roman"/>
                <w:szCs w:val="24"/>
              </w:rPr>
            </w:pPr>
            <w:r w:rsidRPr="00854935">
              <w:rPr>
                <w:rFonts w:cs="Times New Roman"/>
                <w:szCs w:val="24"/>
              </w:rPr>
              <w:t>INIAP-122 Chaucho mejorado</w:t>
            </w:r>
          </w:p>
        </w:tc>
        <w:tc>
          <w:tcPr>
            <w:tcW w:w="2560" w:type="dxa"/>
            <w:vAlign w:val="center"/>
          </w:tcPr>
          <w:p w14:paraId="63AF2738" w14:textId="77777777" w:rsidR="00715E8E" w:rsidRPr="00854935" w:rsidRDefault="00715E8E" w:rsidP="009F4CC8">
            <w:pPr>
              <w:jc w:val="center"/>
              <w:rPr>
                <w:rFonts w:cs="Times New Roman"/>
                <w:szCs w:val="24"/>
              </w:rPr>
            </w:pPr>
            <w:r w:rsidRPr="00854935">
              <w:rPr>
                <w:rFonts w:cs="Times New Roman"/>
                <w:szCs w:val="24"/>
              </w:rPr>
              <w:t>Provincia Imbabura</w:t>
            </w:r>
          </w:p>
        </w:tc>
        <w:tc>
          <w:tcPr>
            <w:tcW w:w="2612" w:type="dxa"/>
            <w:vAlign w:val="center"/>
          </w:tcPr>
          <w:p w14:paraId="518087C1" w14:textId="77777777" w:rsidR="00715E8E" w:rsidRPr="00854935" w:rsidRDefault="00715E8E" w:rsidP="009F4CC8">
            <w:pPr>
              <w:jc w:val="center"/>
              <w:rPr>
                <w:rFonts w:cs="Times New Roman"/>
                <w:szCs w:val="24"/>
              </w:rPr>
            </w:pPr>
            <w:r w:rsidRPr="00854935">
              <w:rPr>
                <w:rFonts w:cs="Times New Roman"/>
                <w:szCs w:val="24"/>
              </w:rPr>
              <w:t>3,8</w:t>
            </w:r>
          </w:p>
        </w:tc>
      </w:tr>
      <w:tr w:rsidR="00715E8E" w:rsidRPr="00854935" w14:paraId="6E687B57" w14:textId="77777777" w:rsidTr="00F06D1D">
        <w:trPr>
          <w:trHeight w:val="736"/>
        </w:trPr>
        <w:tc>
          <w:tcPr>
            <w:tcW w:w="2482" w:type="dxa"/>
            <w:vAlign w:val="center"/>
          </w:tcPr>
          <w:p w14:paraId="4698992B" w14:textId="77777777" w:rsidR="00715E8E" w:rsidRPr="00854935" w:rsidRDefault="00715E8E" w:rsidP="009F4CC8">
            <w:pPr>
              <w:jc w:val="center"/>
              <w:rPr>
                <w:rFonts w:cs="Times New Roman"/>
                <w:szCs w:val="24"/>
              </w:rPr>
            </w:pPr>
            <w:r w:rsidRPr="00854935">
              <w:rPr>
                <w:rFonts w:cs="Times New Roman"/>
                <w:szCs w:val="24"/>
              </w:rPr>
              <w:t>INIAP-101 Choclo blanco harinoso</w:t>
            </w:r>
          </w:p>
        </w:tc>
        <w:tc>
          <w:tcPr>
            <w:tcW w:w="2560" w:type="dxa"/>
            <w:vAlign w:val="center"/>
          </w:tcPr>
          <w:p w14:paraId="6738D43F" w14:textId="77777777" w:rsidR="00715E8E" w:rsidRPr="00854935" w:rsidRDefault="00715E8E" w:rsidP="009F4CC8">
            <w:pPr>
              <w:jc w:val="center"/>
              <w:rPr>
                <w:rFonts w:cs="Times New Roman"/>
                <w:szCs w:val="24"/>
              </w:rPr>
            </w:pPr>
            <w:r w:rsidRPr="00854935">
              <w:rPr>
                <w:rFonts w:cs="Times New Roman"/>
                <w:szCs w:val="24"/>
              </w:rPr>
              <w:t>Clima templado</w:t>
            </w:r>
          </w:p>
        </w:tc>
        <w:tc>
          <w:tcPr>
            <w:tcW w:w="2612" w:type="dxa"/>
            <w:vAlign w:val="center"/>
          </w:tcPr>
          <w:p w14:paraId="0A33559F" w14:textId="77777777" w:rsidR="00715E8E" w:rsidRPr="00854935" w:rsidRDefault="00715E8E" w:rsidP="009F4CC8">
            <w:pPr>
              <w:jc w:val="center"/>
              <w:rPr>
                <w:rFonts w:cs="Times New Roman"/>
                <w:szCs w:val="24"/>
              </w:rPr>
            </w:pPr>
            <w:r w:rsidRPr="00854935">
              <w:rPr>
                <w:rFonts w:cs="Times New Roman"/>
                <w:szCs w:val="24"/>
              </w:rPr>
              <w:t>3,5</w:t>
            </w:r>
          </w:p>
        </w:tc>
      </w:tr>
      <w:tr w:rsidR="00715E8E" w:rsidRPr="00854935" w14:paraId="2C1EE47C" w14:textId="77777777" w:rsidTr="00F06D1D">
        <w:trPr>
          <w:trHeight w:val="374"/>
        </w:trPr>
        <w:tc>
          <w:tcPr>
            <w:tcW w:w="2482" w:type="dxa"/>
            <w:vAlign w:val="center"/>
          </w:tcPr>
          <w:p w14:paraId="3950BCDB" w14:textId="77777777" w:rsidR="00715E8E" w:rsidRPr="00854935" w:rsidRDefault="00715E8E" w:rsidP="009F4CC8">
            <w:pPr>
              <w:jc w:val="center"/>
              <w:rPr>
                <w:rFonts w:cs="Times New Roman"/>
                <w:szCs w:val="24"/>
              </w:rPr>
            </w:pPr>
            <w:r w:rsidRPr="00854935">
              <w:rPr>
                <w:rFonts w:cs="Times New Roman"/>
                <w:szCs w:val="24"/>
              </w:rPr>
              <w:t>INIAP-130-131 Chillos mejorado</w:t>
            </w:r>
          </w:p>
        </w:tc>
        <w:tc>
          <w:tcPr>
            <w:tcW w:w="2560" w:type="dxa"/>
            <w:vAlign w:val="center"/>
          </w:tcPr>
          <w:p w14:paraId="6969E7F6" w14:textId="77777777" w:rsidR="00715E8E" w:rsidRPr="00854935" w:rsidRDefault="00715E8E" w:rsidP="009F4CC8">
            <w:pPr>
              <w:jc w:val="center"/>
              <w:rPr>
                <w:rFonts w:cs="Times New Roman"/>
                <w:szCs w:val="24"/>
              </w:rPr>
            </w:pPr>
            <w:r w:rsidRPr="00854935">
              <w:rPr>
                <w:rFonts w:cs="Times New Roman"/>
                <w:szCs w:val="24"/>
              </w:rPr>
              <w:t>Valle de los Chillos (Pichincha)</w:t>
            </w:r>
          </w:p>
        </w:tc>
        <w:tc>
          <w:tcPr>
            <w:tcW w:w="2612" w:type="dxa"/>
            <w:vAlign w:val="center"/>
          </w:tcPr>
          <w:p w14:paraId="1EF4B05F" w14:textId="77777777" w:rsidR="00715E8E" w:rsidRPr="00854935" w:rsidRDefault="00715E8E" w:rsidP="009F4CC8">
            <w:pPr>
              <w:jc w:val="center"/>
              <w:rPr>
                <w:rFonts w:cs="Times New Roman"/>
                <w:szCs w:val="24"/>
              </w:rPr>
            </w:pPr>
            <w:r w:rsidRPr="00854935">
              <w:rPr>
                <w:rFonts w:cs="Times New Roman"/>
                <w:szCs w:val="24"/>
              </w:rPr>
              <w:t>4,1</w:t>
            </w:r>
          </w:p>
        </w:tc>
      </w:tr>
      <w:tr w:rsidR="00715E8E" w:rsidRPr="00854935" w14:paraId="557A7163" w14:textId="77777777" w:rsidTr="00F06D1D">
        <w:trPr>
          <w:trHeight w:val="129"/>
        </w:trPr>
        <w:tc>
          <w:tcPr>
            <w:tcW w:w="2482" w:type="dxa"/>
            <w:vAlign w:val="center"/>
          </w:tcPr>
          <w:p w14:paraId="383036D3" w14:textId="77777777" w:rsidR="00715E8E" w:rsidRPr="00854935" w:rsidRDefault="00715E8E" w:rsidP="009F4CC8">
            <w:pPr>
              <w:jc w:val="center"/>
              <w:rPr>
                <w:rFonts w:cs="Times New Roman"/>
                <w:szCs w:val="24"/>
              </w:rPr>
            </w:pPr>
            <w:r w:rsidRPr="00854935">
              <w:rPr>
                <w:rFonts w:cs="Times New Roman"/>
                <w:szCs w:val="24"/>
              </w:rPr>
              <w:t>INIAP-153 Zhima mejorado</w:t>
            </w:r>
          </w:p>
        </w:tc>
        <w:tc>
          <w:tcPr>
            <w:tcW w:w="2560" w:type="dxa"/>
            <w:vAlign w:val="center"/>
          </w:tcPr>
          <w:p w14:paraId="2CB404F6" w14:textId="77777777" w:rsidR="00715E8E" w:rsidRPr="00854935" w:rsidRDefault="00715E8E" w:rsidP="009F4CC8">
            <w:pPr>
              <w:jc w:val="center"/>
              <w:rPr>
                <w:rFonts w:cs="Times New Roman"/>
                <w:szCs w:val="24"/>
              </w:rPr>
            </w:pPr>
            <w:r w:rsidRPr="00854935">
              <w:rPr>
                <w:rFonts w:cs="Times New Roman"/>
                <w:szCs w:val="24"/>
              </w:rPr>
              <w:t>Provincias de Cañar y Azuay</w:t>
            </w:r>
          </w:p>
        </w:tc>
        <w:tc>
          <w:tcPr>
            <w:tcW w:w="2612" w:type="dxa"/>
            <w:vAlign w:val="center"/>
          </w:tcPr>
          <w:p w14:paraId="112F0FB6" w14:textId="77777777" w:rsidR="00715E8E" w:rsidRPr="00854935" w:rsidRDefault="00715E8E" w:rsidP="009F4CC8">
            <w:pPr>
              <w:jc w:val="center"/>
              <w:rPr>
                <w:rFonts w:cs="Times New Roman"/>
                <w:szCs w:val="24"/>
              </w:rPr>
            </w:pPr>
            <w:r w:rsidRPr="00854935">
              <w:rPr>
                <w:rFonts w:cs="Times New Roman"/>
                <w:szCs w:val="24"/>
              </w:rPr>
              <w:t>3,5</w:t>
            </w:r>
          </w:p>
        </w:tc>
      </w:tr>
      <w:tr w:rsidR="00715E8E" w:rsidRPr="00854935" w14:paraId="722DF668" w14:textId="77777777" w:rsidTr="00F06D1D">
        <w:trPr>
          <w:trHeight w:val="129"/>
        </w:trPr>
        <w:tc>
          <w:tcPr>
            <w:tcW w:w="2482" w:type="dxa"/>
            <w:vAlign w:val="center"/>
          </w:tcPr>
          <w:p w14:paraId="555CCC9D" w14:textId="77777777" w:rsidR="00715E8E" w:rsidRPr="00854935" w:rsidRDefault="00715E8E" w:rsidP="009F4CC8">
            <w:pPr>
              <w:jc w:val="center"/>
              <w:rPr>
                <w:rFonts w:cs="Times New Roman"/>
                <w:szCs w:val="24"/>
              </w:rPr>
            </w:pPr>
            <w:r w:rsidRPr="00854935">
              <w:rPr>
                <w:rFonts w:cs="Times New Roman"/>
                <w:szCs w:val="24"/>
              </w:rPr>
              <w:t>Promedio Variedades Experimentales</w:t>
            </w:r>
          </w:p>
        </w:tc>
        <w:tc>
          <w:tcPr>
            <w:tcW w:w="2560" w:type="dxa"/>
            <w:vAlign w:val="center"/>
          </w:tcPr>
          <w:p w14:paraId="64228138" w14:textId="77777777" w:rsidR="00715E8E" w:rsidRPr="00854935" w:rsidRDefault="00715E8E" w:rsidP="009F4CC8">
            <w:pPr>
              <w:jc w:val="center"/>
              <w:rPr>
                <w:rFonts w:cs="Times New Roman"/>
                <w:szCs w:val="24"/>
              </w:rPr>
            </w:pPr>
          </w:p>
        </w:tc>
        <w:tc>
          <w:tcPr>
            <w:tcW w:w="2612" w:type="dxa"/>
            <w:vAlign w:val="center"/>
          </w:tcPr>
          <w:p w14:paraId="1AC4278C" w14:textId="77777777" w:rsidR="00715E8E" w:rsidRPr="00854935" w:rsidRDefault="00715E8E" w:rsidP="009F4CC8">
            <w:pPr>
              <w:jc w:val="center"/>
              <w:rPr>
                <w:rFonts w:cs="Times New Roman"/>
                <w:szCs w:val="24"/>
              </w:rPr>
            </w:pPr>
            <w:r w:rsidRPr="00854935">
              <w:rPr>
                <w:rFonts w:cs="Times New Roman"/>
                <w:szCs w:val="24"/>
              </w:rPr>
              <w:t>3.98</w:t>
            </w:r>
          </w:p>
        </w:tc>
      </w:tr>
    </w:tbl>
    <w:p w14:paraId="6852D7BC" w14:textId="4668E6F5" w:rsidR="00715E8E" w:rsidRPr="00F34FEE" w:rsidRDefault="002D15CE" w:rsidP="002D15CE">
      <w:pPr>
        <w:spacing w:after="0" w:line="360" w:lineRule="auto"/>
        <w:rPr>
          <w:rFonts w:cs="Times New Roman"/>
          <w:sz w:val="20"/>
          <w:szCs w:val="20"/>
        </w:rPr>
      </w:pPr>
      <w:r>
        <w:rPr>
          <w:rFonts w:cs="Times New Roman"/>
          <w:sz w:val="16"/>
          <w:szCs w:val="16"/>
        </w:rPr>
        <w:t xml:space="preserve">          </w:t>
      </w:r>
      <w:r w:rsidR="00715E8E" w:rsidRPr="00F34FEE">
        <w:rPr>
          <w:rFonts w:cs="Times New Roman"/>
          <w:b/>
          <w:sz w:val="20"/>
          <w:szCs w:val="20"/>
        </w:rPr>
        <w:t xml:space="preserve">Fuente: </w:t>
      </w:r>
      <w:sdt>
        <w:sdtPr>
          <w:rPr>
            <w:rFonts w:cs="Times New Roman"/>
            <w:sz w:val="20"/>
            <w:szCs w:val="20"/>
          </w:rPr>
          <w:id w:val="1142081485"/>
          <w:citation/>
        </w:sdtPr>
        <w:sdtEndPr/>
        <w:sdtContent>
          <w:r w:rsidR="00715E8E" w:rsidRPr="00F34FEE">
            <w:rPr>
              <w:rFonts w:cs="Times New Roman"/>
              <w:sz w:val="20"/>
              <w:szCs w:val="20"/>
            </w:rPr>
            <w:fldChar w:fldCharType="begin"/>
          </w:r>
          <w:r w:rsidR="00715E8E" w:rsidRPr="00F34FEE">
            <w:rPr>
              <w:rFonts w:cs="Times New Roman"/>
              <w:sz w:val="20"/>
              <w:szCs w:val="20"/>
              <w:lang w:val="es-MX"/>
            </w:rPr>
            <w:instrText xml:space="preserve">CITATION INI19 \l 2058 </w:instrText>
          </w:r>
          <w:r w:rsidR="00715E8E" w:rsidRPr="00F34FEE">
            <w:rPr>
              <w:rFonts w:cs="Times New Roman"/>
              <w:sz w:val="20"/>
              <w:szCs w:val="20"/>
            </w:rPr>
            <w:fldChar w:fldCharType="separate"/>
          </w:r>
          <w:r w:rsidR="005106B9" w:rsidRPr="005106B9">
            <w:rPr>
              <w:rFonts w:cs="Times New Roman"/>
              <w:noProof/>
              <w:sz w:val="20"/>
              <w:szCs w:val="20"/>
              <w:lang w:val="es-MX"/>
            </w:rPr>
            <w:t>(INIAP, 2019)</w:t>
          </w:r>
          <w:r w:rsidR="00715E8E" w:rsidRPr="00F34FEE">
            <w:rPr>
              <w:rFonts w:cs="Times New Roman"/>
              <w:sz w:val="20"/>
              <w:szCs w:val="20"/>
            </w:rPr>
            <w:fldChar w:fldCharType="end"/>
          </w:r>
        </w:sdtContent>
      </w:sdt>
    </w:p>
    <w:p w14:paraId="4D2B2D20" w14:textId="758FCFC7" w:rsidR="00715E8E" w:rsidRDefault="00715E8E" w:rsidP="009F4CC8">
      <w:pPr>
        <w:spacing w:before="360" w:after="360" w:line="360" w:lineRule="auto"/>
        <w:rPr>
          <w:rStyle w:val="Hipervnculo"/>
          <w:rFonts w:cs="Times New Roman"/>
          <w:szCs w:val="24"/>
        </w:rPr>
      </w:pPr>
      <w:r w:rsidRPr="008F3940">
        <w:rPr>
          <w:rStyle w:val="Hipervnculo"/>
          <w:rFonts w:cs="Times New Roman"/>
          <w:color w:val="000000" w:themeColor="text1"/>
          <w:szCs w:val="24"/>
          <w:u w:val="none"/>
        </w:rPr>
        <w:t xml:space="preserve">Comparando las variedades experimentales, presentadas por él  </w:t>
      </w:r>
      <w:sdt>
        <w:sdtPr>
          <w:rPr>
            <w:rFonts w:cs="Times New Roman"/>
            <w:color w:val="000000" w:themeColor="text1"/>
            <w:szCs w:val="24"/>
          </w:rPr>
          <w:id w:val="1857312732"/>
          <w:citation/>
        </w:sdtPr>
        <w:sdtEndPr/>
        <w:sdtContent>
          <w:r w:rsidRPr="008F3940">
            <w:rPr>
              <w:rFonts w:cs="Times New Roman"/>
              <w:color w:val="000000" w:themeColor="text1"/>
              <w:szCs w:val="24"/>
            </w:rPr>
            <w:fldChar w:fldCharType="begin"/>
          </w:r>
          <w:r w:rsidRPr="008F3940">
            <w:rPr>
              <w:rFonts w:cs="Times New Roman"/>
              <w:color w:val="000000" w:themeColor="text1"/>
              <w:szCs w:val="24"/>
              <w:lang w:val="es-MX"/>
            </w:rPr>
            <w:instrText xml:space="preserve">CITATION INI19 \l 2058 </w:instrText>
          </w:r>
          <w:r w:rsidRPr="008F3940">
            <w:rPr>
              <w:rFonts w:cs="Times New Roman"/>
              <w:color w:val="000000" w:themeColor="text1"/>
              <w:szCs w:val="24"/>
            </w:rPr>
            <w:fldChar w:fldCharType="separate"/>
          </w:r>
          <w:r w:rsidR="005106B9" w:rsidRPr="005106B9">
            <w:rPr>
              <w:rFonts w:cs="Times New Roman"/>
              <w:noProof/>
              <w:color w:val="000000" w:themeColor="text1"/>
              <w:szCs w:val="24"/>
              <w:lang w:val="es-MX"/>
            </w:rPr>
            <w:t>(INIAP, 2019)</w:t>
          </w:r>
          <w:r w:rsidRPr="008F3940">
            <w:rPr>
              <w:rFonts w:cs="Times New Roman"/>
              <w:color w:val="000000" w:themeColor="text1"/>
              <w:szCs w:val="24"/>
            </w:rPr>
            <w:fldChar w:fldCharType="end"/>
          </w:r>
        </w:sdtContent>
      </w:sdt>
      <w:r w:rsidRPr="008F3940">
        <w:rPr>
          <w:rStyle w:val="Hipervnculo"/>
          <w:rFonts w:cs="Times New Roman"/>
          <w:color w:val="000000" w:themeColor="text1"/>
          <w:szCs w:val="24"/>
          <w:u w:val="none"/>
        </w:rPr>
        <w:t xml:space="preserve"> se aprecia que la variedad</w:t>
      </w:r>
      <w:r w:rsidRPr="008F3940">
        <w:rPr>
          <w:rStyle w:val="Hipervnculo"/>
          <w:rFonts w:cs="Times New Roman"/>
          <w:color w:val="000000" w:themeColor="text1"/>
          <w:szCs w:val="24"/>
        </w:rPr>
        <w:t xml:space="preserve"> </w:t>
      </w:r>
      <w:r w:rsidRPr="00854935">
        <w:rPr>
          <w:rFonts w:cs="Times New Roman"/>
          <w:szCs w:val="24"/>
        </w:rPr>
        <w:t>INIAP-122 Chaucho mejorado (3.80 tha</w:t>
      </w:r>
      <w:r w:rsidRPr="00854935">
        <w:rPr>
          <w:rFonts w:cs="Times New Roman"/>
          <w:szCs w:val="24"/>
          <w:vertAlign w:val="superscript"/>
        </w:rPr>
        <w:t>-</w:t>
      </w:r>
      <w:r w:rsidRPr="00854935">
        <w:rPr>
          <w:rFonts w:cs="Times New Roman"/>
          <w:szCs w:val="24"/>
        </w:rPr>
        <w:t xml:space="preserve">1) </w:t>
      </w:r>
      <w:r>
        <w:rPr>
          <w:rFonts w:cs="Times New Roman"/>
          <w:szCs w:val="24"/>
        </w:rPr>
        <w:t>tuvo un rendimiento</w:t>
      </w:r>
      <w:r w:rsidRPr="00854935">
        <w:rPr>
          <w:rFonts w:cs="Times New Roman"/>
          <w:szCs w:val="24"/>
        </w:rPr>
        <w:t xml:space="preserve"> inferior en un 0.79 t ha</w:t>
      </w:r>
      <w:r w:rsidRPr="00854935">
        <w:rPr>
          <w:rFonts w:cs="Times New Roman"/>
          <w:szCs w:val="24"/>
          <w:vertAlign w:val="superscript"/>
        </w:rPr>
        <w:t xml:space="preserve">-1 </w:t>
      </w:r>
      <w:r w:rsidRPr="00854935">
        <w:rPr>
          <w:rFonts w:cs="Times New Roman"/>
          <w:szCs w:val="24"/>
        </w:rPr>
        <w:t>a las variedades empleadas en el estudio</w:t>
      </w:r>
      <w:r>
        <w:rPr>
          <w:rFonts w:cs="Times New Roman"/>
          <w:szCs w:val="24"/>
        </w:rPr>
        <w:t>,</w:t>
      </w:r>
      <w:r w:rsidRPr="00854935">
        <w:rPr>
          <w:rFonts w:cs="Times New Roman"/>
          <w:szCs w:val="24"/>
        </w:rPr>
        <w:t xml:space="preserve"> donde se tiene un rendimiento en la provincia de Imbabura equivalente a 4.59 tha</w:t>
      </w:r>
      <w:r w:rsidRPr="00854935">
        <w:rPr>
          <w:rFonts w:cs="Times New Roman"/>
          <w:szCs w:val="24"/>
          <w:vertAlign w:val="superscript"/>
        </w:rPr>
        <w:t>-</w:t>
      </w:r>
      <w:r w:rsidR="002111F0" w:rsidRPr="00854935">
        <w:rPr>
          <w:rFonts w:cs="Times New Roman"/>
          <w:szCs w:val="24"/>
          <w:vertAlign w:val="superscript"/>
        </w:rPr>
        <w:t>1</w:t>
      </w:r>
      <w:r w:rsidR="002111F0" w:rsidRPr="00854935">
        <w:rPr>
          <w:rFonts w:cs="Times New Roman"/>
          <w:szCs w:val="24"/>
        </w:rPr>
        <w:t xml:space="preserve"> (</w:t>
      </w:r>
      <w:r>
        <w:rPr>
          <w:rFonts w:cs="Times New Roman"/>
          <w:szCs w:val="24"/>
        </w:rPr>
        <w:t>Cuadro 185).</w:t>
      </w:r>
      <w:r w:rsidRPr="00854935">
        <w:rPr>
          <w:rStyle w:val="Hipervnculo"/>
          <w:rFonts w:cs="Times New Roman"/>
          <w:szCs w:val="24"/>
        </w:rPr>
        <w:t xml:space="preserve"> </w:t>
      </w:r>
    </w:p>
    <w:p w14:paraId="184796DD" w14:textId="57B8243C" w:rsidR="00715E8E" w:rsidRDefault="00715E8E" w:rsidP="00715E8E">
      <w:pPr>
        <w:spacing w:after="0" w:line="360" w:lineRule="auto"/>
        <w:rPr>
          <w:rFonts w:cs="Times New Roman"/>
          <w:szCs w:val="24"/>
        </w:rPr>
      </w:pPr>
      <w:r w:rsidRPr="00854935">
        <w:rPr>
          <w:rFonts w:cs="Times New Roman"/>
          <w:szCs w:val="24"/>
        </w:rPr>
        <w:t>Se podría aún más comparar el promedio registrado de las diversas variedades experimentales del INIAP (2019)</w:t>
      </w:r>
      <w:r>
        <w:rPr>
          <w:rFonts w:cs="Times New Roman"/>
          <w:szCs w:val="24"/>
        </w:rPr>
        <w:t>,</w:t>
      </w:r>
      <w:r w:rsidRPr="00854935">
        <w:rPr>
          <w:rFonts w:cs="Times New Roman"/>
          <w:szCs w:val="24"/>
        </w:rPr>
        <w:t xml:space="preserve"> que equivale a 3.98 t ha</w:t>
      </w:r>
      <w:r w:rsidRPr="00854935">
        <w:rPr>
          <w:rFonts w:cs="Times New Roman"/>
          <w:szCs w:val="24"/>
          <w:vertAlign w:val="superscript"/>
        </w:rPr>
        <w:t>-1</w:t>
      </w:r>
      <w:r>
        <w:rPr>
          <w:rFonts w:cs="Times New Roman"/>
          <w:szCs w:val="24"/>
        </w:rPr>
        <w:t xml:space="preserve">, </w:t>
      </w:r>
      <w:r w:rsidRPr="00854935">
        <w:rPr>
          <w:rFonts w:cs="Times New Roman"/>
          <w:szCs w:val="24"/>
        </w:rPr>
        <w:t xml:space="preserve">con cada uno de los rendimientos de las provincias estudiadas </w:t>
      </w:r>
      <w:r>
        <w:rPr>
          <w:rFonts w:cs="Times New Roman"/>
          <w:szCs w:val="24"/>
        </w:rPr>
        <w:t>(Cuadro 186)</w:t>
      </w:r>
      <w:r w:rsidRPr="00854935">
        <w:rPr>
          <w:rFonts w:cs="Times New Roman"/>
          <w:szCs w:val="24"/>
        </w:rPr>
        <w:t>.</w:t>
      </w:r>
    </w:p>
    <w:p w14:paraId="0D7359BB" w14:textId="77777777" w:rsidR="00715E8E" w:rsidRDefault="00715E8E" w:rsidP="00715E8E">
      <w:pPr>
        <w:spacing w:after="0" w:line="360" w:lineRule="auto"/>
        <w:jc w:val="center"/>
        <w:rPr>
          <w:rFonts w:cs="Times New Roman"/>
          <w:szCs w:val="24"/>
        </w:rPr>
      </w:pPr>
    </w:p>
    <w:p w14:paraId="7D7CA5FA" w14:textId="29D48C26" w:rsidR="002D15CE" w:rsidRPr="002D15CE" w:rsidRDefault="002D15CE" w:rsidP="002D15CE">
      <w:pPr>
        <w:pStyle w:val="Descripcin"/>
        <w:keepNext/>
        <w:rPr>
          <w:rFonts w:cs="Times New Roman"/>
          <w:i w:val="0"/>
          <w:iCs w:val="0"/>
          <w:color w:val="auto"/>
          <w:sz w:val="24"/>
          <w:szCs w:val="24"/>
          <w:lang w:eastAsia="en-US"/>
        </w:rPr>
      </w:pPr>
      <w:bookmarkStart w:id="2286" w:name="_Toc79314178"/>
      <w:r w:rsidRPr="002D15CE">
        <w:rPr>
          <w:rFonts w:cs="Times New Roman"/>
          <w:b/>
          <w:i w:val="0"/>
          <w:iCs w:val="0"/>
          <w:color w:val="auto"/>
          <w:sz w:val="24"/>
          <w:szCs w:val="24"/>
          <w:lang w:eastAsia="en-US"/>
        </w:rPr>
        <w:t xml:space="preserve">Cuadro </w:t>
      </w:r>
      <w:r w:rsidRPr="002D15CE">
        <w:rPr>
          <w:rFonts w:cs="Times New Roman"/>
          <w:b/>
          <w:i w:val="0"/>
          <w:iCs w:val="0"/>
          <w:color w:val="auto"/>
          <w:sz w:val="24"/>
          <w:szCs w:val="24"/>
          <w:lang w:eastAsia="en-US"/>
        </w:rPr>
        <w:fldChar w:fldCharType="begin"/>
      </w:r>
      <w:r w:rsidRPr="002D15CE">
        <w:rPr>
          <w:rFonts w:cs="Times New Roman"/>
          <w:b/>
          <w:i w:val="0"/>
          <w:iCs w:val="0"/>
          <w:color w:val="auto"/>
          <w:sz w:val="24"/>
          <w:szCs w:val="24"/>
          <w:lang w:eastAsia="en-US"/>
        </w:rPr>
        <w:instrText xml:space="preserve"> SEQ Cuadro \* ARABIC </w:instrText>
      </w:r>
      <w:r w:rsidRPr="002D15CE">
        <w:rPr>
          <w:rFonts w:cs="Times New Roman"/>
          <w:b/>
          <w:i w:val="0"/>
          <w:iCs w:val="0"/>
          <w:color w:val="auto"/>
          <w:sz w:val="24"/>
          <w:szCs w:val="24"/>
          <w:lang w:eastAsia="en-US"/>
        </w:rPr>
        <w:fldChar w:fldCharType="separate"/>
      </w:r>
      <w:r w:rsidR="000D1F55">
        <w:rPr>
          <w:rFonts w:cs="Times New Roman"/>
          <w:b/>
          <w:i w:val="0"/>
          <w:iCs w:val="0"/>
          <w:noProof/>
          <w:color w:val="auto"/>
          <w:sz w:val="24"/>
          <w:szCs w:val="24"/>
          <w:lang w:eastAsia="en-US"/>
        </w:rPr>
        <w:t>185</w:t>
      </w:r>
      <w:r w:rsidRPr="002D15CE">
        <w:rPr>
          <w:rFonts w:cs="Times New Roman"/>
          <w:b/>
          <w:i w:val="0"/>
          <w:iCs w:val="0"/>
          <w:color w:val="auto"/>
          <w:sz w:val="24"/>
          <w:szCs w:val="24"/>
          <w:lang w:eastAsia="en-US"/>
        </w:rPr>
        <w:fldChar w:fldCharType="end"/>
      </w:r>
      <w:r w:rsidRPr="002D15CE">
        <w:rPr>
          <w:rFonts w:cs="Times New Roman"/>
          <w:b/>
          <w:i w:val="0"/>
          <w:iCs w:val="0"/>
          <w:color w:val="auto"/>
          <w:sz w:val="24"/>
          <w:szCs w:val="24"/>
          <w:lang w:eastAsia="en-US"/>
        </w:rPr>
        <w:t xml:space="preserve">. </w:t>
      </w:r>
      <w:r w:rsidRPr="002D15CE">
        <w:rPr>
          <w:rFonts w:cs="Times New Roman"/>
          <w:i w:val="0"/>
          <w:iCs w:val="0"/>
          <w:color w:val="auto"/>
          <w:sz w:val="24"/>
          <w:szCs w:val="24"/>
          <w:lang w:eastAsia="en-US"/>
        </w:rPr>
        <w:t xml:space="preserve">Comparativo entre el rendimiento de maíz suave obtenido </w:t>
      </w:r>
      <w:bookmarkEnd w:id="2286"/>
      <w:r w:rsidR="00D565A7">
        <w:rPr>
          <w:rFonts w:cs="Times New Roman"/>
          <w:i w:val="0"/>
          <w:iCs w:val="0"/>
          <w:color w:val="auto"/>
          <w:sz w:val="24"/>
          <w:szCs w:val="24"/>
          <w:lang w:eastAsia="en-US"/>
        </w:rPr>
        <w:t xml:space="preserve">en la </w:t>
      </w:r>
      <w:r w:rsidR="005106B9" w:rsidRPr="005106B9">
        <w:rPr>
          <w:rFonts w:cs="Times New Roman"/>
          <w:i w:val="0"/>
          <w:iCs w:val="0"/>
          <w:color w:val="auto"/>
          <w:sz w:val="24"/>
          <w:szCs w:val="24"/>
          <w:lang w:eastAsia="en-US"/>
        </w:rPr>
        <w:t>investigación</w:t>
      </w:r>
      <w:r w:rsidR="00D565A7">
        <w:rPr>
          <w:rFonts w:cs="Times New Roman"/>
          <w:i w:val="0"/>
          <w:iCs w:val="0"/>
          <w:color w:val="auto"/>
          <w:sz w:val="24"/>
          <w:szCs w:val="24"/>
          <w:lang w:eastAsia="en-US"/>
        </w:rPr>
        <w:t xml:space="preserve"> actual y el INIAP (2019)</w:t>
      </w:r>
    </w:p>
    <w:tbl>
      <w:tblPr>
        <w:tblStyle w:val="Tablaconcuadrcula"/>
        <w:tblW w:w="7951" w:type="dxa"/>
        <w:tblLook w:val="04A0" w:firstRow="1" w:lastRow="0" w:firstColumn="1" w:lastColumn="0" w:noHBand="0" w:noVBand="1"/>
      </w:tblPr>
      <w:tblGrid>
        <w:gridCol w:w="1656"/>
        <w:gridCol w:w="2308"/>
        <w:gridCol w:w="2694"/>
        <w:gridCol w:w="1293"/>
      </w:tblGrid>
      <w:tr w:rsidR="00715E8E" w:rsidRPr="00854935" w14:paraId="72FB16D4" w14:textId="77777777" w:rsidTr="009F4CC8">
        <w:trPr>
          <w:trHeight w:val="220"/>
        </w:trPr>
        <w:tc>
          <w:tcPr>
            <w:tcW w:w="1656" w:type="dxa"/>
            <w:noWrap/>
            <w:hideMark/>
          </w:tcPr>
          <w:p w14:paraId="23532771" w14:textId="77777777" w:rsidR="00715E8E" w:rsidRPr="009F4CC8" w:rsidRDefault="00715E8E" w:rsidP="009F4CC8">
            <w:pPr>
              <w:rPr>
                <w:rFonts w:eastAsia="Times New Roman" w:cs="Times New Roman"/>
                <w:b/>
                <w:bCs/>
                <w:color w:val="000000"/>
                <w:szCs w:val="24"/>
                <w:lang w:eastAsia="es-EC"/>
              </w:rPr>
            </w:pPr>
            <w:r w:rsidRPr="009F4CC8">
              <w:rPr>
                <w:rFonts w:eastAsia="Times New Roman" w:cs="Times New Roman"/>
                <w:b/>
                <w:bCs/>
                <w:color w:val="000000"/>
                <w:szCs w:val="24"/>
                <w:lang w:eastAsia="es-EC"/>
              </w:rPr>
              <w:t>Provincia</w:t>
            </w:r>
          </w:p>
        </w:tc>
        <w:tc>
          <w:tcPr>
            <w:tcW w:w="2308" w:type="dxa"/>
            <w:noWrap/>
            <w:hideMark/>
          </w:tcPr>
          <w:p w14:paraId="481CCD60" w14:textId="77777777" w:rsidR="00715E8E" w:rsidRPr="009F4CC8" w:rsidRDefault="00715E8E" w:rsidP="009F4CC8">
            <w:pPr>
              <w:jc w:val="center"/>
              <w:rPr>
                <w:rFonts w:eastAsia="Times New Roman" w:cs="Times New Roman"/>
                <w:b/>
                <w:bCs/>
                <w:color w:val="000000"/>
                <w:szCs w:val="24"/>
                <w:lang w:eastAsia="es-EC"/>
              </w:rPr>
            </w:pPr>
            <w:r w:rsidRPr="009F4CC8">
              <w:rPr>
                <w:rFonts w:eastAsia="Times New Roman" w:cs="Times New Roman"/>
                <w:b/>
                <w:bCs/>
                <w:color w:val="000000"/>
                <w:szCs w:val="24"/>
                <w:lang w:eastAsia="es-EC"/>
              </w:rPr>
              <w:t>Rendimiento obtenido en el presente estudio (t ha</w:t>
            </w:r>
            <w:r w:rsidRPr="009F4CC8">
              <w:rPr>
                <w:rFonts w:eastAsia="Times New Roman" w:cs="Times New Roman"/>
                <w:b/>
                <w:bCs/>
                <w:color w:val="000000"/>
                <w:szCs w:val="24"/>
                <w:vertAlign w:val="superscript"/>
                <w:lang w:eastAsia="es-EC"/>
              </w:rPr>
              <w:t>-1</w:t>
            </w:r>
            <w:r w:rsidRPr="009F4CC8">
              <w:rPr>
                <w:rFonts w:eastAsia="Times New Roman" w:cs="Times New Roman"/>
                <w:b/>
                <w:bCs/>
                <w:color w:val="000000"/>
                <w:szCs w:val="24"/>
                <w:lang w:eastAsia="es-EC"/>
              </w:rPr>
              <w:t>)</w:t>
            </w:r>
          </w:p>
        </w:tc>
        <w:tc>
          <w:tcPr>
            <w:tcW w:w="2694" w:type="dxa"/>
            <w:noWrap/>
            <w:hideMark/>
          </w:tcPr>
          <w:p w14:paraId="13FFC5FA" w14:textId="77777777" w:rsidR="00715E8E" w:rsidRPr="009F4CC8" w:rsidRDefault="00715E8E" w:rsidP="009F4CC8">
            <w:pPr>
              <w:jc w:val="center"/>
              <w:rPr>
                <w:rFonts w:eastAsia="Times New Roman" w:cs="Times New Roman"/>
                <w:b/>
                <w:bCs/>
                <w:color w:val="000000"/>
                <w:szCs w:val="24"/>
                <w:lang w:eastAsia="es-EC"/>
              </w:rPr>
            </w:pPr>
            <w:r w:rsidRPr="009F4CC8">
              <w:rPr>
                <w:rFonts w:eastAsia="Times New Roman" w:cs="Times New Roman"/>
                <w:b/>
                <w:bCs/>
                <w:color w:val="000000"/>
                <w:szCs w:val="24"/>
                <w:lang w:eastAsia="es-EC"/>
              </w:rPr>
              <w:t>Promedio variedades experimentales INIAP en catálogos</w:t>
            </w:r>
          </w:p>
        </w:tc>
        <w:tc>
          <w:tcPr>
            <w:tcW w:w="1293" w:type="dxa"/>
            <w:noWrap/>
            <w:hideMark/>
          </w:tcPr>
          <w:p w14:paraId="565AC316" w14:textId="77777777" w:rsidR="00715E8E" w:rsidRPr="009F4CC8" w:rsidRDefault="00715E8E" w:rsidP="009F4CC8">
            <w:pPr>
              <w:jc w:val="center"/>
              <w:rPr>
                <w:rFonts w:eastAsia="Times New Roman" w:cs="Times New Roman"/>
                <w:b/>
                <w:bCs/>
                <w:color w:val="000000"/>
                <w:szCs w:val="24"/>
                <w:lang w:eastAsia="es-EC"/>
              </w:rPr>
            </w:pPr>
            <w:r w:rsidRPr="009F4CC8">
              <w:rPr>
                <w:rFonts w:eastAsia="Times New Roman" w:cs="Times New Roman"/>
                <w:b/>
                <w:bCs/>
                <w:color w:val="000000"/>
                <w:szCs w:val="24"/>
                <w:lang w:eastAsia="es-EC"/>
              </w:rPr>
              <w:t>Diferencia</w:t>
            </w:r>
          </w:p>
        </w:tc>
      </w:tr>
      <w:tr w:rsidR="00715E8E" w:rsidRPr="00854935" w14:paraId="351372F0" w14:textId="77777777" w:rsidTr="009F4CC8">
        <w:trPr>
          <w:trHeight w:val="220"/>
        </w:trPr>
        <w:tc>
          <w:tcPr>
            <w:tcW w:w="1656" w:type="dxa"/>
            <w:noWrap/>
            <w:hideMark/>
          </w:tcPr>
          <w:p w14:paraId="25A7BC2D" w14:textId="77777777" w:rsidR="00715E8E" w:rsidRPr="00854935" w:rsidRDefault="00715E8E" w:rsidP="009F4CC8">
            <w:pPr>
              <w:rPr>
                <w:rFonts w:eastAsia="Times New Roman" w:cs="Times New Roman"/>
                <w:color w:val="000000"/>
                <w:szCs w:val="24"/>
                <w:lang w:eastAsia="es-EC"/>
              </w:rPr>
            </w:pPr>
            <w:r w:rsidRPr="00854935">
              <w:rPr>
                <w:rFonts w:eastAsia="Times New Roman" w:cs="Times New Roman"/>
                <w:color w:val="000000"/>
                <w:szCs w:val="24"/>
                <w:lang w:eastAsia="es-EC"/>
              </w:rPr>
              <w:t>Bolívar</w:t>
            </w:r>
          </w:p>
        </w:tc>
        <w:tc>
          <w:tcPr>
            <w:tcW w:w="2308" w:type="dxa"/>
            <w:noWrap/>
            <w:hideMark/>
          </w:tcPr>
          <w:p w14:paraId="2EEAD940"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3,79</w:t>
            </w:r>
          </w:p>
        </w:tc>
        <w:tc>
          <w:tcPr>
            <w:tcW w:w="2694" w:type="dxa"/>
            <w:noWrap/>
            <w:hideMark/>
          </w:tcPr>
          <w:p w14:paraId="029D29FF" w14:textId="77777777" w:rsidR="00715E8E" w:rsidRPr="00854935" w:rsidRDefault="00715E8E" w:rsidP="009F4CC8">
            <w:pPr>
              <w:jc w:val="right"/>
              <w:rPr>
                <w:rFonts w:eastAsia="Times New Roman" w:cs="Times New Roman"/>
                <w:color w:val="000000"/>
                <w:szCs w:val="24"/>
                <w:lang w:eastAsia="es-EC"/>
              </w:rPr>
            </w:pPr>
            <w:r>
              <w:rPr>
                <w:rFonts w:eastAsia="Times New Roman" w:cs="Times New Roman"/>
                <w:color w:val="000000"/>
                <w:szCs w:val="24"/>
                <w:lang w:eastAsia="es-EC"/>
              </w:rPr>
              <w:t>4.04</w:t>
            </w:r>
          </w:p>
        </w:tc>
        <w:tc>
          <w:tcPr>
            <w:tcW w:w="1293" w:type="dxa"/>
            <w:noWrap/>
          </w:tcPr>
          <w:p w14:paraId="6260C286"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-0.19</w:t>
            </w:r>
          </w:p>
        </w:tc>
      </w:tr>
      <w:tr w:rsidR="00715E8E" w:rsidRPr="00854935" w14:paraId="52E3FE7C" w14:textId="77777777" w:rsidTr="009F4CC8">
        <w:trPr>
          <w:trHeight w:val="220"/>
        </w:trPr>
        <w:tc>
          <w:tcPr>
            <w:tcW w:w="1656" w:type="dxa"/>
            <w:noWrap/>
            <w:hideMark/>
          </w:tcPr>
          <w:p w14:paraId="462D2D04" w14:textId="77777777" w:rsidR="00715E8E" w:rsidRPr="00854935" w:rsidRDefault="00715E8E" w:rsidP="009F4CC8">
            <w:pPr>
              <w:rPr>
                <w:rFonts w:eastAsia="Times New Roman" w:cs="Times New Roman"/>
                <w:color w:val="000000"/>
                <w:szCs w:val="24"/>
                <w:lang w:eastAsia="es-EC"/>
              </w:rPr>
            </w:pPr>
            <w:r w:rsidRPr="00854935">
              <w:rPr>
                <w:rFonts w:eastAsia="Times New Roman" w:cs="Times New Roman"/>
                <w:color w:val="000000"/>
                <w:szCs w:val="24"/>
                <w:lang w:eastAsia="es-EC"/>
              </w:rPr>
              <w:t>Chimborazo</w:t>
            </w:r>
          </w:p>
        </w:tc>
        <w:tc>
          <w:tcPr>
            <w:tcW w:w="2308" w:type="dxa"/>
            <w:noWrap/>
            <w:hideMark/>
          </w:tcPr>
          <w:p w14:paraId="4E24C566"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4,59</w:t>
            </w:r>
          </w:p>
        </w:tc>
        <w:tc>
          <w:tcPr>
            <w:tcW w:w="2694" w:type="dxa"/>
            <w:noWrap/>
            <w:hideMark/>
          </w:tcPr>
          <w:p w14:paraId="73B5B6D0" w14:textId="77777777" w:rsidR="00715E8E" w:rsidRPr="00854935" w:rsidRDefault="00715E8E" w:rsidP="009F4CC8">
            <w:pPr>
              <w:jc w:val="right"/>
              <w:rPr>
                <w:rFonts w:eastAsia="Times New Roman" w:cs="Times New Roman"/>
                <w:color w:val="000000"/>
                <w:szCs w:val="24"/>
                <w:lang w:eastAsia="es-EC"/>
              </w:rPr>
            </w:pPr>
            <w:r>
              <w:rPr>
                <w:rFonts w:eastAsia="Times New Roman" w:cs="Times New Roman"/>
                <w:color w:val="000000"/>
                <w:szCs w:val="24"/>
                <w:lang w:eastAsia="es-EC"/>
              </w:rPr>
              <w:t>4.14</w:t>
            </w:r>
          </w:p>
        </w:tc>
        <w:tc>
          <w:tcPr>
            <w:tcW w:w="1293" w:type="dxa"/>
            <w:noWrap/>
          </w:tcPr>
          <w:p w14:paraId="1D3344D2"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0.61</w:t>
            </w:r>
          </w:p>
        </w:tc>
      </w:tr>
      <w:tr w:rsidR="00715E8E" w:rsidRPr="00854935" w14:paraId="41A53519" w14:textId="77777777" w:rsidTr="009F4CC8">
        <w:trPr>
          <w:trHeight w:val="220"/>
        </w:trPr>
        <w:tc>
          <w:tcPr>
            <w:tcW w:w="1656" w:type="dxa"/>
            <w:noWrap/>
            <w:hideMark/>
          </w:tcPr>
          <w:p w14:paraId="0FA6BEDB" w14:textId="77777777" w:rsidR="00715E8E" w:rsidRPr="00854935" w:rsidRDefault="00715E8E" w:rsidP="009F4CC8">
            <w:pPr>
              <w:rPr>
                <w:rFonts w:eastAsia="Times New Roman" w:cs="Times New Roman"/>
                <w:color w:val="000000"/>
                <w:szCs w:val="24"/>
                <w:lang w:eastAsia="es-EC"/>
              </w:rPr>
            </w:pPr>
            <w:r w:rsidRPr="00854935">
              <w:rPr>
                <w:rFonts w:eastAsia="Times New Roman" w:cs="Times New Roman"/>
                <w:color w:val="000000"/>
                <w:szCs w:val="24"/>
                <w:lang w:eastAsia="es-EC"/>
              </w:rPr>
              <w:t>Imbabura</w:t>
            </w:r>
          </w:p>
        </w:tc>
        <w:tc>
          <w:tcPr>
            <w:tcW w:w="2308" w:type="dxa"/>
            <w:noWrap/>
            <w:hideMark/>
          </w:tcPr>
          <w:p w14:paraId="0AF488F1"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4,59</w:t>
            </w:r>
          </w:p>
        </w:tc>
        <w:tc>
          <w:tcPr>
            <w:tcW w:w="2694" w:type="dxa"/>
            <w:noWrap/>
            <w:hideMark/>
          </w:tcPr>
          <w:p w14:paraId="62362D90"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3.</w:t>
            </w:r>
            <w:r>
              <w:rPr>
                <w:rFonts w:eastAsia="Times New Roman" w:cs="Times New Roman"/>
                <w:color w:val="000000"/>
                <w:szCs w:val="24"/>
                <w:lang w:eastAsia="es-EC"/>
              </w:rPr>
              <w:t>83</w:t>
            </w:r>
          </w:p>
        </w:tc>
        <w:tc>
          <w:tcPr>
            <w:tcW w:w="1293" w:type="dxa"/>
            <w:noWrap/>
          </w:tcPr>
          <w:p w14:paraId="537EC700"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0.61</w:t>
            </w:r>
          </w:p>
        </w:tc>
      </w:tr>
      <w:tr w:rsidR="00715E8E" w:rsidRPr="00854935" w14:paraId="46AD5E66" w14:textId="77777777" w:rsidTr="009F4CC8">
        <w:trPr>
          <w:trHeight w:val="220"/>
        </w:trPr>
        <w:tc>
          <w:tcPr>
            <w:tcW w:w="1656" w:type="dxa"/>
            <w:noWrap/>
            <w:hideMark/>
          </w:tcPr>
          <w:p w14:paraId="79F2E1B6" w14:textId="77777777" w:rsidR="00715E8E" w:rsidRPr="00854935" w:rsidRDefault="00715E8E" w:rsidP="009F4CC8">
            <w:pPr>
              <w:rPr>
                <w:rFonts w:eastAsia="Times New Roman" w:cs="Times New Roman"/>
                <w:color w:val="000000"/>
                <w:szCs w:val="24"/>
                <w:lang w:eastAsia="es-EC"/>
              </w:rPr>
            </w:pPr>
            <w:r w:rsidRPr="00854935">
              <w:rPr>
                <w:rFonts w:eastAsia="Times New Roman" w:cs="Times New Roman"/>
                <w:color w:val="000000"/>
                <w:szCs w:val="24"/>
                <w:lang w:eastAsia="es-EC"/>
              </w:rPr>
              <w:t>PROMEDIO</w:t>
            </w:r>
          </w:p>
        </w:tc>
        <w:tc>
          <w:tcPr>
            <w:tcW w:w="2308" w:type="dxa"/>
            <w:noWrap/>
            <w:hideMark/>
          </w:tcPr>
          <w:p w14:paraId="75C9F6F4"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4,29</w:t>
            </w:r>
          </w:p>
        </w:tc>
        <w:tc>
          <w:tcPr>
            <w:tcW w:w="2694" w:type="dxa"/>
            <w:noWrap/>
            <w:hideMark/>
          </w:tcPr>
          <w:p w14:paraId="6013E7F3" w14:textId="77777777" w:rsidR="00715E8E" w:rsidRPr="00854935" w:rsidRDefault="00715E8E" w:rsidP="009F4CC8">
            <w:pPr>
              <w:jc w:val="right"/>
              <w:rPr>
                <w:rFonts w:eastAsia="Times New Roman" w:cs="Times New Roman"/>
                <w:color w:val="000000"/>
                <w:szCs w:val="24"/>
                <w:lang w:eastAsia="es-EC"/>
              </w:rPr>
            </w:pPr>
            <w:r>
              <w:rPr>
                <w:rFonts w:eastAsia="Times New Roman" w:cs="Times New Roman"/>
                <w:color w:val="000000"/>
                <w:szCs w:val="24"/>
                <w:lang w:eastAsia="es-EC"/>
              </w:rPr>
              <w:t>4.00</w:t>
            </w:r>
          </w:p>
        </w:tc>
        <w:tc>
          <w:tcPr>
            <w:tcW w:w="1293" w:type="dxa"/>
            <w:noWrap/>
          </w:tcPr>
          <w:p w14:paraId="76B6321C" w14:textId="77777777" w:rsidR="00715E8E" w:rsidRPr="00854935" w:rsidRDefault="00715E8E" w:rsidP="009F4CC8">
            <w:pPr>
              <w:jc w:val="right"/>
              <w:rPr>
                <w:rFonts w:eastAsia="Times New Roman" w:cs="Times New Roman"/>
                <w:color w:val="000000"/>
                <w:szCs w:val="24"/>
                <w:lang w:eastAsia="es-EC"/>
              </w:rPr>
            </w:pPr>
            <w:r w:rsidRPr="00854935">
              <w:rPr>
                <w:rFonts w:eastAsia="Times New Roman" w:cs="Times New Roman"/>
                <w:color w:val="000000"/>
                <w:szCs w:val="24"/>
                <w:lang w:eastAsia="es-EC"/>
              </w:rPr>
              <w:t>0.31</w:t>
            </w:r>
          </w:p>
        </w:tc>
      </w:tr>
    </w:tbl>
    <w:p w14:paraId="040B3D35" w14:textId="5A26D643" w:rsidR="00715E8E" w:rsidRPr="00F34FEE" w:rsidRDefault="00715E8E" w:rsidP="00715E8E">
      <w:pPr>
        <w:spacing w:after="0" w:line="360" w:lineRule="auto"/>
        <w:rPr>
          <w:rFonts w:cs="Times New Roman"/>
          <w:sz w:val="20"/>
          <w:szCs w:val="20"/>
        </w:rPr>
      </w:pPr>
      <w:r w:rsidRPr="00F34FEE">
        <w:rPr>
          <w:rFonts w:cs="Times New Roman"/>
          <w:b/>
          <w:sz w:val="20"/>
          <w:szCs w:val="20"/>
        </w:rPr>
        <w:t>Fuente:</w:t>
      </w:r>
      <w:r w:rsidRPr="00F34FEE">
        <w:rPr>
          <w:rFonts w:cs="Times New Roman"/>
          <w:sz w:val="20"/>
          <w:szCs w:val="20"/>
        </w:rPr>
        <w:t xml:space="preserve"> </w:t>
      </w:r>
      <w:sdt>
        <w:sdtPr>
          <w:rPr>
            <w:rFonts w:cs="Times New Roman"/>
            <w:sz w:val="20"/>
            <w:szCs w:val="20"/>
          </w:rPr>
          <w:id w:val="-312720641"/>
          <w:citation/>
        </w:sdtPr>
        <w:sdtEndPr/>
        <w:sdtContent>
          <w:r w:rsidRPr="00F34FEE">
            <w:rPr>
              <w:rFonts w:cs="Times New Roman"/>
              <w:sz w:val="20"/>
              <w:szCs w:val="20"/>
            </w:rPr>
            <w:fldChar w:fldCharType="begin"/>
          </w:r>
          <w:r w:rsidRPr="00F34FEE">
            <w:rPr>
              <w:rFonts w:cs="Times New Roman"/>
              <w:sz w:val="20"/>
              <w:szCs w:val="20"/>
            </w:rPr>
            <w:instrText xml:space="preserve"> CITATION INI19 \l 12298 </w:instrText>
          </w:r>
          <w:r w:rsidRPr="00F34FEE">
            <w:rPr>
              <w:rFonts w:cs="Times New Roman"/>
              <w:sz w:val="20"/>
              <w:szCs w:val="20"/>
            </w:rPr>
            <w:fldChar w:fldCharType="separate"/>
          </w:r>
          <w:r w:rsidR="005106B9" w:rsidRPr="005106B9">
            <w:rPr>
              <w:rFonts w:cs="Times New Roman"/>
              <w:noProof/>
              <w:sz w:val="20"/>
              <w:szCs w:val="20"/>
            </w:rPr>
            <w:t>(INIAP, 2019)</w:t>
          </w:r>
          <w:r w:rsidRPr="00F34FEE">
            <w:rPr>
              <w:rFonts w:cs="Times New Roman"/>
              <w:sz w:val="20"/>
              <w:szCs w:val="20"/>
            </w:rPr>
            <w:fldChar w:fldCharType="end"/>
          </w:r>
        </w:sdtContent>
      </w:sdt>
      <w:r w:rsidRPr="00F34FEE">
        <w:rPr>
          <w:rFonts w:cs="Times New Roman"/>
          <w:sz w:val="20"/>
          <w:szCs w:val="20"/>
        </w:rPr>
        <w:t xml:space="preserve"> (Silva et al 1997; </w:t>
      </w:r>
      <w:r w:rsidR="002111F0" w:rsidRPr="00F34FEE">
        <w:rPr>
          <w:rFonts w:cs="Times New Roman"/>
          <w:sz w:val="20"/>
          <w:szCs w:val="20"/>
        </w:rPr>
        <w:t>Yánez</w:t>
      </w:r>
      <w:r w:rsidRPr="00F34FEE">
        <w:rPr>
          <w:rFonts w:cs="Times New Roman"/>
          <w:sz w:val="20"/>
          <w:szCs w:val="20"/>
        </w:rPr>
        <w:t xml:space="preserve"> et al 2013a; Yánez 2013)</w:t>
      </w:r>
    </w:p>
    <w:p w14:paraId="0FDB3BBA" w14:textId="77777777" w:rsidR="00CC712A" w:rsidRDefault="00CC712A" w:rsidP="00715E8E">
      <w:pPr>
        <w:spacing w:after="0" w:line="360" w:lineRule="auto"/>
        <w:rPr>
          <w:rFonts w:cs="Times New Roman"/>
          <w:szCs w:val="24"/>
        </w:rPr>
      </w:pPr>
    </w:p>
    <w:p w14:paraId="3E37DF0A" w14:textId="26856F49" w:rsidR="00715E8E" w:rsidRPr="00854935" w:rsidRDefault="00715E8E" w:rsidP="00715E8E">
      <w:pPr>
        <w:spacing w:after="0" w:line="360" w:lineRule="auto"/>
        <w:rPr>
          <w:rFonts w:cs="Times New Roman"/>
          <w:szCs w:val="24"/>
        </w:rPr>
      </w:pPr>
      <w:r w:rsidRPr="00E459F9">
        <w:rPr>
          <w:rFonts w:cs="Times New Roman"/>
          <w:szCs w:val="24"/>
        </w:rPr>
        <w:lastRenderedPageBreak/>
        <w:t xml:space="preserve">En el análisis evidenció que existen diferencias menores en cuanto al rendimiento promedio de </w:t>
      </w:r>
      <w:r>
        <w:rPr>
          <w:rFonts w:cs="Times New Roman"/>
          <w:szCs w:val="24"/>
        </w:rPr>
        <w:t xml:space="preserve">los ensayos </w:t>
      </w:r>
      <w:r w:rsidRPr="00E459F9">
        <w:rPr>
          <w:rFonts w:cs="Times New Roman"/>
          <w:szCs w:val="24"/>
        </w:rPr>
        <w:t xml:space="preserve">de maíz suave del </w:t>
      </w:r>
      <w:sdt>
        <w:sdtPr>
          <w:rPr>
            <w:rFonts w:cs="Times New Roman"/>
            <w:szCs w:val="24"/>
          </w:rPr>
          <w:id w:val="-2020154880"/>
          <w:citation/>
        </w:sdtPr>
        <w:sdtEndPr/>
        <w:sdtContent>
          <w:r w:rsidRPr="00E459F9">
            <w:rPr>
              <w:rFonts w:cs="Times New Roman"/>
              <w:szCs w:val="24"/>
            </w:rPr>
            <w:fldChar w:fldCharType="begin"/>
          </w:r>
          <w:r w:rsidRPr="00E459F9">
            <w:rPr>
              <w:rFonts w:cs="Times New Roman"/>
              <w:szCs w:val="24"/>
              <w:lang w:val="es-MX"/>
            </w:rPr>
            <w:instrText xml:space="preserve">CITATION INI19 \l 2058 </w:instrText>
          </w:r>
          <w:r w:rsidRPr="00E459F9">
            <w:rPr>
              <w:rFonts w:cs="Times New Roman"/>
              <w:szCs w:val="24"/>
            </w:rPr>
            <w:fldChar w:fldCharType="separate"/>
          </w:r>
          <w:r w:rsidR="005106B9" w:rsidRPr="005106B9">
            <w:rPr>
              <w:rFonts w:cs="Times New Roman"/>
              <w:noProof/>
              <w:szCs w:val="24"/>
              <w:lang w:val="es-MX"/>
            </w:rPr>
            <w:t>(INIAP, 2019)</w:t>
          </w:r>
          <w:r w:rsidRPr="00E459F9">
            <w:rPr>
              <w:rFonts w:cs="Times New Roman"/>
              <w:szCs w:val="24"/>
            </w:rPr>
            <w:fldChar w:fldCharType="end"/>
          </w:r>
        </w:sdtContent>
      </w:sdt>
      <w:r w:rsidRPr="00E459F9">
        <w:rPr>
          <w:rFonts w:cs="Times New Roman"/>
          <w:szCs w:val="24"/>
        </w:rPr>
        <w:t xml:space="preserve"> con los rendimientos en las </w:t>
      </w:r>
      <w:r>
        <w:rPr>
          <w:rFonts w:cs="Times New Roman"/>
          <w:szCs w:val="24"/>
        </w:rPr>
        <w:t>tres</w:t>
      </w:r>
      <w:r w:rsidRPr="00E459F9">
        <w:rPr>
          <w:rFonts w:cs="Times New Roman"/>
          <w:szCs w:val="24"/>
        </w:rPr>
        <w:t xml:space="preserve"> provincias, donde se nota que solo en el caso de la provincia de Bolívar, </w:t>
      </w:r>
      <w:r>
        <w:rPr>
          <w:rFonts w:cs="Times New Roman"/>
          <w:szCs w:val="24"/>
        </w:rPr>
        <w:t xml:space="preserve">los ensayos </w:t>
      </w:r>
      <w:r w:rsidRPr="00E459F9">
        <w:rPr>
          <w:rFonts w:cs="Times New Roman"/>
          <w:szCs w:val="24"/>
        </w:rPr>
        <w:t xml:space="preserve">del INIAP demuestran un rendimiento superior en 0.19 </w:t>
      </w:r>
      <w:r w:rsidRPr="00E459F9">
        <w:rPr>
          <w:rFonts w:eastAsia="Times New Roman" w:cs="Times New Roman"/>
          <w:color w:val="000000"/>
          <w:szCs w:val="24"/>
          <w:lang w:eastAsia="es-EC"/>
        </w:rPr>
        <w:t>t ha</w:t>
      </w:r>
      <w:r w:rsidRPr="00E459F9">
        <w:rPr>
          <w:rFonts w:eastAsia="Times New Roman" w:cs="Times New Roman"/>
          <w:color w:val="000000"/>
          <w:szCs w:val="24"/>
          <w:vertAlign w:val="superscript"/>
          <w:lang w:eastAsia="es-EC"/>
        </w:rPr>
        <w:t>-1</w:t>
      </w:r>
      <w:r w:rsidRPr="00E459F9">
        <w:rPr>
          <w:rFonts w:cs="Times New Roman"/>
          <w:szCs w:val="24"/>
        </w:rPr>
        <w:t xml:space="preserve">, en cambio que frente a los rendimientos de las provincias de Chimborazo e Imbabura, el promedio de </w:t>
      </w:r>
      <w:r>
        <w:rPr>
          <w:rFonts w:cs="Times New Roman"/>
          <w:szCs w:val="24"/>
        </w:rPr>
        <w:t xml:space="preserve">los ensayos </w:t>
      </w:r>
      <w:r w:rsidRPr="00E459F9">
        <w:rPr>
          <w:rFonts w:cs="Times New Roman"/>
          <w:szCs w:val="24"/>
        </w:rPr>
        <w:t>es menor en 0.61</w:t>
      </w:r>
      <w:r>
        <w:rPr>
          <w:rFonts w:cs="Times New Roman"/>
          <w:szCs w:val="24"/>
        </w:rPr>
        <w:t xml:space="preserve"> t ha</w:t>
      </w:r>
      <w:r w:rsidRPr="008576F8">
        <w:rPr>
          <w:rFonts w:cs="Times New Roman"/>
          <w:szCs w:val="24"/>
          <w:vertAlign w:val="superscript"/>
        </w:rPr>
        <w:t>-1</w:t>
      </w:r>
      <w:r>
        <w:rPr>
          <w:rFonts w:cs="Times New Roman"/>
          <w:szCs w:val="24"/>
        </w:rPr>
        <w:t>,</w:t>
      </w:r>
      <w:r w:rsidRPr="00E459F9">
        <w:rPr>
          <w:rFonts w:cs="Times New Roman"/>
          <w:szCs w:val="24"/>
        </w:rPr>
        <w:t xml:space="preserve"> con lo que se puede concluir que el </w:t>
      </w:r>
      <w:r>
        <w:rPr>
          <w:rFonts w:cs="Times New Roman"/>
          <w:szCs w:val="24"/>
        </w:rPr>
        <w:t xml:space="preserve">rendimiento del </w:t>
      </w:r>
      <w:r w:rsidRPr="00E459F9">
        <w:rPr>
          <w:rFonts w:cs="Times New Roman"/>
          <w:szCs w:val="24"/>
        </w:rPr>
        <w:t xml:space="preserve">cultivo de maíz </w:t>
      </w:r>
      <w:r>
        <w:rPr>
          <w:rFonts w:cs="Times New Roman"/>
          <w:szCs w:val="24"/>
        </w:rPr>
        <w:t>suave observado en los años de estudio es representativo.</w:t>
      </w:r>
    </w:p>
    <w:p w14:paraId="0996B072" w14:textId="77777777" w:rsidR="00715E8E" w:rsidRDefault="00715E8E" w:rsidP="009F4CC8">
      <w:pPr>
        <w:spacing w:before="360" w:after="360" w:line="360" w:lineRule="auto"/>
        <w:rPr>
          <w:rFonts w:cs="Times New Roman"/>
        </w:rPr>
      </w:pPr>
      <w:r>
        <w:rPr>
          <w:rFonts w:cs="Times New Roman"/>
        </w:rPr>
        <w:t xml:space="preserve">Se demostró también que el efecto de la localidad (ya sea cantón o provincia, atribuido al ambiente) influyó en el rendimiento del maíz suave, a pesar de que se trata de tres provincias de la Sierra ecuatoriana con condiciones ambientales similares. </w:t>
      </w:r>
    </w:p>
    <w:p w14:paraId="77ABE31A" w14:textId="4EDFB8FC" w:rsidR="00715E8E" w:rsidRDefault="00715E8E" w:rsidP="00715E8E">
      <w:pPr>
        <w:spacing w:after="0" w:line="360" w:lineRule="auto"/>
        <w:rPr>
          <w:rFonts w:cs="Times New Roman"/>
        </w:rPr>
      </w:pPr>
      <w:r>
        <w:rPr>
          <w:rFonts w:cs="Times New Roman"/>
        </w:rPr>
        <w:t>El N fue el nutriente más importante y explicó el 33,49% de la variación observada en el análisis combinado.</w:t>
      </w:r>
      <w:r w:rsidR="002339A2">
        <w:rPr>
          <w:rFonts w:cs="Times New Roman"/>
        </w:rPr>
        <w:t xml:space="preserve"> </w:t>
      </w:r>
      <w:r>
        <w:rPr>
          <w:rFonts w:cs="Times New Roman"/>
        </w:rPr>
        <w:t xml:space="preserve">Estos resultados concuerdan por lo expresado por </w:t>
      </w:r>
      <w:sdt>
        <w:sdtPr>
          <w:rPr>
            <w:rFonts w:cs="Times New Roman"/>
          </w:rPr>
          <w:id w:val="-1919397361"/>
          <w:citation/>
        </w:sdtPr>
        <w:sdtEndPr/>
        <w:sdtContent>
          <w:r>
            <w:rPr>
              <w:rFonts w:cs="Times New Roman"/>
            </w:rPr>
            <w:fldChar w:fldCharType="begin"/>
          </w:r>
          <w:r>
            <w:rPr>
              <w:rFonts w:cs="Times New Roman"/>
            </w:rPr>
            <w:instrText xml:space="preserve"> CITATION Alv11 \l 12298 </w:instrText>
          </w:r>
          <w:r>
            <w:rPr>
              <w:rFonts w:cs="Times New Roman"/>
            </w:rPr>
            <w:fldChar w:fldCharType="separate"/>
          </w:r>
          <w:r w:rsidR="005106B9" w:rsidRPr="005106B9">
            <w:rPr>
              <w:rFonts w:cs="Times New Roman"/>
              <w:noProof/>
            </w:rPr>
            <w:t>(Alvarado, 2011)</w:t>
          </w:r>
          <w:r>
            <w:rPr>
              <w:rFonts w:cs="Times New Roman"/>
            </w:rPr>
            <w:fldChar w:fldCharType="end"/>
          </w:r>
        </w:sdtContent>
      </w:sdt>
      <w:r>
        <w:rPr>
          <w:rFonts w:cs="Times New Roman"/>
        </w:rPr>
        <w:t xml:space="preserve"> que indica que el nitrógeno es el elemento más importante para el cultivo de maíz.</w:t>
      </w:r>
    </w:p>
    <w:p w14:paraId="2A0DF7ED" w14:textId="6CAAB9F7" w:rsidR="00715E8E" w:rsidRDefault="00715E8E" w:rsidP="009F4CC8">
      <w:pPr>
        <w:pStyle w:val="Ttulo3"/>
        <w:spacing w:before="360" w:after="360"/>
      </w:pPr>
      <w:bookmarkStart w:id="2287" w:name="_Toc80312376"/>
      <w:r>
        <w:t>A</w:t>
      </w:r>
      <w:r w:rsidR="001B6327">
        <w:t>b</w:t>
      </w:r>
      <w:r>
        <w:t>sorción de nitrógeno</w:t>
      </w:r>
      <w:r w:rsidR="00BC7320">
        <w:t xml:space="preserve"> </w:t>
      </w:r>
      <w:r w:rsidR="00BC7320">
        <w:rPr>
          <w:rFonts w:eastAsia="Times New Roman"/>
          <w:color w:val="000000"/>
          <w:lang w:eastAsia="es-EC"/>
        </w:rPr>
        <w:t>(</w:t>
      </w:r>
      <w:r w:rsidR="00BC7320">
        <w:t>Kg</w:t>
      </w:r>
      <w:r w:rsidR="00BC7320">
        <w:rPr>
          <w:rFonts w:eastAsia="Times New Roman"/>
          <w:color w:val="000000"/>
          <w:lang w:eastAsia="es-EC"/>
        </w:rPr>
        <w:t>/</w:t>
      </w:r>
      <w:r w:rsidR="00BC7320">
        <w:t>ha</w:t>
      </w:r>
      <w:r w:rsidR="00BC7320">
        <w:rPr>
          <w:vertAlign w:val="superscript"/>
        </w:rPr>
        <w:t>-1</w:t>
      </w:r>
      <w:r w:rsidR="00BC7320">
        <w:rPr>
          <w:rFonts w:eastAsia="Times New Roman"/>
          <w:color w:val="000000"/>
          <w:lang w:eastAsia="es-EC"/>
        </w:rPr>
        <w:t>)</w:t>
      </w:r>
      <w:bookmarkEnd w:id="2287"/>
    </w:p>
    <w:p w14:paraId="388AF74B" w14:textId="77777777" w:rsidR="009F4CC8" w:rsidRDefault="00715E8E" w:rsidP="009F4CC8">
      <w:pPr>
        <w:spacing w:before="360" w:after="360" w:line="360" w:lineRule="auto"/>
        <w:rPr>
          <w:rFonts w:eastAsia="Times New Roman" w:cs="Times New Roman"/>
          <w:szCs w:val="24"/>
          <w:lang w:eastAsia="es-MX"/>
        </w:rPr>
      </w:pPr>
      <w:r>
        <w:rPr>
          <w:rFonts w:cs="Times New Roman"/>
        </w:rPr>
        <w:t>El promedio general (consolidado) para la a</w:t>
      </w:r>
      <w:r w:rsidR="001B6327">
        <w:rPr>
          <w:rFonts w:cs="Times New Roman"/>
        </w:rPr>
        <w:t>b</w:t>
      </w:r>
      <w:r>
        <w:rPr>
          <w:rFonts w:cs="Times New Roman"/>
        </w:rPr>
        <w:t xml:space="preserve">sorción de este nutriente (nitrógeno) en este estudio fue de 124,06 kg/ha </w:t>
      </w:r>
      <w:r>
        <w:t xml:space="preserve">Según Agritotal sf </w:t>
      </w:r>
      <w:r w:rsidRPr="00BC7320">
        <w:rPr>
          <w:rFonts w:eastAsia="Times New Roman" w:cs="Times New Roman"/>
          <w:szCs w:val="24"/>
          <w:lang w:eastAsia="es-MX"/>
        </w:rPr>
        <w:t>el maíz requiere alrededor de 20 a 25 kg/ha de nitrógeno (N) por cada tonelada de grano producida.</w:t>
      </w:r>
      <w:r w:rsidRPr="000F1E43">
        <w:rPr>
          <w:rFonts w:eastAsia="Times New Roman" w:cs="Times New Roman"/>
          <w:szCs w:val="24"/>
          <w:lang w:eastAsia="es-MX"/>
        </w:rPr>
        <w:t xml:space="preserve"> Por ello, para producir por ejemplo 10 t/ha de grano, el cultivo debería disponer de alrededor de 200 a 250 kg de N/ha absorbidos por el cultivo. </w:t>
      </w:r>
      <w:r>
        <w:rPr>
          <w:rFonts w:eastAsia="Times New Roman" w:cs="Times New Roman"/>
          <w:szCs w:val="24"/>
          <w:lang w:eastAsia="es-MX"/>
        </w:rPr>
        <w:t xml:space="preserve">Tomando esta información, para producir las 4,29 toneladas obtenidas en promedio en el presente estudio, el maíz debió absorber entre 85.8 y 107.25 kg de N/ha El promedio encontrado en este estudio fue superior (124.06 kg de N/ha), que podría explicarse debido a que Agritotal se refiere a híbridos </w:t>
      </w:r>
      <w:r w:rsidR="002111F0">
        <w:rPr>
          <w:rFonts w:eastAsia="Times New Roman" w:cs="Times New Roman"/>
          <w:szCs w:val="24"/>
          <w:lang w:eastAsia="es-MX"/>
        </w:rPr>
        <w:t>evaluados</w:t>
      </w:r>
      <w:r>
        <w:rPr>
          <w:rFonts w:eastAsia="Times New Roman" w:cs="Times New Roman"/>
          <w:szCs w:val="24"/>
          <w:lang w:eastAsia="es-MX"/>
        </w:rPr>
        <w:t xml:space="preserve"> en ciclos de cultivo de 4 meses. En este experimento se evaluaron variedades y con ciclos de cultivo de 9 meses. Las condiciones ambientales seguramente fueron también diferentes.</w:t>
      </w:r>
      <w:bookmarkStart w:id="2288" w:name="_Toc79314409"/>
    </w:p>
    <w:p w14:paraId="7AB2372C" w14:textId="2FF28884" w:rsidR="00663DC6" w:rsidRPr="009F4CC8" w:rsidRDefault="00663DC6" w:rsidP="009F4CC8">
      <w:pPr>
        <w:spacing w:before="360" w:after="360" w:line="360" w:lineRule="auto"/>
        <w:rPr>
          <w:rFonts w:eastAsia="Times New Roman" w:cs="Times New Roman"/>
          <w:szCs w:val="24"/>
          <w:lang w:eastAsia="es-MX"/>
        </w:rPr>
      </w:pPr>
      <w:r w:rsidRPr="00663DC6">
        <w:rPr>
          <w:rFonts w:eastAsia="Times New Roman" w:cs="Times New Roman"/>
          <w:b/>
          <w:szCs w:val="24"/>
          <w:lang w:eastAsia="es-MX"/>
        </w:rPr>
        <w:lastRenderedPageBreak/>
        <w:t xml:space="preserve">Figura </w:t>
      </w:r>
      <w:r w:rsidRPr="00663DC6">
        <w:rPr>
          <w:rFonts w:eastAsia="Times New Roman" w:cs="Times New Roman"/>
          <w:b/>
          <w:i/>
          <w:iCs/>
          <w:szCs w:val="24"/>
          <w:lang w:eastAsia="es-MX"/>
        </w:rPr>
        <w:fldChar w:fldCharType="begin"/>
      </w:r>
      <w:r w:rsidRPr="00663DC6">
        <w:rPr>
          <w:rFonts w:eastAsia="Times New Roman" w:cs="Times New Roman"/>
          <w:b/>
          <w:szCs w:val="24"/>
          <w:lang w:eastAsia="es-MX"/>
        </w:rPr>
        <w:instrText xml:space="preserve"> SEQ Figura \* ARABIC </w:instrText>
      </w:r>
      <w:r w:rsidRPr="00663DC6">
        <w:rPr>
          <w:rFonts w:eastAsia="Times New Roman" w:cs="Times New Roman"/>
          <w:b/>
          <w:i/>
          <w:iCs/>
          <w:szCs w:val="24"/>
          <w:lang w:eastAsia="es-MX"/>
        </w:rPr>
        <w:fldChar w:fldCharType="separate"/>
      </w:r>
      <w:r w:rsidR="000D1F55">
        <w:rPr>
          <w:rFonts w:eastAsia="Times New Roman" w:cs="Times New Roman"/>
          <w:b/>
          <w:noProof/>
          <w:szCs w:val="24"/>
          <w:lang w:eastAsia="es-MX"/>
        </w:rPr>
        <w:t>3</w:t>
      </w:r>
      <w:r w:rsidRPr="00663DC6">
        <w:rPr>
          <w:rFonts w:eastAsia="Times New Roman" w:cs="Times New Roman"/>
          <w:b/>
          <w:i/>
          <w:iCs/>
          <w:szCs w:val="24"/>
          <w:lang w:eastAsia="es-MX"/>
        </w:rPr>
        <w:fldChar w:fldCharType="end"/>
      </w:r>
      <w:r w:rsidRPr="00663DC6">
        <w:rPr>
          <w:rFonts w:eastAsia="Times New Roman" w:cs="Times New Roman"/>
          <w:szCs w:val="24"/>
          <w:lang w:eastAsia="es-MX"/>
        </w:rPr>
        <w:t>. Promedio de absorción de nitrógeno en Kg ha-1 en el cultivo de maíz en las provincias de Bolívar, Chimborazo y de Imbabura obtenidas en 242 parcelas entre el 2006 al 2015.</w:t>
      </w:r>
      <w:bookmarkEnd w:id="2288"/>
    </w:p>
    <w:p w14:paraId="46C57317" w14:textId="77777777" w:rsidR="00715E8E" w:rsidRDefault="00715E8E" w:rsidP="00715E8E">
      <w:pPr>
        <w:jc w:val="center"/>
        <w:rPr>
          <w:lang w:val="es-ES"/>
        </w:rPr>
      </w:pPr>
      <w:r>
        <w:rPr>
          <w:noProof/>
          <w:lang w:eastAsia="es-EC"/>
        </w:rPr>
        <w:drawing>
          <wp:inline distT="0" distB="0" distL="0" distR="0" wp14:anchorId="34737382" wp14:editId="6290AA2E">
            <wp:extent cx="4125685" cy="2656114"/>
            <wp:effectExtent l="0" t="0" r="8255" b="11430"/>
            <wp:docPr id="74" name="Gráfico 74">
              <a:extLst xmlns:a="http://schemas.openxmlformats.org/drawingml/2006/main">
                <a:ext uri="{FF2B5EF4-FFF2-40B4-BE49-F238E27FC236}">
                  <a16:creationId xmlns:a16="http://schemas.microsoft.com/office/drawing/2014/main" id="{BCB11058-AD48-4707-9405-8251DE173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D140F68" w14:textId="6FDD4669" w:rsidR="00715E8E" w:rsidRDefault="00715E8E" w:rsidP="009F4CC8">
      <w:pPr>
        <w:pStyle w:val="Ttulo3"/>
        <w:spacing w:before="360" w:after="360"/>
      </w:pPr>
      <w:bookmarkStart w:id="2289" w:name="_Toc80312377"/>
      <w:r w:rsidRPr="006E53A2">
        <w:t>A</w:t>
      </w:r>
      <w:r w:rsidR="001B6327">
        <w:t>b</w:t>
      </w:r>
      <w:r w:rsidRPr="006E53A2">
        <w:t>sorción de fósforo</w:t>
      </w:r>
      <w:r w:rsidR="00BC7320">
        <w:t xml:space="preserve"> </w:t>
      </w:r>
      <w:r w:rsidR="00BC7320">
        <w:rPr>
          <w:rFonts w:eastAsia="Times New Roman"/>
          <w:color w:val="000000"/>
          <w:lang w:eastAsia="es-EC"/>
        </w:rPr>
        <w:t>(</w:t>
      </w:r>
      <w:r w:rsidR="00BC7320">
        <w:t>Kg</w:t>
      </w:r>
      <w:r w:rsidR="00BC7320">
        <w:rPr>
          <w:rFonts w:eastAsia="Times New Roman"/>
          <w:color w:val="000000"/>
          <w:lang w:eastAsia="es-EC"/>
        </w:rPr>
        <w:t>/</w:t>
      </w:r>
      <w:r w:rsidR="00BC7320">
        <w:t>ha</w:t>
      </w:r>
      <w:r w:rsidR="00BC7320">
        <w:rPr>
          <w:vertAlign w:val="superscript"/>
        </w:rPr>
        <w:t>-1</w:t>
      </w:r>
      <w:r w:rsidR="00BC7320">
        <w:rPr>
          <w:rFonts w:eastAsia="Times New Roman"/>
          <w:color w:val="000000"/>
          <w:lang w:eastAsia="es-EC"/>
        </w:rPr>
        <w:t>)</w:t>
      </w:r>
      <w:bookmarkEnd w:id="2289"/>
    </w:p>
    <w:p w14:paraId="059FF1E9" w14:textId="77777777" w:rsidR="00715E8E" w:rsidRDefault="00715E8E" w:rsidP="009F4CC8">
      <w:pPr>
        <w:spacing w:before="360" w:after="360" w:line="360" w:lineRule="auto"/>
        <w:rPr>
          <w:rFonts w:cs="Times New Roman"/>
        </w:rPr>
      </w:pPr>
      <w:r w:rsidRPr="00B21F7E">
        <w:rPr>
          <w:rFonts w:cs="Times New Roman"/>
        </w:rPr>
        <w:t>E</w:t>
      </w:r>
      <w:r>
        <w:rPr>
          <w:rFonts w:cs="Times New Roman"/>
        </w:rPr>
        <w:t>l</w:t>
      </w:r>
      <w:r w:rsidRPr="00B21F7E">
        <w:rPr>
          <w:rFonts w:cs="Times New Roman"/>
        </w:rPr>
        <w:t xml:space="preserve"> estudio realizado</w:t>
      </w:r>
      <w:r w:rsidRPr="004315F8">
        <w:rPr>
          <w:rFonts w:cs="Times New Roman"/>
        </w:rPr>
        <w:t xml:space="preserve">, </w:t>
      </w:r>
      <w:r>
        <w:rPr>
          <w:rFonts w:cs="Times New Roman"/>
        </w:rPr>
        <w:t xml:space="preserve">en </w:t>
      </w:r>
      <w:r w:rsidRPr="004315F8">
        <w:rPr>
          <w:rFonts w:cs="Times New Roman"/>
        </w:rPr>
        <w:t xml:space="preserve">promedio </w:t>
      </w:r>
      <w:r w:rsidRPr="00B21F7E">
        <w:rPr>
          <w:rFonts w:cs="Times New Roman"/>
        </w:rPr>
        <w:t xml:space="preserve">para la absorción de </w:t>
      </w:r>
      <w:r>
        <w:rPr>
          <w:rFonts w:cs="Times New Roman"/>
        </w:rPr>
        <w:t>fosforo</w:t>
      </w:r>
      <w:r w:rsidRPr="004315F8">
        <w:rPr>
          <w:rFonts w:cs="Times New Roman"/>
        </w:rPr>
        <w:t xml:space="preserve"> </w:t>
      </w:r>
      <w:r>
        <w:rPr>
          <w:rFonts w:cs="Times New Roman"/>
        </w:rPr>
        <w:t xml:space="preserve">se obtuvo </w:t>
      </w:r>
      <w:r w:rsidRPr="00B21F7E">
        <w:rPr>
          <w:rFonts w:cs="Times New Roman"/>
        </w:rPr>
        <w:t>26.38 Kg ha</w:t>
      </w:r>
      <w:r w:rsidRPr="008576F8">
        <w:rPr>
          <w:rFonts w:cs="Times New Roman"/>
          <w:vertAlign w:val="superscript"/>
        </w:rPr>
        <w:t>-1</w:t>
      </w:r>
      <w:r w:rsidRPr="00B21F7E">
        <w:rPr>
          <w:rFonts w:cs="Times New Roman"/>
        </w:rPr>
        <w:t xml:space="preserve"> con un error estándar de 4.08</w:t>
      </w:r>
      <w:r>
        <w:rPr>
          <w:rFonts w:cs="Times New Roman"/>
        </w:rPr>
        <w:t>,</w:t>
      </w:r>
      <w:r w:rsidRPr="00B21F7E">
        <w:rPr>
          <w:rFonts w:cs="Times New Roman"/>
        </w:rPr>
        <w:t xml:space="preserve"> </w:t>
      </w:r>
      <w:r>
        <w:rPr>
          <w:rFonts w:cs="Times New Roman"/>
        </w:rPr>
        <w:t xml:space="preserve">y con </w:t>
      </w:r>
      <w:r w:rsidRPr="00B21F7E">
        <w:rPr>
          <w:rFonts w:cs="Times New Roman"/>
        </w:rPr>
        <w:t>un rendimiento de 4.29 t</w:t>
      </w:r>
      <w:r>
        <w:rPr>
          <w:rFonts w:cs="Times New Roman"/>
        </w:rPr>
        <w:t xml:space="preserve"> </w:t>
      </w:r>
      <w:r w:rsidRPr="00B21F7E">
        <w:rPr>
          <w:rFonts w:cs="Times New Roman"/>
        </w:rPr>
        <w:t>ha</w:t>
      </w:r>
      <w:r w:rsidRPr="00B21F7E">
        <w:rPr>
          <w:rFonts w:cs="Times New Roman"/>
          <w:vertAlign w:val="superscript"/>
        </w:rPr>
        <w:t>-1.</w:t>
      </w:r>
    </w:p>
    <w:p w14:paraId="2B0D20FF" w14:textId="1FDA170F" w:rsidR="009F4CC8" w:rsidRDefault="00715E8E" w:rsidP="009F4CC8">
      <w:pPr>
        <w:spacing w:line="360" w:lineRule="auto"/>
        <w:rPr>
          <w:rFonts w:cs="Times New Roman"/>
        </w:rPr>
      </w:pPr>
      <w:r>
        <w:rPr>
          <w:rFonts w:cs="Times New Roman"/>
        </w:rPr>
        <w:t>Según</w:t>
      </w:r>
      <w:r w:rsidRPr="00B21F7E">
        <w:rPr>
          <w:rFonts w:cs="Times New Roman"/>
        </w:rPr>
        <w:t xml:space="preserve"> </w:t>
      </w:r>
      <w:r w:rsidRPr="002B0C18">
        <w:rPr>
          <w:rFonts w:cs="Times New Roman"/>
        </w:rPr>
        <w:t>determin</w:t>
      </w:r>
      <w:r>
        <w:rPr>
          <w:rFonts w:cs="Times New Roman"/>
        </w:rPr>
        <w:t>ó</w:t>
      </w:r>
      <w:r w:rsidRPr="00B21F7E">
        <w:rPr>
          <w:rFonts w:cs="Times New Roman"/>
        </w:rPr>
        <w:t xml:space="preserve"> Alvarado </w:t>
      </w:r>
      <w:r>
        <w:rPr>
          <w:rFonts w:cs="Times New Roman"/>
        </w:rPr>
        <w:t>en el</w:t>
      </w:r>
      <w:r w:rsidRPr="00B21F7E">
        <w:rPr>
          <w:rFonts w:cs="Times New Roman"/>
        </w:rPr>
        <w:t xml:space="preserve"> 2011</w:t>
      </w:r>
      <w:r>
        <w:rPr>
          <w:rFonts w:cs="Times New Roman"/>
        </w:rPr>
        <w:t xml:space="preserve">, la </w:t>
      </w:r>
      <w:r w:rsidRPr="00B21F7E">
        <w:rPr>
          <w:rFonts w:cs="Times New Roman"/>
        </w:rPr>
        <w:t xml:space="preserve">absorción de nutrientes bajo un manejo del agricultor es de 15.8 </w:t>
      </w:r>
      <w:r>
        <w:rPr>
          <w:rFonts w:cs="Times New Roman"/>
        </w:rPr>
        <w:t xml:space="preserve">kg </w:t>
      </w:r>
      <w:r w:rsidRPr="00B21F7E">
        <w:rPr>
          <w:rFonts w:cs="Times New Roman"/>
        </w:rPr>
        <w:t>ha</w:t>
      </w:r>
      <w:r w:rsidRPr="008576F8">
        <w:rPr>
          <w:rFonts w:cs="Times New Roman"/>
          <w:vertAlign w:val="superscript"/>
        </w:rPr>
        <w:t>-1</w:t>
      </w:r>
      <w:r w:rsidRPr="00B21F7E">
        <w:rPr>
          <w:rFonts w:cs="Times New Roman"/>
        </w:rPr>
        <w:t xml:space="preserve">, mientras con la </w:t>
      </w:r>
      <w:r w:rsidRPr="002B0C18">
        <w:rPr>
          <w:rFonts w:cs="Times New Roman"/>
        </w:rPr>
        <w:t>fertilización</w:t>
      </w:r>
      <w:r w:rsidRPr="00B21F7E">
        <w:rPr>
          <w:rFonts w:cs="Times New Roman"/>
        </w:rPr>
        <w:t xml:space="preserve"> completa la absorción de </w:t>
      </w:r>
      <w:r>
        <w:rPr>
          <w:rFonts w:cs="Times New Roman"/>
        </w:rPr>
        <w:t>fosforo</w:t>
      </w:r>
      <w:r w:rsidRPr="00B21F7E">
        <w:rPr>
          <w:rFonts w:cs="Times New Roman"/>
        </w:rPr>
        <w:t xml:space="preserve"> fue de 24.6 </w:t>
      </w:r>
      <w:r>
        <w:rPr>
          <w:rFonts w:cs="Times New Roman"/>
        </w:rPr>
        <w:t xml:space="preserve">kg </w:t>
      </w:r>
      <w:r w:rsidRPr="00B21F7E">
        <w:rPr>
          <w:rFonts w:cs="Times New Roman"/>
        </w:rPr>
        <w:t>ha</w:t>
      </w:r>
      <w:r w:rsidRPr="008576F8">
        <w:rPr>
          <w:rFonts w:cs="Times New Roman"/>
          <w:vertAlign w:val="superscript"/>
        </w:rPr>
        <w:t>-1</w:t>
      </w:r>
      <w:r>
        <w:rPr>
          <w:rFonts w:cs="Times New Roman"/>
        </w:rPr>
        <w:t xml:space="preserve">y un rendimiento de 5.5 </w:t>
      </w:r>
      <w:r w:rsidRPr="00B21F7E">
        <w:rPr>
          <w:rFonts w:cs="Times New Roman"/>
        </w:rPr>
        <w:t>t</w:t>
      </w:r>
      <w:r>
        <w:rPr>
          <w:rFonts w:cs="Times New Roman"/>
        </w:rPr>
        <w:t xml:space="preserve"> </w:t>
      </w:r>
      <w:r w:rsidRPr="00B21F7E">
        <w:rPr>
          <w:rFonts w:cs="Times New Roman"/>
        </w:rPr>
        <w:t>ha</w:t>
      </w:r>
      <w:r w:rsidRPr="00B21F7E">
        <w:rPr>
          <w:rFonts w:cs="Times New Roman"/>
          <w:vertAlign w:val="superscript"/>
        </w:rPr>
        <w:t>-1.</w:t>
      </w:r>
      <w:r>
        <w:rPr>
          <w:rFonts w:cs="Times New Roman"/>
        </w:rPr>
        <w:t xml:space="preserve"> </w:t>
      </w:r>
      <w:r w:rsidR="001B6327">
        <w:rPr>
          <w:rFonts w:cs="Times New Roman"/>
        </w:rPr>
        <w:t>L</w:t>
      </w:r>
      <w:r w:rsidR="001B6327" w:rsidRPr="00B21F7E">
        <w:rPr>
          <w:rFonts w:cs="Times New Roman"/>
        </w:rPr>
        <w:t>os resultados de</w:t>
      </w:r>
      <w:r w:rsidR="001B6327">
        <w:rPr>
          <w:rFonts w:cs="Times New Roman"/>
        </w:rPr>
        <w:t xml:space="preserve">l </w:t>
      </w:r>
      <w:r w:rsidR="001B6327" w:rsidRPr="002B0C18">
        <w:rPr>
          <w:rFonts w:cs="Times New Roman"/>
        </w:rPr>
        <w:t>experimento</w:t>
      </w:r>
      <w:r w:rsidR="001B6327" w:rsidRPr="00B21F7E">
        <w:rPr>
          <w:rFonts w:cs="Times New Roman"/>
        </w:rPr>
        <w:t xml:space="preserve"> ejecutado </w:t>
      </w:r>
      <w:r w:rsidR="001B6327">
        <w:rPr>
          <w:rFonts w:cs="Times New Roman"/>
        </w:rPr>
        <w:t>tienen</w:t>
      </w:r>
      <w:r>
        <w:rPr>
          <w:rFonts w:cs="Times New Roman"/>
        </w:rPr>
        <w:t xml:space="preserve"> una semejanza</w:t>
      </w:r>
      <w:r w:rsidRPr="00B21F7E">
        <w:rPr>
          <w:rFonts w:cs="Times New Roman"/>
        </w:rPr>
        <w:t xml:space="preserve"> los datos </w:t>
      </w:r>
      <w:r>
        <w:rPr>
          <w:rFonts w:cs="Times New Roman"/>
        </w:rPr>
        <w:t>citados por</w:t>
      </w:r>
      <w:r w:rsidRPr="00B21F7E">
        <w:rPr>
          <w:rFonts w:cs="Times New Roman"/>
        </w:rPr>
        <w:t xml:space="preserve"> Alvarado </w:t>
      </w:r>
      <w:r>
        <w:rPr>
          <w:rFonts w:cs="Times New Roman"/>
        </w:rPr>
        <w:t>en el</w:t>
      </w:r>
      <w:r w:rsidRPr="00B21F7E">
        <w:rPr>
          <w:rFonts w:cs="Times New Roman"/>
        </w:rPr>
        <w:t xml:space="preserve"> 2011</w:t>
      </w:r>
      <w:r>
        <w:rPr>
          <w:rFonts w:cs="Times New Roman"/>
        </w:rPr>
        <w:t>,</w:t>
      </w:r>
      <w:r w:rsidRPr="00B21F7E">
        <w:rPr>
          <w:rFonts w:cs="Times New Roman"/>
        </w:rPr>
        <w:t xml:space="preserve"> </w:t>
      </w:r>
      <w:r>
        <w:rPr>
          <w:rFonts w:cs="Times New Roman"/>
        </w:rPr>
        <w:t xml:space="preserve">con una </w:t>
      </w:r>
      <w:r w:rsidRPr="002B0C18">
        <w:rPr>
          <w:rFonts w:cs="Times New Roman"/>
        </w:rPr>
        <w:t>mínima</w:t>
      </w:r>
      <w:r>
        <w:rPr>
          <w:rFonts w:cs="Times New Roman"/>
        </w:rPr>
        <w:t xml:space="preserve"> </w:t>
      </w:r>
      <w:r w:rsidRPr="00B21F7E">
        <w:rPr>
          <w:rFonts w:cs="Times New Roman"/>
        </w:rPr>
        <w:t>diferencia</w:t>
      </w:r>
      <w:r>
        <w:rPr>
          <w:rFonts w:cs="Times New Roman"/>
        </w:rPr>
        <w:t xml:space="preserve">, que posiblemente se debe a las </w:t>
      </w:r>
      <w:r w:rsidRPr="00B21F7E">
        <w:rPr>
          <w:rFonts w:cs="Times New Roman"/>
        </w:rPr>
        <w:t>variaciones del cambio climático y desequilibrio nutricional que existe en los suelos d</w:t>
      </w:r>
      <w:r w:rsidR="001B6327">
        <w:rPr>
          <w:rFonts w:cs="Times New Roman"/>
        </w:rPr>
        <w:t>e</w:t>
      </w:r>
      <w:r w:rsidRPr="00B21F7E">
        <w:rPr>
          <w:rFonts w:cs="Times New Roman"/>
        </w:rPr>
        <w:t xml:space="preserve"> cada provincia en estudio</w:t>
      </w:r>
      <w:bookmarkStart w:id="2290" w:name="_Toc79314410"/>
      <w:r w:rsidR="002339A2">
        <w:rPr>
          <w:rFonts w:cs="Times New Roman"/>
        </w:rPr>
        <w:t>.</w:t>
      </w:r>
    </w:p>
    <w:p w14:paraId="14F85468" w14:textId="77777777" w:rsidR="00F06D1D" w:rsidRDefault="00F06D1D" w:rsidP="009F4CC8">
      <w:pPr>
        <w:spacing w:line="360" w:lineRule="auto"/>
        <w:rPr>
          <w:rFonts w:cs="Times New Roman"/>
          <w:b/>
        </w:rPr>
      </w:pPr>
    </w:p>
    <w:p w14:paraId="2441BFD6" w14:textId="77777777" w:rsidR="00F06D1D" w:rsidRDefault="00F06D1D" w:rsidP="009F4CC8">
      <w:pPr>
        <w:spacing w:line="360" w:lineRule="auto"/>
        <w:rPr>
          <w:rFonts w:cs="Times New Roman"/>
          <w:b/>
        </w:rPr>
      </w:pPr>
    </w:p>
    <w:p w14:paraId="722E6997" w14:textId="484BBAC7" w:rsidR="00663DC6" w:rsidRPr="009F4CC8" w:rsidRDefault="00663DC6" w:rsidP="009F4CC8">
      <w:pPr>
        <w:spacing w:line="360" w:lineRule="auto"/>
        <w:rPr>
          <w:rFonts w:cs="Times New Roman"/>
        </w:rPr>
      </w:pPr>
      <w:r w:rsidRPr="00663DC6">
        <w:rPr>
          <w:rFonts w:cs="Times New Roman"/>
          <w:b/>
        </w:rPr>
        <w:lastRenderedPageBreak/>
        <w:t xml:space="preserve">Figura </w:t>
      </w:r>
      <w:r w:rsidRPr="00663DC6">
        <w:rPr>
          <w:rFonts w:cs="Times New Roman"/>
          <w:b/>
          <w:i/>
          <w:iCs/>
        </w:rPr>
        <w:fldChar w:fldCharType="begin"/>
      </w:r>
      <w:r w:rsidRPr="00663DC6">
        <w:rPr>
          <w:rFonts w:cs="Times New Roman"/>
          <w:b/>
        </w:rPr>
        <w:instrText xml:space="preserve"> SEQ Figura \* ARABIC </w:instrText>
      </w:r>
      <w:r w:rsidRPr="00663DC6">
        <w:rPr>
          <w:rFonts w:cs="Times New Roman"/>
          <w:b/>
          <w:i/>
          <w:iCs/>
        </w:rPr>
        <w:fldChar w:fldCharType="separate"/>
      </w:r>
      <w:r w:rsidR="000D1F55">
        <w:rPr>
          <w:rFonts w:cs="Times New Roman"/>
          <w:b/>
          <w:noProof/>
        </w:rPr>
        <w:t>4</w:t>
      </w:r>
      <w:r w:rsidRPr="00663DC6">
        <w:rPr>
          <w:rFonts w:cs="Times New Roman"/>
          <w:b/>
          <w:i/>
          <w:iCs/>
        </w:rPr>
        <w:fldChar w:fldCharType="end"/>
      </w:r>
      <w:r w:rsidRPr="00663DC6">
        <w:rPr>
          <w:rFonts w:cs="Times New Roman"/>
          <w:b/>
        </w:rPr>
        <w:t>.</w:t>
      </w:r>
      <w:r w:rsidRPr="00663DC6">
        <w:rPr>
          <w:rFonts w:cs="Times New Roman"/>
        </w:rPr>
        <w:t xml:space="preserve"> Promedio de la absorción de fosforo en el cultivo de maíz en kg ha-1 en las provincias de Bolívar, Chimborazo y de Imbabura obtenidas en 242 ensayos entre el 2006 al 2015.</w:t>
      </w:r>
      <w:bookmarkEnd w:id="2290"/>
    </w:p>
    <w:p w14:paraId="62E23AFC" w14:textId="77777777" w:rsidR="00715E8E" w:rsidRDefault="00715E8E" w:rsidP="00715E8E">
      <w:pPr>
        <w:spacing w:after="0" w:line="360" w:lineRule="auto"/>
        <w:jc w:val="center"/>
        <w:rPr>
          <w:rFonts w:cs="Times New Roman"/>
        </w:rPr>
      </w:pPr>
      <w:r>
        <w:rPr>
          <w:noProof/>
          <w:lang w:eastAsia="es-EC"/>
        </w:rPr>
        <w:drawing>
          <wp:inline distT="0" distB="0" distL="0" distR="0" wp14:anchorId="765AF37D" wp14:editId="6C5ABEDB">
            <wp:extent cx="4430486" cy="2579914"/>
            <wp:effectExtent l="0" t="0" r="8255" b="11430"/>
            <wp:docPr id="78" name="Gráfico 78">
              <a:extLst xmlns:a="http://schemas.openxmlformats.org/drawingml/2006/main">
                <a:ext uri="{FF2B5EF4-FFF2-40B4-BE49-F238E27FC236}">
                  <a16:creationId xmlns:a16="http://schemas.microsoft.com/office/drawing/2014/main" id="{3AE156C3-398B-4427-B054-ADC411DF1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E1BBC30" w14:textId="5F907013" w:rsidR="00715E8E" w:rsidRDefault="00715E8E" w:rsidP="009F4CC8">
      <w:pPr>
        <w:pStyle w:val="Ttulo3"/>
        <w:spacing w:before="360" w:after="360"/>
      </w:pPr>
      <w:bookmarkStart w:id="2291" w:name="_Toc80312378"/>
      <w:r>
        <w:t>A</w:t>
      </w:r>
      <w:r w:rsidR="001B6327">
        <w:t>b</w:t>
      </w:r>
      <w:r>
        <w:t>sorción de potasio</w:t>
      </w:r>
      <w:r w:rsidR="00BC7320">
        <w:t xml:space="preserve"> </w:t>
      </w:r>
      <w:r w:rsidR="00BC7320">
        <w:rPr>
          <w:rFonts w:eastAsia="Times New Roman"/>
          <w:color w:val="000000"/>
          <w:lang w:eastAsia="es-EC"/>
        </w:rPr>
        <w:t>(</w:t>
      </w:r>
      <w:r w:rsidR="00BC7320">
        <w:t>Kg</w:t>
      </w:r>
      <w:r w:rsidR="00BC7320">
        <w:rPr>
          <w:rFonts w:eastAsia="Times New Roman"/>
          <w:color w:val="000000"/>
          <w:lang w:eastAsia="es-EC"/>
        </w:rPr>
        <w:t>/</w:t>
      </w:r>
      <w:r w:rsidR="00BC7320">
        <w:t>ha</w:t>
      </w:r>
      <w:r w:rsidR="00BC7320">
        <w:rPr>
          <w:vertAlign w:val="superscript"/>
        </w:rPr>
        <w:t>-1</w:t>
      </w:r>
      <w:r w:rsidR="00BC7320">
        <w:rPr>
          <w:rFonts w:eastAsia="Times New Roman"/>
          <w:color w:val="000000"/>
          <w:lang w:eastAsia="es-EC"/>
        </w:rPr>
        <w:t>)</w:t>
      </w:r>
      <w:bookmarkEnd w:id="2291"/>
    </w:p>
    <w:p w14:paraId="390F61EB" w14:textId="77777777" w:rsidR="00715E8E" w:rsidRDefault="00715E8E" w:rsidP="009F4CC8">
      <w:pPr>
        <w:spacing w:before="360" w:after="360" w:line="360" w:lineRule="auto"/>
        <w:rPr>
          <w:rFonts w:cs="Times New Roman"/>
        </w:rPr>
      </w:pPr>
      <w:r w:rsidRPr="00B21F7E">
        <w:rPr>
          <w:rFonts w:cs="Times New Roman"/>
        </w:rPr>
        <w:t>E</w:t>
      </w:r>
      <w:r>
        <w:rPr>
          <w:rFonts w:cs="Times New Roman"/>
        </w:rPr>
        <w:t>l</w:t>
      </w:r>
      <w:r w:rsidRPr="00B21F7E">
        <w:rPr>
          <w:rFonts w:cs="Times New Roman"/>
        </w:rPr>
        <w:t xml:space="preserve"> estudio realizado para la absorción de </w:t>
      </w:r>
      <w:r w:rsidRPr="004315F8">
        <w:rPr>
          <w:rFonts w:cs="Times New Roman"/>
        </w:rPr>
        <w:t xml:space="preserve">potasio, como promedio general </w:t>
      </w:r>
      <w:r>
        <w:rPr>
          <w:rFonts w:cs="Times New Roman"/>
        </w:rPr>
        <w:t>se obtiene 115.31</w:t>
      </w:r>
      <w:r w:rsidRPr="00B21F7E">
        <w:rPr>
          <w:rFonts w:cs="Times New Roman"/>
        </w:rPr>
        <w:t xml:space="preserve"> Kg ha</w:t>
      </w:r>
      <w:r w:rsidRPr="008576F8">
        <w:rPr>
          <w:rFonts w:cs="Times New Roman"/>
          <w:vertAlign w:val="superscript"/>
        </w:rPr>
        <w:t>-1</w:t>
      </w:r>
      <w:r w:rsidRPr="00B21F7E">
        <w:rPr>
          <w:rFonts w:cs="Times New Roman"/>
        </w:rPr>
        <w:t xml:space="preserve"> con un error estándar de </w:t>
      </w:r>
      <w:r>
        <w:rPr>
          <w:rFonts w:cs="Times New Roman"/>
        </w:rPr>
        <w:t>17.68,</w:t>
      </w:r>
      <w:r w:rsidRPr="00B21F7E">
        <w:rPr>
          <w:rFonts w:cs="Times New Roman"/>
        </w:rPr>
        <w:t xml:space="preserve"> un rendimiento de 4.29 t</w:t>
      </w:r>
      <w:r>
        <w:rPr>
          <w:rFonts w:cs="Times New Roman"/>
        </w:rPr>
        <w:t xml:space="preserve"> </w:t>
      </w:r>
      <w:r w:rsidRPr="00B21F7E">
        <w:rPr>
          <w:rFonts w:cs="Times New Roman"/>
        </w:rPr>
        <w:t>ha</w:t>
      </w:r>
      <w:r w:rsidRPr="00B21F7E">
        <w:rPr>
          <w:rFonts w:cs="Times New Roman"/>
          <w:vertAlign w:val="superscript"/>
        </w:rPr>
        <w:t>-1.</w:t>
      </w:r>
    </w:p>
    <w:p w14:paraId="1E2C3E2E" w14:textId="77777777" w:rsidR="00715E8E" w:rsidRDefault="00715E8E" w:rsidP="009F4CC8">
      <w:pPr>
        <w:spacing w:before="360" w:after="360" w:line="360" w:lineRule="auto"/>
        <w:rPr>
          <w:rFonts w:cs="Times New Roman"/>
        </w:rPr>
      </w:pPr>
      <w:r>
        <w:rPr>
          <w:rFonts w:cs="Times New Roman"/>
        </w:rPr>
        <w:t>Según</w:t>
      </w:r>
      <w:r w:rsidRPr="00B21F7E">
        <w:rPr>
          <w:rFonts w:cs="Times New Roman"/>
        </w:rPr>
        <w:t xml:space="preserve"> </w:t>
      </w:r>
      <w:r w:rsidRPr="002B0C18">
        <w:rPr>
          <w:rFonts w:cs="Times New Roman"/>
        </w:rPr>
        <w:t>determin</w:t>
      </w:r>
      <w:r>
        <w:rPr>
          <w:rFonts w:cs="Times New Roman"/>
        </w:rPr>
        <w:t>ó</w:t>
      </w:r>
      <w:r w:rsidRPr="00B21F7E">
        <w:rPr>
          <w:rFonts w:cs="Times New Roman"/>
        </w:rPr>
        <w:t xml:space="preserve"> Alvarado </w:t>
      </w:r>
      <w:r>
        <w:rPr>
          <w:rFonts w:cs="Times New Roman"/>
        </w:rPr>
        <w:t>en el</w:t>
      </w:r>
      <w:r w:rsidRPr="00B21F7E">
        <w:rPr>
          <w:rFonts w:cs="Times New Roman"/>
        </w:rPr>
        <w:t xml:space="preserve"> 2011</w:t>
      </w:r>
      <w:r>
        <w:rPr>
          <w:rFonts w:cs="Times New Roman"/>
        </w:rPr>
        <w:t xml:space="preserve">, la </w:t>
      </w:r>
      <w:r w:rsidRPr="00B21F7E">
        <w:rPr>
          <w:rFonts w:cs="Times New Roman"/>
        </w:rPr>
        <w:t xml:space="preserve">absorción de nutrientes bajo un manejo del agricultor es de </w:t>
      </w:r>
      <w:r>
        <w:rPr>
          <w:rFonts w:cs="Times New Roman"/>
        </w:rPr>
        <w:t xml:space="preserve">67.4 </w:t>
      </w:r>
      <w:r w:rsidRPr="00B21F7E">
        <w:rPr>
          <w:rFonts w:cs="Times New Roman"/>
        </w:rPr>
        <w:t>Kg ha</w:t>
      </w:r>
      <w:r w:rsidRPr="008576F8">
        <w:rPr>
          <w:rFonts w:cs="Times New Roman"/>
          <w:vertAlign w:val="superscript"/>
        </w:rPr>
        <w:t>-</w:t>
      </w:r>
      <w:r w:rsidRPr="00B21F7E">
        <w:rPr>
          <w:rFonts w:cs="Times New Roman"/>
        </w:rPr>
        <w:t xml:space="preserve"> mientras con la </w:t>
      </w:r>
      <w:r w:rsidRPr="002B0C18">
        <w:rPr>
          <w:rFonts w:cs="Times New Roman"/>
        </w:rPr>
        <w:t>fertilización</w:t>
      </w:r>
      <w:r w:rsidRPr="00B21F7E">
        <w:rPr>
          <w:rFonts w:cs="Times New Roman"/>
        </w:rPr>
        <w:t xml:space="preserve"> completa la absorción de </w:t>
      </w:r>
      <w:r w:rsidRPr="004315F8">
        <w:rPr>
          <w:rFonts w:cs="Times New Roman"/>
        </w:rPr>
        <w:t>potasio</w:t>
      </w:r>
      <w:r w:rsidRPr="00B21F7E">
        <w:rPr>
          <w:rFonts w:cs="Times New Roman"/>
        </w:rPr>
        <w:t xml:space="preserve"> fue de </w:t>
      </w:r>
      <w:r>
        <w:rPr>
          <w:rFonts w:cs="Times New Roman"/>
        </w:rPr>
        <w:t>149</w:t>
      </w:r>
      <w:r w:rsidRPr="00B21F7E">
        <w:rPr>
          <w:rFonts w:cs="Times New Roman"/>
        </w:rPr>
        <w:t xml:space="preserve"> Kg ha</w:t>
      </w:r>
      <w:r>
        <w:rPr>
          <w:rFonts w:cs="Times New Roman"/>
        </w:rPr>
        <w:t>-</w:t>
      </w:r>
      <w:r w:rsidRPr="008576F8">
        <w:rPr>
          <w:rFonts w:cs="Times New Roman"/>
          <w:vertAlign w:val="superscript"/>
        </w:rPr>
        <w:t xml:space="preserve">1 </w:t>
      </w:r>
      <w:r>
        <w:rPr>
          <w:rFonts w:cs="Times New Roman"/>
        </w:rPr>
        <w:t xml:space="preserve">en un rendimiento de 5.5 </w:t>
      </w:r>
      <w:r w:rsidRPr="00B21F7E">
        <w:rPr>
          <w:rFonts w:cs="Times New Roman"/>
        </w:rPr>
        <w:t>t</w:t>
      </w:r>
      <w:r>
        <w:rPr>
          <w:rFonts w:cs="Times New Roman"/>
        </w:rPr>
        <w:t xml:space="preserve"> </w:t>
      </w:r>
      <w:r w:rsidRPr="00B21F7E">
        <w:rPr>
          <w:rFonts w:cs="Times New Roman"/>
        </w:rPr>
        <w:t>ha</w:t>
      </w:r>
      <w:r w:rsidRPr="00B21F7E">
        <w:rPr>
          <w:rFonts w:cs="Times New Roman"/>
          <w:vertAlign w:val="superscript"/>
        </w:rPr>
        <w:t>-1</w:t>
      </w:r>
      <w:r>
        <w:rPr>
          <w:rFonts w:cs="Times New Roman"/>
        </w:rPr>
        <w:t>. L</w:t>
      </w:r>
      <w:r w:rsidRPr="00B21F7E">
        <w:rPr>
          <w:rFonts w:cs="Times New Roman"/>
        </w:rPr>
        <w:t xml:space="preserve">os datos </w:t>
      </w:r>
      <w:r>
        <w:rPr>
          <w:rFonts w:cs="Times New Roman"/>
        </w:rPr>
        <w:t>citados por</w:t>
      </w:r>
      <w:r w:rsidRPr="00B21F7E">
        <w:rPr>
          <w:rFonts w:cs="Times New Roman"/>
        </w:rPr>
        <w:t xml:space="preserve"> Alvarado </w:t>
      </w:r>
      <w:r>
        <w:rPr>
          <w:rFonts w:cs="Times New Roman"/>
        </w:rPr>
        <w:t>en el</w:t>
      </w:r>
      <w:r w:rsidRPr="00B21F7E">
        <w:rPr>
          <w:rFonts w:cs="Times New Roman"/>
        </w:rPr>
        <w:t xml:space="preserve"> 2011</w:t>
      </w:r>
      <w:r>
        <w:rPr>
          <w:rFonts w:cs="Times New Roman"/>
        </w:rPr>
        <w:t xml:space="preserve"> tienen una </w:t>
      </w:r>
      <w:r w:rsidRPr="002B0C18">
        <w:rPr>
          <w:rFonts w:cs="Times New Roman"/>
        </w:rPr>
        <w:t>mínima</w:t>
      </w:r>
      <w:r>
        <w:rPr>
          <w:rFonts w:cs="Times New Roman"/>
        </w:rPr>
        <w:t xml:space="preserve"> </w:t>
      </w:r>
      <w:r w:rsidRPr="00B21F7E">
        <w:rPr>
          <w:rFonts w:cs="Times New Roman"/>
        </w:rPr>
        <w:t>diferencia</w:t>
      </w:r>
      <w:r>
        <w:rPr>
          <w:rFonts w:cs="Times New Roman"/>
        </w:rPr>
        <w:t xml:space="preserve"> con los reportados en este estudio. Esto posiblemente se debió a </w:t>
      </w:r>
      <w:r w:rsidRPr="00B21F7E">
        <w:rPr>
          <w:rFonts w:cs="Times New Roman"/>
        </w:rPr>
        <w:t xml:space="preserve">variaciones del cambio climático y </w:t>
      </w:r>
      <w:r>
        <w:rPr>
          <w:rFonts w:cs="Times New Roman"/>
        </w:rPr>
        <w:t xml:space="preserve">diferencias </w:t>
      </w:r>
      <w:r w:rsidRPr="00B21F7E">
        <w:rPr>
          <w:rFonts w:cs="Times New Roman"/>
        </w:rPr>
        <w:t>nutricional</w:t>
      </w:r>
      <w:r>
        <w:rPr>
          <w:rFonts w:cs="Times New Roman"/>
        </w:rPr>
        <w:t>es</w:t>
      </w:r>
      <w:r w:rsidRPr="00B21F7E">
        <w:rPr>
          <w:rFonts w:cs="Times New Roman"/>
        </w:rPr>
        <w:t xml:space="preserve"> que existe en los suelos de cada provincia en estudio</w:t>
      </w:r>
      <w:r>
        <w:rPr>
          <w:rFonts w:cs="Times New Roman"/>
        </w:rPr>
        <w:t>.</w:t>
      </w:r>
    </w:p>
    <w:p w14:paraId="3E11BA71" w14:textId="0FDF1CFA" w:rsidR="00663DC6" w:rsidRPr="00663DC6" w:rsidRDefault="00663DC6" w:rsidP="009F4CC8">
      <w:pPr>
        <w:pStyle w:val="Descripcin"/>
        <w:keepNext/>
        <w:spacing w:before="360" w:after="360"/>
        <w:rPr>
          <w:rFonts w:cs="Times New Roman"/>
          <w:i w:val="0"/>
          <w:iCs w:val="0"/>
          <w:color w:val="auto"/>
          <w:sz w:val="24"/>
          <w:szCs w:val="22"/>
          <w:lang w:eastAsia="en-US"/>
        </w:rPr>
      </w:pPr>
      <w:bookmarkStart w:id="2292" w:name="_Toc79314411"/>
      <w:r w:rsidRPr="00663DC6">
        <w:rPr>
          <w:rFonts w:cs="Times New Roman"/>
          <w:b/>
          <w:i w:val="0"/>
          <w:iCs w:val="0"/>
          <w:color w:val="auto"/>
          <w:sz w:val="24"/>
          <w:szCs w:val="22"/>
          <w:lang w:eastAsia="en-US"/>
        </w:rPr>
        <w:lastRenderedPageBreak/>
        <w:t xml:space="preserve">Figura </w:t>
      </w:r>
      <w:r w:rsidRPr="00663DC6">
        <w:rPr>
          <w:rFonts w:cs="Times New Roman"/>
          <w:b/>
          <w:i w:val="0"/>
          <w:iCs w:val="0"/>
          <w:color w:val="auto"/>
          <w:sz w:val="24"/>
          <w:szCs w:val="22"/>
          <w:lang w:eastAsia="en-US"/>
        </w:rPr>
        <w:fldChar w:fldCharType="begin"/>
      </w:r>
      <w:r w:rsidRPr="00663DC6">
        <w:rPr>
          <w:rFonts w:cs="Times New Roman"/>
          <w:b/>
          <w:i w:val="0"/>
          <w:iCs w:val="0"/>
          <w:color w:val="auto"/>
          <w:sz w:val="24"/>
          <w:szCs w:val="22"/>
          <w:lang w:eastAsia="en-US"/>
        </w:rPr>
        <w:instrText xml:space="preserve"> SEQ Figura \* ARABIC </w:instrText>
      </w:r>
      <w:r w:rsidRPr="00663DC6">
        <w:rPr>
          <w:rFonts w:cs="Times New Roman"/>
          <w:b/>
          <w:i w:val="0"/>
          <w:iCs w:val="0"/>
          <w:color w:val="auto"/>
          <w:sz w:val="24"/>
          <w:szCs w:val="22"/>
          <w:lang w:eastAsia="en-US"/>
        </w:rPr>
        <w:fldChar w:fldCharType="separate"/>
      </w:r>
      <w:r w:rsidR="000D1F55">
        <w:rPr>
          <w:rFonts w:cs="Times New Roman"/>
          <w:b/>
          <w:i w:val="0"/>
          <w:iCs w:val="0"/>
          <w:noProof/>
          <w:color w:val="auto"/>
          <w:sz w:val="24"/>
          <w:szCs w:val="22"/>
          <w:lang w:eastAsia="en-US"/>
        </w:rPr>
        <w:t>5</w:t>
      </w:r>
      <w:r w:rsidRPr="00663DC6">
        <w:rPr>
          <w:rFonts w:cs="Times New Roman"/>
          <w:b/>
          <w:i w:val="0"/>
          <w:iCs w:val="0"/>
          <w:color w:val="auto"/>
          <w:sz w:val="24"/>
          <w:szCs w:val="22"/>
          <w:lang w:eastAsia="en-US"/>
        </w:rPr>
        <w:fldChar w:fldCharType="end"/>
      </w:r>
      <w:r w:rsidRPr="00663DC6">
        <w:rPr>
          <w:rFonts w:cs="Times New Roman"/>
          <w:b/>
          <w:i w:val="0"/>
          <w:iCs w:val="0"/>
          <w:color w:val="auto"/>
          <w:sz w:val="24"/>
          <w:szCs w:val="22"/>
          <w:lang w:eastAsia="en-US"/>
        </w:rPr>
        <w:t>.</w:t>
      </w:r>
      <w:r w:rsidRPr="00663DC6">
        <w:rPr>
          <w:rFonts w:cs="Times New Roman"/>
          <w:i w:val="0"/>
          <w:iCs w:val="0"/>
          <w:color w:val="auto"/>
          <w:sz w:val="24"/>
          <w:szCs w:val="22"/>
          <w:lang w:eastAsia="en-US"/>
        </w:rPr>
        <w:t xml:space="preserve"> Promedio de la absorción de potasio en el cultivo de maíz en Kg ha-1 en las provincias de Bolívar, Chimborazo y de Imbabura obtenidas en 242 parcelas entre el 2006 al 2015.</w:t>
      </w:r>
      <w:bookmarkEnd w:id="2292"/>
    </w:p>
    <w:p w14:paraId="60AACD86" w14:textId="77777777" w:rsidR="00715E8E" w:rsidRDefault="00715E8E" w:rsidP="00715E8E">
      <w:pPr>
        <w:spacing w:after="0" w:line="360" w:lineRule="auto"/>
        <w:jc w:val="center"/>
        <w:rPr>
          <w:rFonts w:cs="Times New Roman"/>
        </w:rPr>
      </w:pPr>
      <w:r>
        <w:rPr>
          <w:noProof/>
          <w:lang w:eastAsia="es-EC"/>
        </w:rPr>
        <w:drawing>
          <wp:inline distT="0" distB="0" distL="0" distR="0" wp14:anchorId="08D02EB8" wp14:editId="330842CE">
            <wp:extent cx="4476750" cy="2857500"/>
            <wp:effectExtent l="0" t="0" r="0" b="0"/>
            <wp:docPr id="84" name="Gráfico 84">
              <a:extLst xmlns:a="http://schemas.openxmlformats.org/drawingml/2006/main">
                <a:ext uri="{FF2B5EF4-FFF2-40B4-BE49-F238E27FC236}">
                  <a16:creationId xmlns:a16="http://schemas.microsoft.com/office/drawing/2014/main" id="{D5E25B38-D69D-4ED9-B069-B5E513F52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39B68B8" w14:textId="1229FFE6" w:rsidR="00715E8E" w:rsidRDefault="00715E8E" w:rsidP="009F4CC8">
      <w:pPr>
        <w:pStyle w:val="Ttulo3"/>
        <w:spacing w:before="360" w:after="360"/>
      </w:pPr>
      <w:bookmarkStart w:id="2293" w:name="_Toc80312379"/>
      <w:r>
        <w:t>A</w:t>
      </w:r>
      <w:r w:rsidR="001B6327">
        <w:t>b</w:t>
      </w:r>
      <w:r>
        <w:t>sorción de azufre</w:t>
      </w:r>
      <w:r w:rsidR="00BC7320">
        <w:t xml:space="preserve"> </w:t>
      </w:r>
      <w:r w:rsidR="00BC7320">
        <w:rPr>
          <w:rFonts w:eastAsia="Times New Roman"/>
          <w:color w:val="000000"/>
          <w:lang w:eastAsia="es-EC"/>
        </w:rPr>
        <w:t>(</w:t>
      </w:r>
      <w:r w:rsidR="00BC7320">
        <w:t>Kg</w:t>
      </w:r>
      <w:r w:rsidR="00BC7320">
        <w:rPr>
          <w:rFonts w:eastAsia="Times New Roman"/>
          <w:color w:val="000000"/>
          <w:lang w:eastAsia="es-EC"/>
        </w:rPr>
        <w:t>/</w:t>
      </w:r>
      <w:r w:rsidR="00BC7320">
        <w:t>ha</w:t>
      </w:r>
      <w:r w:rsidR="00BC7320">
        <w:rPr>
          <w:vertAlign w:val="superscript"/>
        </w:rPr>
        <w:t>-1</w:t>
      </w:r>
      <w:r w:rsidR="00BC7320">
        <w:rPr>
          <w:rFonts w:eastAsia="Times New Roman"/>
          <w:color w:val="000000"/>
          <w:lang w:eastAsia="es-EC"/>
        </w:rPr>
        <w:t>)</w:t>
      </w:r>
      <w:bookmarkEnd w:id="2293"/>
    </w:p>
    <w:p w14:paraId="4C0D28EB" w14:textId="71280577" w:rsidR="00715E8E" w:rsidRDefault="00715E8E" w:rsidP="009F4CC8">
      <w:pPr>
        <w:spacing w:before="360" w:after="360" w:line="360" w:lineRule="auto"/>
        <w:rPr>
          <w:rFonts w:cs="Times New Roman"/>
        </w:rPr>
      </w:pPr>
      <w:r w:rsidRPr="00B21F7E">
        <w:rPr>
          <w:rFonts w:cs="Times New Roman"/>
        </w:rPr>
        <w:t>E</w:t>
      </w:r>
      <w:r>
        <w:rPr>
          <w:rFonts w:cs="Times New Roman"/>
        </w:rPr>
        <w:t>l</w:t>
      </w:r>
      <w:r w:rsidRPr="00B21F7E">
        <w:rPr>
          <w:rFonts w:cs="Times New Roman"/>
        </w:rPr>
        <w:t xml:space="preserve"> estudio realizado </w:t>
      </w:r>
      <w:r>
        <w:rPr>
          <w:rFonts w:cs="Times New Roman"/>
        </w:rPr>
        <w:t xml:space="preserve">se obtuvo un promedio de </w:t>
      </w:r>
      <w:r w:rsidRPr="00B21F7E">
        <w:rPr>
          <w:rFonts w:cs="Times New Roman"/>
        </w:rPr>
        <w:t xml:space="preserve">absorción de </w:t>
      </w:r>
      <w:r>
        <w:rPr>
          <w:rFonts w:cs="Times New Roman"/>
        </w:rPr>
        <w:t>azufre de 11.16</w:t>
      </w:r>
      <w:r w:rsidRPr="00B21F7E">
        <w:rPr>
          <w:rFonts w:cs="Times New Roman"/>
        </w:rPr>
        <w:t xml:space="preserve"> Kg ha</w:t>
      </w:r>
      <w:r w:rsidRPr="008576F8">
        <w:rPr>
          <w:rFonts w:cs="Times New Roman"/>
          <w:vertAlign w:val="superscript"/>
        </w:rPr>
        <w:t xml:space="preserve">-1 </w:t>
      </w:r>
      <w:r w:rsidRPr="00B21F7E">
        <w:rPr>
          <w:rFonts w:cs="Times New Roman"/>
        </w:rPr>
        <w:t>con un error estándar de</w:t>
      </w:r>
      <w:r>
        <w:rPr>
          <w:rFonts w:cs="Times New Roman"/>
        </w:rPr>
        <w:t>1.28,</w:t>
      </w:r>
      <w:r w:rsidRPr="00B21F7E">
        <w:rPr>
          <w:rFonts w:cs="Times New Roman"/>
        </w:rPr>
        <w:t xml:space="preserve"> </w:t>
      </w:r>
      <w:r>
        <w:rPr>
          <w:rFonts w:cs="Times New Roman"/>
        </w:rPr>
        <w:t xml:space="preserve">y </w:t>
      </w:r>
      <w:r w:rsidRPr="00B21F7E">
        <w:rPr>
          <w:rFonts w:cs="Times New Roman"/>
        </w:rPr>
        <w:t>un rendimiento de 4.29 t</w:t>
      </w:r>
      <w:r>
        <w:rPr>
          <w:rFonts w:cs="Times New Roman"/>
        </w:rPr>
        <w:t xml:space="preserve"> </w:t>
      </w:r>
      <w:r w:rsidRPr="00B21F7E">
        <w:rPr>
          <w:rFonts w:cs="Times New Roman"/>
        </w:rPr>
        <w:t>ha</w:t>
      </w:r>
      <w:r w:rsidRPr="00B21F7E">
        <w:rPr>
          <w:rFonts w:cs="Times New Roman"/>
          <w:vertAlign w:val="superscript"/>
        </w:rPr>
        <w:t>-</w:t>
      </w:r>
      <w:r w:rsidR="002111F0" w:rsidRPr="00B21F7E">
        <w:rPr>
          <w:rFonts w:cs="Times New Roman"/>
          <w:vertAlign w:val="superscript"/>
        </w:rPr>
        <w:t>1.</w:t>
      </w:r>
    </w:p>
    <w:p w14:paraId="01ABCB70" w14:textId="77777777" w:rsidR="009F4CC8" w:rsidRDefault="00715E8E" w:rsidP="009F4CC8">
      <w:pPr>
        <w:spacing w:before="360" w:after="360" w:line="360" w:lineRule="auto"/>
        <w:rPr>
          <w:rFonts w:cs="Times New Roman"/>
        </w:rPr>
      </w:pPr>
      <w:r>
        <w:rPr>
          <w:rFonts w:cs="Times New Roman"/>
        </w:rPr>
        <w:t>Según</w:t>
      </w:r>
      <w:r w:rsidRPr="00B21F7E">
        <w:rPr>
          <w:rFonts w:cs="Times New Roman"/>
        </w:rPr>
        <w:t xml:space="preserve"> </w:t>
      </w:r>
      <w:r w:rsidRPr="002B0C18">
        <w:rPr>
          <w:rFonts w:cs="Times New Roman"/>
        </w:rPr>
        <w:t>determin</w:t>
      </w:r>
      <w:r>
        <w:rPr>
          <w:rFonts w:cs="Times New Roman"/>
        </w:rPr>
        <w:t>ó</w:t>
      </w:r>
      <w:r w:rsidRPr="00B21F7E">
        <w:rPr>
          <w:rFonts w:cs="Times New Roman"/>
        </w:rPr>
        <w:t xml:space="preserve"> Alvarado </w:t>
      </w:r>
      <w:r>
        <w:rPr>
          <w:rFonts w:cs="Times New Roman"/>
        </w:rPr>
        <w:t>en el</w:t>
      </w:r>
      <w:r w:rsidRPr="00B21F7E">
        <w:rPr>
          <w:rFonts w:cs="Times New Roman"/>
        </w:rPr>
        <w:t xml:space="preserve"> 2011</w:t>
      </w:r>
      <w:r>
        <w:rPr>
          <w:rFonts w:cs="Times New Roman"/>
        </w:rPr>
        <w:t xml:space="preserve">, </w:t>
      </w:r>
      <w:r w:rsidRPr="00B21F7E">
        <w:rPr>
          <w:rFonts w:cs="Times New Roman"/>
        </w:rPr>
        <w:t>bajo un manejo de</w:t>
      </w:r>
      <w:r>
        <w:rPr>
          <w:rFonts w:cs="Times New Roman"/>
        </w:rPr>
        <w:t xml:space="preserve"> </w:t>
      </w:r>
      <w:r w:rsidRPr="002B0C18">
        <w:rPr>
          <w:rFonts w:cs="Times New Roman"/>
        </w:rPr>
        <w:t>fertilización</w:t>
      </w:r>
      <w:r w:rsidRPr="00B21F7E">
        <w:rPr>
          <w:rFonts w:cs="Times New Roman"/>
        </w:rPr>
        <w:t xml:space="preserve"> </w:t>
      </w:r>
      <w:r w:rsidR="002111F0" w:rsidRPr="00B21F7E">
        <w:rPr>
          <w:rFonts w:cs="Times New Roman"/>
        </w:rPr>
        <w:t>completa la</w:t>
      </w:r>
      <w:r w:rsidRPr="00B21F7E">
        <w:rPr>
          <w:rFonts w:cs="Times New Roman"/>
        </w:rPr>
        <w:t xml:space="preserve"> absorción de </w:t>
      </w:r>
      <w:r>
        <w:rPr>
          <w:rFonts w:cs="Times New Roman"/>
        </w:rPr>
        <w:t>azufre</w:t>
      </w:r>
      <w:r w:rsidRPr="00B21F7E">
        <w:rPr>
          <w:rFonts w:cs="Times New Roman"/>
        </w:rPr>
        <w:t xml:space="preserve"> fue de </w:t>
      </w:r>
      <w:r>
        <w:rPr>
          <w:rFonts w:cs="Times New Roman"/>
        </w:rPr>
        <w:t>13</w:t>
      </w:r>
      <w:r w:rsidRPr="00B21F7E">
        <w:rPr>
          <w:rFonts w:cs="Times New Roman"/>
        </w:rPr>
        <w:t xml:space="preserve"> Kg ha</w:t>
      </w:r>
      <w:r w:rsidRPr="008576F8">
        <w:rPr>
          <w:rFonts w:cs="Times New Roman"/>
          <w:vertAlign w:val="superscript"/>
        </w:rPr>
        <w:t>-1</w:t>
      </w:r>
      <w:r>
        <w:rPr>
          <w:rFonts w:cs="Times New Roman"/>
        </w:rPr>
        <w:t xml:space="preserve"> con un rendimiento de 5.5 </w:t>
      </w:r>
      <w:r w:rsidRPr="00B21F7E">
        <w:rPr>
          <w:rFonts w:cs="Times New Roman"/>
        </w:rPr>
        <w:t>t</w:t>
      </w:r>
      <w:r>
        <w:rPr>
          <w:rFonts w:cs="Times New Roman"/>
        </w:rPr>
        <w:t xml:space="preserve"> </w:t>
      </w:r>
      <w:r w:rsidRPr="00B21F7E">
        <w:rPr>
          <w:rFonts w:cs="Times New Roman"/>
        </w:rPr>
        <w:t>ha</w:t>
      </w:r>
      <w:r w:rsidRPr="00B21F7E">
        <w:rPr>
          <w:rFonts w:cs="Times New Roman"/>
          <w:vertAlign w:val="superscript"/>
        </w:rPr>
        <w:t>-</w:t>
      </w:r>
      <w:r w:rsidR="002111F0" w:rsidRPr="00B21F7E">
        <w:rPr>
          <w:rFonts w:cs="Times New Roman"/>
          <w:vertAlign w:val="superscript"/>
        </w:rPr>
        <w:t>1.</w:t>
      </w:r>
      <w:r>
        <w:rPr>
          <w:rFonts w:cs="Times New Roman"/>
        </w:rPr>
        <w:t xml:space="preserve"> </w:t>
      </w:r>
      <w:r w:rsidR="002111F0">
        <w:rPr>
          <w:rFonts w:cs="Times New Roman"/>
        </w:rPr>
        <w:t>L</w:t>
      </w:r>
      <w:r w:rsidR="002111F0" w:rsidRPr="00B21F7E">
        <w:rPr>
          <w:rFonts w:cs="Times New Roman"/>
        </w:rPr>
        <w:t xml:space="preserve">os resultados de </w:t>
      </w:r>
      <w:r w:rsidR="002111F0" w:rsidRPr="002B0C18">
        <w:rPr>
          <w:rFonts w:cs="Times New Roman"/>
        </w:rPr>
        <w:t>experimento</w:t>
      </w:r>
      <w:r w:rsidR="002111F0" w:rsidRPr="00B21F7E">
        <w:rPr>
          <w:rFonts w:cs="Times New Roman"/>
        </w:rPr>
        <w:t xml:space="preserve"> ejecutado </w:t>
      </w:r>
      <w:r w:rsidR="002111F0">
        <w:rPr>
          <w:rFonts w:cs="Times New Roman"/>
        </w:rPr>
        <w:t>tienen</w:t>
      </w:r>
      <w:r>
        <w:rPr>
          <w:rFonts w:cs="Times New Roman"/>
        </w:rPr>
        <w:t xml:space="preserve"> una semejanza</w:t>
      </w:r>
      <w:r w:rsidRPr="00B21F7E">
        <w:rPr>
          <w:rFonts w:cs="Times New Roman"/>
        </w:rPr>
        <w:t xml:space="preserve"> los datos </w:t>
      </w:r>
      <w:r>
        <w:rPr>
          <w:rFonts w:cs="Times New Roman"/>
        </w:rPr>
        <w:t>citados por</w:t>
      </w:r>
      <w:r w:rsidRPr="00B21F7E">
        <w:rPr>
          <w:rFonts w:cs="Times New Roman"/>
        </w:rPr>
        <w:t xml:space="preserve"> Alvarado </w:t>
      </w:r>
      <w:r>
        <w:rPr>
          <w:rFonts w:cs="Times New Roman"/>
        </w:rPr>
        <w:t>en el</w:t>
      </w:r>
      <w:r w:rsidRPr="00B21F7E">
        <w:rPr>
          <w:rFonts w:cs="Times New Roman"/>
        </w:rPr>
        <w:t xml:space="preserve"> 2011</w:t>
      </w:r>
      <w:r>
        <w:rPr>
          <w:rFonts w:cs="Times New Roman"/>
        </w:rPr>
        <w:t xml:space="preserve">. La </w:t>
      </w:r>
      <w:r w:rsidRPr="002B0C18">
        <w:rPr>
          <w:rFonts w:cs="Times New Roman"/>
        </w:rPr>
        <w:t>mínima</w:t>
      </w:r>
      <w:r>
        <w:rPr>
          <w:rFonts w:cs="Times New Roman"/>
        </w:rPr>
        <w:t xml:space="preserve"> </w:t>
      </w:r>
      <w:r w:rsidRPr="00B21F7E">
        <w:rPr>
          <w:rFonts w:cs="Times New Roman"/>
        </w:rPr>
        <w:t>diferencia</w:t>
      </w:r>
      <w:r>
        <w:rPr>
          <w:rFonts w:cs="Times New Roman"/>
        </w:rPr>
        <w:t xml:space="preserve"> es posiblemente debido a </w:t>
      </w:r>
      <w:r w:rsidRPr="00B21F7E">
        <w:rPr>
          <w:rFonts w:cs="Times New Roman"/>
        </w:rPr>
        <w:t>variaciones de</w:t>
      </w:r>
      <w:r>
        <w:rPr>
          <w:rFonts w:cs="Times New Roman"/>
        </w:rPr>
        <w:t xml:space="preserve"> clima </w:t>
      </w:r>
      <w:r w:rsidRPr="00B21F7E">
        <w:rPr>
          <w:rFonts w:cs="Times New Roman"/>
        </w:rPr>
        <w:t xml:space="preserve">y </w:t>
      </w:r>
      <w:r>
        <w:rPr>
          <w:rFonts w:cs="Times New Roman"/>
        </w:rPr>
        <w:t xml:space="preserve">diferencias </w:t>
      </w:r>
      <w:r w:rsidR="002111F0">
        <w:rPr>
          <w:rFonts w:cs="Times New Roman"/>
        </w:rPr>
        <w:t>n</w:t>
      </w:r>
      <w:r w:rsidR="002111F0" w:rsidRPr="00B21F7E">
        <w:rPr>
          <w:rFonts w:cs="Times New Roman"/>
        </w:rPr>
        <w:t>utricional</w:t>
      </w:r>
      <w:r w:rsidR="002111F0">
        <w:rPr>
          <w:rFonts w:cs="Times New Roman"/>
        </w:rPr>
        <w:t>es</w:t>
      </w:r>
      <w:r w:rsidR="002111F0" w:rsidRPr="00B21F7E">
        <w:rPr>
          <w:rFonts w:cs="Times New Roman"/>
        </w:rPr>
        <w:t xml:space="preserve"> que</w:t>
      </w:r>
      <w:r w:rsidRPr="00B21F7E">
        <w:rPr>
          <w:rFonts w:cs="Times New Roman"/>
        </w:rPr>
        <w:t xml:space="preserve"> existe en los suelos de cada provincia en estudio</w:t>
      </w:r>
      <w:r>
        <w:rPr>
          <w:rFonts w:cs="Times New Roman"/>
        </w:rPr>
        <w:t>.</w:t>
      </w:r>
      <w:bookmarkStart w:id="2294" w:name="_Toc79314412"/>
    </w:p>
    <w:p w14:paraId="6E9C4FCF" w14:textId="77777777" w:rsidR="009F4CC8" w:rsidRDefault="009F4CC8" w:rsidP="009F4CC8">
      <w:pPr>
        <w:spacing w:before="360" w:after="360" w:line="360" w:lineRule="auto"/>
        <w:rPr>
          <w:rFonts w:cs="Times New Roman"/>
        </w:rPr>
      </w:pPr>
    </w:p>
    <w:p w14:paraId="31CE45C9" w14:textId="77777777" w:rsidR="009F4CC8" w:rsidRDefault="009F4CC8" w:rsidP="009F4CC8">
      <w:pPr>
        <w:spacing w:before="360" w:after="360" w:line="360" w:lineRule="auto"/>
        <w:rPr>
          <w:rFonts w:cs="Times New Roman"/>
        </w:rPr>
      </w:pPr>
    </w:p>
    <w:p w14:paraId="6CD730A2" w14:textId="7FB3B723" w:rsidR="00663DC6" w:rsidRPr="009F4CC8" w:rsidRDefault="00663DC6" w:rsidP="009F4CC8">
      <w:pPr>
        <w:spacing w:before="360" w:after="360" w:line="360" w:lineRule="auto"/>
        <w:rPr>
          <w:rFonts w:cs="Times New Roman"/>
        </w:rPr>
      </w:pPr>
      <w:r w:rsidRPr="00663DC6">
        <w:rPr>
          <w:rFonts w:cs="Times New Roman"/>
          <w:b/>
        </w:rPr>
        <w:lastRenderedPageBreak/>
        <w:t xml:space="preserve">Figura </w:t>
      </w:r>
      <w:r w:rsidRPr="00663DC6">
        <w:rPr>
          <w:rFonts w:cs="Times New Roman"/>
          <w:b/>
          <w:i/>
          <w:iCs/>
        </w:rPr>
        <w:fldChar w:fldCharType="begin"/>
      </w:r>
      <w:r w:rsidRPr="00663DC6">
        <w:rPr>
          <w:rFonts w:cs="Times New Roman"/>
          <w:b/>
        </w:rPr>
        <w:instrText xml:space="preserve"> SEQ Figura \* ARABIC </w:instrText>
      </w:r>
      <w:r w:rsidRPr="00663DC6">
        <w:rPr>
          <w:rFonts w:cs="Times New Roman"/>
          <w:b/>
          <w:i/>
          <w:iCs/>
        </w:rPr>
        <w:fldChar w:fldCharType="separate"/>
      </w:r>
      <w:r w:rsidR="000D1F55">
        <w:rPr>
          <w:rFonts w:cs="Times New Roman"/>
          <w:b/>
          <w:noProof/>
        </w:rPr>
        <w:t>6</w:t>
      </w:r>
      <w:r w:rsidRPr="00663DC6">
        <w:rPr>
          <w:rFonts w:cs="Times New Roman"/>
          <w:b/>
          <w:i/>
          <w:iCs/>
        </w:rPr>
        <w:fldChar w:fldCharType="end"/>
      </w:r>
      <w:r w:rsidRPr="00663DC6">
        <w:rPr>
          <w:rFonts w:cs="Times New Roman"/>
          <w:b/>
        </w:rPr>
        <w:t>.</w:t>
      </w:r>
      <w:r w:rsidRPr="00663DC6">
        <w:rPr>
          <w:rFonts w:cs="Times New Roman"/>
        </w:rPr>
        <w:t xml:space="preserve"> Promedio de la absorción de azufre en Kg ha-1 en el cultivo de maíz en las provincias de Bolívar, Chimborazo y de Imbabura obtenidas en 242 parcelas entre el 2006 al 2015.</w:t>
      </w:r>
      <w:bookmarkEnd w:id="2294"/>
    </w:p>
    <w:p w14:paraId="4C0AA5A3" w14:textId="77777777" w:rsidR="00715E8E" w:rsidRDefault="00715E8E" w:rsidP="00715E8E">
      <w:pPr>
        <w:spacing w:after="0" w:line="360" w:lineRule="auto"/>
        <w:jc w:val="center"/>
        <w:rPr>
          <w:rFonts w:cs="Times New Roman"/>
        </w:rPr>
      </w:pPr>
      <w:r>
        <w:rPr>
          <w:noProof/>
          <w:lang w:eastAsia="es-EC"/>
        </w:rPr>
        <w:drawing>
          <wp:inline distT="0" distB="0" distL="0" distR="0" wp14:anchorId="64ADAEC2" wp14:editId="68C5961D">
            <wp:extent cx="4441371" cy="2656114"/>
            <wp:effectExtent l="0" t="0" r="16510" b="11430"/>
            <wp:docPr id="85" name="Gráfico 85">
              <a:extLst xmlns:a="http://schemas.openxmlformats.org/drawingml/2006/main">
                <a:ext uri="{FF2B5EF4-FFF2-40B4-BE49-F238E27FC236}">
                  <a16:creationId xmlns:a16="http://schemas.microsoft.com/office/drawing/2014/main" id="{F09A59E4-A201-45C0-8029-B029A2A585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1C8516" w14:textId="6ECC321E" w:rsidR="00715E8E" w:rsidRDefault="00715E8E" w:rsidP="00F06D1D">
      <w:pPr>
        <w:pStyle w:val="Ttulo3"/>
        <w:spacing w:before="360" w:after="360"/>
      </w:pPr>
      <w:bookmarkStart w:id="2295" w:name="_Toc80312380"/>
      <w:r w:rsidRPr="008A74FD">
        <w:t>A</w:t>
      </w:r>
      <w:r w:rsidR="001B6327">
        <w:t>b</w:t>
      </w:r>
      <w:r w:rsidRPr="008A74FD">
        <w:t>sorción de magnesio</w:t>
      </w:r>
      <w:r w:rsidR="00BC7320">
        <w:t xml:space="preserve"> </w:t>
      </w:r>
      <w:r w:rsidR="00BC7320">
        <w:rPr>
          <w:rFonts w:eastAsia="Times New Roman"/>
          <w:color w:val="000000"/>
          <w:lang w:eastAsia="es-EC"/>
        </w:rPr>
        <w:t>(</w:t>
      </w:r>
      <w:r w:rsidR="00BC7320">
        <w:t>Kg</w:t>
      </w:r>
      <w:r w:rsidR="00BC7320">
        <w:rPr>
          <w:rFonts w:eastAsia="Times New Roman"/>
          <w:color w:val="000000"/>
          <w:lang w:eastAsia="es-EC"/>
        </w:rPr>
        <w:t>/</w:t>
      </w:r>
      <w:r w:rsidR="00BC7320">
        <w:t>ha</w:t>
      </w:r>
      <w:r w:rsidR="00BC7320">
        <w:rPr>
          <w:vertAlign w:val="superscript"/>
        </w:rPr>
        <w:t>-1</w:t>
      </w:r>
      <w:r w:rsidR="00BC7320">
        <w:rPr>
          <w:rFonts w:eastAsia="Times New Roman"/>
          <w:color w:val="000000"/>
          <w:lang w:eastAsia="es-EC"/>
        </w:rPr>
        <w:t>)</w:t>
      </w:r>
      <w:bookmarkEnd w:id="2295"/>
    </w:p>
    <w:p w14:paraId="002A73D7" w14:textId="55A4ED15" w:rsidR="00715E8E" w:rsidRDefault="00715E8E" w:rsidP="00F06D1D">
      <w:pPr>
        <w:spacing w:before="360" w:after="360" w:line="360" w:lineRule="auto"/>
        <w:rPr>
          <w:rFonts w:cs="Times New Roman"/>
        </w:rPr>
      </w:pPr>
      <w:r>
        <w:rPr>
          <w:rFonts w:cs="Times New Roman"/>
        </w:rPr>
        <w:t xml:space="preserve">El cultivo de maíz, en promedio, </w:t>
      </w:r>
      <w:r w:rsidR="002111F0">
        <w:rPr>
          <w:rFonts w:cs="Times New Roman"/>
        </w:rPr>
        <w:t>absorbió 19.61</w:t>
      </w:r>
      <w:r>
        <w:rPr>
          <w:rFonts w:cs="Times New Roman"/>
        </w:rPr>
        <w:t xml:space="preserve"> </w:t>
      </w:r>
      <w:r w:rsidRPr="00B21F7E">
        <w:rPr>
          <w:rFonts w:cs="Times New Roman"/>
        </w:rPr>
        <w:t>Kg ha</w:t>
      </w:r>
      <w:r w:rsidRPr="00FD0261">
        <w:rPr>
          <w:rFonts w:cs="Times New Roman"/>
          <w:vertAlign w:val="superscript"/>
        </w:rPr>
        <w:t>-1</w:t>
      </w:r>
      <w:r w:rsidRPr="00B21F7E">
        <w:rPr>
          <w:rFonts w:cs="Times New Roman"/>
        </w:rPr>
        <w:t xml:space="preserve"> </w:t>
      </w:r>
      <w:r>
        <w:rPr>
          <w:rFonts w:cs="Times New Roman"/>
        </w:rPr>
        <w:t xml:space="preserve">de magnesio, </w:t>
      </w:r>
      <w:r w:rsidRPr="00B21F7E">
        <w:rPr>
          <w:rFonts w:cs="Times New Roman"/>
        </w:rPr>
        <w:t>con un error estándar de</w:t>
      </w:r>
      <w:r>
        <w:rPr>
          <w:rFonts w:cs="Times New Roman"/>
        </w:rPr>
        <w:t xml:space="preserve"> 2.63,</w:t>
      </w:r>
      <w:r w:rsidRPr="00B21F7E">
        <w:rPr>
          <w:rFonts w:cs="Times New Roman"/>
        </w:rPr>
        <w:t xml:space="preserve"> </w:t>
      </w:r>
      <w:r>
        <w:rPr>
          <w:rFonts w:cs="Times New Roman"/>
        </w:rPr>
        <w:t xml:space="preserve">y </w:t>
      </w:r>
      <w:r w:rsidRPr="00B21F7E">
        <w:rPr>
          <w:rFonts w:cs="Times New Roman"/>
        </w:rPr>
        <w:t>un rendimiento de 4.29 t</w:t>
      </w:r>
      <w:r>
        <w:rPr>
          <w:rFonts w:cs="Times New Roman"/>
        </w:rPr>
        <w:t xml:space="preserve"> </w:t>
      </w:r>
      <w:r w:rsidRPr="00B21F7E">
        <w:rPr>
          <w:rFonts w:cs="Times New Roman"/>
        </w:rPr>
        <w:t>ha</w:t>
      </w:r>
      <w:r w:rsidRPr="00B21F7E">
        <w:rPr>
          <w:rFonts w:cs="Times New Roman"/>
          <w:vertAlign w:val="superscript"/>
        </w:rPr>
        <w:t>-</w:t>
      </w:r>
      <w:r w:rsidR="00B05008" w:rsidRPr="00B21F7E">
        <w:rPr>
          <w:rFonts w:cs="Times New Roman"/>
          <w:vertAlign w:val="superscript"/>
        </w:rPr>
        <w:t>1</w:t>
      </w:r>
      <w:r w:rsidR="00B05008" w:rsidRPr="00B05008">
        <w:rPr>
          <w:rFonts w:cs="Times New Roman"/>
          <w:vertAlign w:val="subscript"/>
        </w:rPr>
        <w:t>.</w:t>
      </w:r>
    </w:p>
    <w:p w14:paraId="77AAA039" w14:textId="33282AE7" w:rsidR="00715E8E" w:rsidRPr="004315F8" w:rsidRDefault="00715E8E" w:rsidP="00663DC6">
      <w:pPr>
        <w:spacing w:line="360" w:lineRule="auto"/>
        <w:rPr>
          <w:rFonts w:cs="Times New Roman"/>
        </w:rPr>
      </w:pPr>
      <w:r>
        <w:rPr>
          <w:rFonts w:cs="Times New Roman"/>
        </w:rPr>
        <w:t>Según</w:t>
      </w:r>
      <w:r w:rsidRPr="00B21F7E">
        <w:rPr>
          <w:rFonts w:cs="Times New Roman"/>
        </w:rPr>
        <w:t xml:space="preserve"> </w:t>
      </w:r>
      <w:r w:rsidRPr="002B0C18">
        <w:rPr>
          <w:rFonts w:cs="Times New Roman"/>
        </w:rPr>
        <w:t>determin</w:t>
      </w:r>
      <w:r>
        <w:rPr>
          <w:rFonts w:cs="Times New Roman"/>
        </w:rPr>
        <w:t>ó</w:t>
      </w:r>
      <w:r w:rsidRPr="00B21F7E">
        <w:rPr>
          <w:rFonts w:cs="Times New Roman"/>
        </w:rPr>
        <w:t xml:space="preserve"> Alvarado </w:t>
      </w:r>
      <w:r>
        <w:rPr>
          <w:rFonts w:cs="Times New Roman"/>
        </w:rPr>
        <w:t>en el</w:t>
      </w:r>
      <w:r w:rsidRPr="00B21F7E">
        <w:rPr>
          <w:rFonts w:cs="Times New Roman"/>
        </w:rPr>
        <w:t xml:space="preserve"> 2011</w:t>
      </w:r>
      <w:r>
        <w:rPr>
          <w:rFonts w:cs="Times New Roman"/>
        </w:rPr>
        <w:t xml:space="preserve">, la </w:t>
      </w:r>
      <w:r w:rsidRPr="00B21F7E">
        <w:rPr>
          <w:rFonts w:cs="Times New Roman"/>
        </w:rPr>
        <w:t xml:space="preserve">absorción de </w:t>
      </w:r>
      <w:r>
        <w:rPr>
          <w:rFonts w:cs="Times New Roman"/>
        </w:rPr>
        <w:t xml:space="preserve">magnesio </w:t>
      </w:r>
      <w:r w:rsidRPr="00B21F7E">
        <w:rPr>
          <w:rFonts w:cs="Times New Roman"/>
        </w:rPr>
        <w:t xml:space="preserve">fue de </w:t>
      </w:r>
      <w:r>
        <w:rPr>
          <w:rFonts w:cs="Times New Roman"/>
        </w:rPr>
        <w:t>26</w:t>
      </w:r>
      <w:r w:rsidRPr="00B21F7E">
        <w:rPr>
          <w:rFonts w:cs="Times New Roman"/>
        </w:rPr>
        <w:t xml:space="preserve"> Kg ha</w:t>
      </w:r>
      <w:r w:rsidRPr="00FD0261">
        <w:rPr>
          <w:rFonts w:cs="Times New Roman"/>
          <w:vertAlign w:val="superscript"/>
        </w:rPr>
        <w:t>-1</w:t>
      </w:r>
      <w:r>
        <w:rPr>
          <w:rFonts w:cs="Times New Roman"/>
        </w:rPr>
        <w:t xml:space="preserve"> con un rendimiento de 5.5 </w:t>
      </w:r>
      <w:r w:rsidRPr="00B21F7E">
        <w:rPr>
          <w:rFonts w:cs="Times New Roman"/>
        </w:rPr>
        <w:t>t</w:t>
      </w:r>
      <w:r>
        <w:rPr>
          <w:rFonts w:cs="Times New Roman"/>
        </w:rPr>
        <w:t xml:space="preserve"> </w:t>
      </w:r>
      <w:r w:rsidRPr="00B21F7E">
        <w:rPr>
          <w:rFonts w:cs="Times New Roman"/>
        </w:rPr>
        <w:t>ha</w:t>
      </w:r>
      <w:r w:rsidRPr="00B21F7E">
        <w:rPr>
          <w:rFonts w:cs="Times New Roman"/>
          <w:vertAlign w:val="superscript"/>
        </w:rPr>
        <w:t>-1</w:t>
      </w:r>
      <w:r>
        <w:rPr>
          <w:rFonts w:cs="Times New Roman"/>
        </w:rPr>
        <w:t xml:space="preserve">. </w:t>
      </w:r>
      <w:r w:rsidRPr="00B21F7E">
        <w:rPr>
          <w:rFonts w:cs="Times New Roman"/>
        </w:rPr>
        <w:t xml:space="preserve"> </w:t>
      </w:r>
      <w:r w:rsidR="002111F0">
        <w:rPr>
          <w:rFonts w:cs="Times New Roman"/>
        </w:rPr>
        <w:t xml:space="preserve">Los </w:t>
      </w:r>
      <w:r w:rsidR="002111F0" w:rsidRPr="00B21F7E">
        <w:rPr>
          <w:rFonts w:cs="Times New Roman"/>
        </w:rPr>
        <w:t xml:space="preserve">resultados de </w:t>
      </w:r>
      <w:r w:rsidR="002111F0" w:rsidRPr="002B0C18">
        <w:rPr>
          <w:rFonts w:cs="Times New Roman"/>
        </w:rPr>
        <w:t>experimento</w:t>
      </w:r>
      <w:r w:rsidR="002111F0" w:rsidRPr="00B21F7E">
        <w:rPr>
          <w:rFonts w:cs="Times New Roman"/>
        </w:rPr>
        <w:t xml:space="preserve"> ejecutado </w:t>
      </w:r>
      <w:r w:rsidR="002111F0">
        <w:rPr>
          <w:rFonts w:cs="Times New Roman"/>
        </w:rPr>
        <w:t>tienen</w:t>
      </w:r>
      <w:r>
        <w:rPr>
          <w:rFonts w:cs="Times New Roman"/>
        </w:rPr>
        <w:t xml:space="preserve"> una semejanza</w:t>
      </w:r>
      <w:r w:rsidRPr="00B21F7E">
        <w:rPr>
          <w:rFonts w:cs="Times New Roman"/>
        </w:rPr>
        <w:t xml:space="preserve"> los datos </w:t>
      </w:r>
      <w:r>
        <w:rPr>
          <w:rFonts w:cs="Times New Roman"/>
        </w:rPr>
        <w:t>citados por</w:t>
      </w:r>
      <w:r w:rsidRPr="00B21F7E">
        <w:rPr>
          <w:rFonts w:cs="Times New Roman"/>
        </w:rPr>
        <w:t xml:space="preserve"> Alvarado </w:t>
      </w:r>
      <w:r>
        <w:rPr>
          <w:rFonts w:cs="Times New Roman"/>
        </w:rPr>
        <w:t>en el</w:t>
      </w:r>
      <w:r w:rsidRPr="00B21F7E">
        <w:rPr>
          <w:rFonts w:cs="Times New Roman"/>
        </w:rPr>
        <w:t xml:space="preserve"> 2011</w:t>
      </w:r>
      <w:r>
        <w:rPr>
          <w:rFonts w:cs="Times New Roman"/>
        </w:rPr>
        <w:t>,</w:t>
      </w:r>
      <w:r w:rsidRPr="00B21F7E">
        <w:rPr>
          <w:rFonts w:cs="Times New Roman"/>
        </w:rPr>
        <w:t xml:space="preserve"> pero existe </w:t>
      </w:r>
      <w:r>
        <w:rPr>
          <w:rFonts w:cs="Times New Roman"/>
        </w:rPr>
        <w:t xml:space="preserve">una </w:t>
      </w:r>
      <w:r w:rsidRPr="002B0C18">
        <w:rPr>
          <w:rFonts w:cs="Times New Roman"/>
        </w:rPr>
        <w:t>mínima</w:t>
      </w:r>
      <w:r>
        <w:rPr>
          <w:rFonts w:cs="Times New Roman"/>
        </w:rPr>
        <w:t xml:space="preserve"> </w:t>
      </w:r>
      <w:r w:rsidRPr="00B21F7E">
        <w:rPr>
          <w:rFonts w:cs="Times New Roman"/>
        </w:rPr>
        <w:t>diferencia</w:t>
      </w:r>
      <w:r>
        <w:rPr>
          <w:rFonts w:cs="Times New Roman"/>
        </w:rPr>
        <w:t>, que posiblemente fue</w:t>
      </w:r>
      <w:r w:rsidRPr="00B21F7E">
        <w:rPr>
          <w:rFonts w:cs="Times New Roman"/>
        </w:rPr>
        <w:t xml:space="preserve"> </w:t>
      </w:r>
      <w:r>
        <w:rPr>
          <w:rFonts w:cs="Times New Roman"/>
        </w:rPr>
        <w:t xml:space="preserve">afectado por </w:t>
      </w:r>
      <w:r w:rsidRPr="00B21F7E">
        <w:rPr>
          <w:rFonts w:cs="Times New Roman"/>
        </w:rPr>
        <w:t xml:space="preserve">variaciones del cambio climático y </w:t>
      </w:r>
      <w:r>
        <w:rPr>
          <w:rFonts w:cs="Times New Roman"/>
        </w:rPr>
        <w:t xml:space="preserve">diferencias </w:t>
      </w:r>
      <w:r w:rsidR="002111F0" w:rsidRPr="00B21F7E">
        <w:rPr>
          <w:rFonts w:cs="Times New Roman"/>
        </w:rPr>
        <w:t>nutricional</w:t>
      </w:r>
      <w:r w:rsidR="002111F0">
        <w:rPr>
          <w:rFonts w:cs="Times New Roman"/>
        </w:rPr>
        <w:t>es</w:t>
      </w:r>
      <w:r w:rsidR="002111F0" w:rsidRPr="00B21F7E">
        <w:rPr>
          <w:rFonts w:cs="Times New Roman"/>
        </w:rPr>
        <w:t xml:space="preserve"> que</w:t>
      </w:r>
      <w:r w:rsidRPr="00B21F7E">
        <w:rPr>
          <w:rFonts w:cs="Times New Roman"/>
        </w:rPr>
        <w:t xml:space="preserve"> existe en los suelos </w:t>
      </w:r>
      <w:r w:rsidR="00663DC6">
        <w:rPr>
          <w:rFonts w:cs="Times New Roman"/>
        </w:rPr>
        <w:t xml:space="preserve">de </w:t>
      </w:r>
      <w:r w:rsidR="002111F0" w:rsidRPr="00B21F7E">
        <w:rPr>
          <w:rFonts w:cs="Times New Roman"/>
        </w:rPr>
        <w:t>cada provincia</w:t>
      </w:r>
      <w:r w:rsidRPr="00B21F7E">
        <w:rPr>
          <w:rFonts w:cs="Times New Roman"/>
        </w:rPr>
        <w:t xml:space="preserve"> en estudio</w:t>
      </w:r>
      <w:r w:rsidR="00B05008">
        <w:rPr>
          <w:rFonts w:cs="Times New Roman"/>
        </w:rPr>
        <w:t>.</w:t>
      </w:r>
    </w:p>
    <w:p w14:paraId="1A7DC259" w14:textId="3405DEE4" w:rsidR="00663DC6" w:rsidRPr="00663DC6" w:rsidRDefault="00663DC6" w:rsidP="00BC7320">
      <w:pPr>
        <w:pStyle w:val="Descripcin"/>
        <w:keepNext/>
        <w:rPr>
          <w:rFonts w:cs="Times New Roman"/>
          <w:i w:val="0"/>
          <w:iCs w:val="0"/>
          <w:color w:val="auto"/>
          <w:sz w:val="24"/>
          <w:szCs w:val="22"/>
          <w:lang w:eastAsia="en-US"/>
        </w:rPr>
      </w:pPr>
      <w:bookmarkStart w:id="2296" w:name="_Toc79314413"/>
      <w:bookmarkStart w:id="2297" w:name="_Toc75680080"/>
      <w:r w:rsidRPr="00663DC6">
        <w:rPr>
          <w:rFonts w:cs="Times New Roman"/>
          <w:b/>
          <w:i w:val="0"/>
          <w:iCs w:val="0"/>
          <w:color w:val="auto"/>
          <w:sz w:val="24"/>
          <w:szCs w:val="22"/>
          <w:lang w:eastAsia="en-US"/>
        </w:rPr>
        <w:lastRenderedPageBreak/>
        <w:t xml:space="preserve">Figura </w:t>
      </w:r>
      <w:r w:rsidRPr="00663DC6">
        <w:rPr>
          <w:rFonts w:cs="Times New Roman"/>
          <w:b/>
          <w:i w:val="0"/>
          <w:iCs w:val="0"/>
          <w:color w:val="auto"/>
          <w:sz w:val="24"/>
          <w:szCs w:val="22"/>
          <w:lang w:eastAsia="en-US"/>
        </w:rPr>
        <w:fldChar w:fldCharType="begin"/>
      </w:r>
      <w:r w:rsidRPr="00663DC6">
        <w:rPr>
          <w:rFonts w:cs="Times New Roman"/>
          <w:b/>
          <w:i w:val="0"/>
          <w:iCs w:val="0"/>
          <w:color w:val="auto"/>
          <w:sz w:val="24"/>
          <w:szCs w:val="22"/>
          <w:lang w:eastAsia="en-US"/>
        </w:rPr>
        <w:instrText xml:space="preserve"> SEQ Figura \* ARABIC </w:instrText>
      </w:r>
      <w:r w:rsidRPr="00663DC6">
        <w:rPr>
          <w:rFonts w:cs="Times New Roman"/>
          <w:b/>
          <w:i w:val="0"/>
          <w:iCs w:val="0"/>
          <w:color w:val="auto"/>
          <w:sz w:val="24"/>
          <w:szCs w:val="22"/>
          <w:lang w:eastAsia="en-US"/>
        </w:rPr>
        <w:fldChar w:fldCharType="separate"/>
      </w:r>
      <w:r w:rsidR="000D1F55">
        <w:rPr>
          <w:rFonts w:cs="Times New Roman"/>
          <w:b/>
          <w:i w:val="0"/>
          <w:iCs w:val="0"/>
          <w:noProof/>
          <w:color w:val="auto"/>
          <w:sz w:val="24"/>
          <w:szCs w:val="22"/>
          <w:lang w:eastAsia="en-US"/>
        </w:rPr>
        <w:t>7</w:t>
      </w:r>
      <w:r w:rsidRPr="00663DC6">
        <w:rPr>
          <w:rFonts w:cs="Times New Roman"/>
          <w:b/>
          <w:i w:val="0"/>
          <w:iCs w:val="0"/>
          <w:color w:val="auto"/>
          <w:sz w:val="24"/>
          <w:szCs w:val="22"/>
          <w:lang w:eastAsia="en-US"/>
        </w:rPr>
        <w:fldChar w:fldCharType="end"/>
      </w:r>
      <w:r w:rsidRPr="00663DC6">
        <w:rPr>
          <w:rFonts w:cs="Times New Roman"/>
          <w:b/>
          <w:i w:val="0"/>
          <w:iCs w:val="0"/>
          <w:color w:val="auto"/>
          <w:sz w:val="24"/>
          <w:szCs w:val="22"/>
          <w:lang w:eastAsia="en-US"/>
        </w:rPr>
        <w:t>.</w:t>
      </w:r>
      <w:r w:rsidRPr="00663DC6">
        <w:rPr>
          <w:rFonts w:cs="Times New Roman"/>
          <w:i w:val="0"/>
          <w:iCs w:val="0"/>
          <w:color w:val="auto"/>
          <w:sz w:val="24"/>
          <w:szCs w:val="22"/>
          <w:lang w:eastAsia="en-US"/>
        </w:rPr>
        <w:t xml:space="preserve"> Promedio de la absorción de magnesio en Kg ha</w:t>
      </w:r>
      <w:r w:rsidRPr="00B05008">
        <w:rPr>
          <w:rFonts w:cs="Times New Roman"/>
          <w:i w:val="0"/>
          <w:iCs w:val="0"/>
          <w:color w:val="auto"/>
          <w:sz w:val="24"/>
          <w:szCs w:val="22"/>
          <w:vertAlign w:val="superscript"/>
          <w:lang w:eastAsia="en-US"/>
        </w:rPr>
        <w:t>-1</w:t>
      </w:r>
      <w:r w:rsidRPr="00663DC6">
        <w:rPr>
          <w:rFonts w:cs="Times New Roman"/>
          <w:i w:val="0"/>
          <w:iCs w:val="0"/>
          <w:color w:val="auto"/>
          <w:sz w:val="24"/>
          <w:szCs w:val="22"/>
          <w:lang w:eastAsia="en-US"/>
        </w:rPr>
        <w:t xml:space="preserve"> en el cultivo de maíz en las provincias de Bolívar, Chimborazo y de Imbabura obtenidas en 242 parcelas entre el 2006 al 2015.</w:t>
      </w:r>
      <w:bookmarkEnd w:id="2296"/>
    </w:p>
    <w:p w14:paraId="60D1C4D6" w14:textId="77777777" w:rsidR="00715E8E" w:rsidRDefault="00715E8E" w:rsidP="006F6D10">
      <w:pPr>
        <w:jc w:val="center"/>
        <w:rPr>
          <w:b/>
        </w:rPr>
      </w:pPr>
      <w:r>
        <w:rPr>
          <w:noProof/>
          <w:lang w:eastAsia="es-EC"/>
        </w:rPr>
        <w:drawing>
          <wp:inline distT="0" distB="0" distL="0" distR="0" wp14:anchorId="4CE40FEE" wp14:editId="735F553D">
            <wp:extent cx="4288972" cy="2242457"/>
            <wp:effectExtent l="0" t="0" r="16510" b="5715"/>
            <wp:docPr id="86" name="Gráfico 86">
              <a:extLst xmlns:a="http://schemas.openxmlformats.org/drawingml/2006/main">
                <a:ext uri="{FF2B5EF4-FFF2-40B4-BE49-F238E27FC236}">
                  <a16:creationId xmlns:a16="http://schemas.microsoft.com/office/drawing/2014/main" id="{AA17E8C5-8B6B-4426-AEEB-6F2B9921D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bookmarkEnd w:id="2297"/>
    </w:p>
    <w:p w14:paraId="1C220D69" w14:textId="2864C39D" w:rsidR="00663DC6" w:rsidRPr="00663DC6" w:rsidRDefault="00663DC6" w:rsidP="00F06D1D">
      <w:pPr>
        <w:pStyle w:val="Descripcin"/>
        <w:keepNext/>
        <w:spacing w:before="360"/>
        <w:rPr>
          <w:rFonts w:cs="Times New Roman"/>
          <w:i w:val="0"/>
          <w:iCs w:val="0"/>
          <w:color w:val="auto"/>
          <w:sz w:val="24"/>
          <w:szCs w:val="22"/>
          <w:lang w:eastAsia="en-US"/>
        </w:rPr>
      </w:pPr>
      <w:bookmarkStart w:id="2298" w:name="_Toc79314179"/>
      <w:r w:rsidRPr="00663DC6">
        <w:rPr>
          <w:rFonts w:cs="Times New Roman"/>
          <w:b/>
          <w:i w:val="0"/>
          <w:iCs w:val="0"/>
          <w:color w:val="auto"/>
          <w:sz w:val="24"/>
          <w:szCs w:val="22"/>
          <w:lang w:eastAsia="en-US"/>
        </w:rPr>
        <w:t xml:space="preserve">Cuadro </w:t>
      </w:r>
      <w:r w:rsidRPr="00663DC6">
        <w:rPr>
          <w:rFonts w:cs="Times New Roman"/>
          <w:b/>
          <w:i w:val="0"/>
          <w:iCs w:val="0"/>
          <w:color w:val="auto"/>
          <w:sz w:val="24"/>
          <w:szCs w:val="22"/>
          <w:lang w:eastAsia="en-US"/>
        </w:rPr>
        <w:fldChar w:fldCharType="begin"/>
      </w:r>
      <w:r w:rsidRPr="00663DC6">
        <w:rPr>
          <w:rFonts w:cs="Times New Roman"/>
          <w:b/>
          <w:i w:val="0"/>
          <w:iCs w:val="0"/>
          <w:color w:val="auto"/>
          <w:sz w:val="24"/>
          <w:szCs w:val="22"/>
          <w:lang w:eastAsia="en-US"/>
        </w:rPr>
        <w:instrText xml:space="preserve"> SEQ Cuadro \* ARABIC </w:instrText>
      </w:r>
      <w:r w:rsidRPr="00663DC6">
        <w:rPr>
          <w:rFonts w:cs="Times New Roman"/>
          <w:b/>
          <w:i w:val="0"/>
          <w:iCs w:val="0"/>
          <w:color w:val="auto"/>
          <w:sz w:val="24"/>
          <w:szCs w:val="22"/>
          <w:lang w:eastAsia="en-US"/>
        </w:rPr>
        <w:fldChar w:fldCharType="separate"/>
      </w:r>
      <w:r w:rsidR="000D1F55">
        <w:rPr>
          <w:rFonts w:cs="Times New Roman"/>
          <w:b/>
          <w:i w:val="0"/>
          <w:iCs w:val="0"/>
          <w:noProof/>
          <w:color w:val="auto"/>
          <w:sz w:val="24"/>
          <w:szCs w:val="22"/>
          <w:lang w:eastAsia="en-US"/>
        </w:rPr>
        <w:t>186</w:t>
      </w:r>
      <w:r w:rsidRPr="00663DC6">
        <w:rPr>
          <w:rFonts w:cs="Times New Roman"/>
          <w:b/>
          <w:i w:val="0"/>
          <w:iCs w:val="0"/>
          <w:color w:val="auto"/>
          <w:sz w:val="24"/>
          <w:szCs w:val="22"/>
          <w:lang w:eastAsia="en-US"/>
        </w:rPr>
        <w:fldChar w:fldCharType="end"/>
      </w:r>
      <w:r w:rsidRPr="00663DC6">
        <w:rPr>
          <w:rFonts w:cs="Times New Roman"/>
          <w:b/>
          <w:i w:val="0"/>
          <w:iCs w:val="0"/>
          <w:color w:val="auto"/>
          <w:sz w:val="24"/>
          <w:szCs w:val="22"/>
          <w:lang w:eastAsia="en-US"/>
        </w:rPr>
        <w:t>.</w:t>
      </w:r>
      <w:r w:rsidRPr="00663DC6">
        <w:rPr>
          <w:rFonts w:cs="Times New Roman"/>
          <w:i w:val="0"/>
          <w:iCs w:val="0"/>
          <w:color w:val="auto"/>
          <w:sz w:val="24"/>
          <w:szCs w:val="22"/>
          <w:lang w:eastAsia="en-US"/>
        </w:rPr>
        <w:t xml:space="preserve"> Porcentaje de Varianza explicada por GLM sobre el rendimiento observado en el cultivo de maíz en tres provincias de la Sierra del Ecuador. 2006-2015.</w:t>
      </w:r>
      <w:bookmarkEnd w:id="2298"/>
    </w:p>
    <w:tbl>
      <w:tblPr>
        <w:tblW w:w="7933" w:type="dxa"/>
        <w:tblCellMar>
          <w:left w:w="70" w:type="dxa"/>
          <w:right w:w="70" w:type="dxa"/>
        </w:tblCellMar>
        <w:tblLook w:val="04A0" w:firstRow="1" w:lastRow="0" w:firstColumn="1" w:lastColumn="0" w:noHBand="0" w:noVBand="1"/>
      </w:tblPr>
      <w:tblGrid>
        <w:gridCol w:w="3360"/>
        <w:gridCol w:w="856"/>
        <w:gridCol w:w="1184"/>
        <w:gridCol w:w="1462"/>
        <w:gridCol w:w="1262"/>
      </w:tblGrid>
      <w:tr w:rsidR="00715E8E" w:rsidRPr="0005046E" w14:paraId="5E87096D" w14:textId="77777777" w:rsidTr="00F06D1D">
        <w:trPr>
          <w:trHeight w:val="315"/>
        </w:trPr>
        <w:tc>
          <w:tcPr>
            <w:tcW w:w="793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1DAD1E" w14:textId="77777777" w:rsidR="00715E8E" w:rsidRPr="0005046E" w:rsidRDefault="00715E8E" w:rsidP="00715E8E">
            <w:pPr>
              <w:spacing w:after="0" w:line="240" w:lineRule="auto"/>
              <w:jc w:val="center"/>
              <w:rPr>
                <w:rFonts w:ascii="Calibri" w:eastAsia="Times New Roman" w:hAnsi="Calibri" w:cs="Calibri"/>
                <w:b/>
                <w:bCs/>
                <w:color w:val="000000"/>
                <w:szCs w:val="24"/>
                <w:lang w:eastAsia="es-EC"/>
              </w:rPr>
            </w:pPr>
            <w:r w:rsidRPr="0005046E">
              <w:rPr>
                <w:rFonts w:ascii="Calibri" w:eastAsia="Times New Roman" w:hAnsi="Calibri" w:cs="Calibri"/>
                <w:b/>
                <w:bCs/>
                <w:color w:val="000000"/>
                <w:szCs w:val="24"/>
                <w:lang w:eastAsia="es-EC"/>
              </w:rPr>
              <w:t>Varianza explicada por GLM</w:t>
            </w:r>
          </w:p>
        </w:tc>
      </w:tr>
      <w:tr w:rsidR="00715E8E" w:rsidRPr="0005046E" w14:paraId="0C51F0D0" w14:textId="77777777" w:rsidTr="00F06D1D">
        <w:trPr>
          <w:trHeight w:val="31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7D8176E8"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Fuente de variación</w:t>
            </w:r>
          </w:p>
        </w:tc>
        <w:tc>
          <w:tcPr>
            <w:tcW w:w="856" w:type="dxa"/>
            <w:tcBorders>
              <w:top w:val="nil"/>
              <w:left w:val="nil"/>
              <w:bottom w:val="single" w:sz="4" w:space="0" w:color="auto"/>
              <w:right w:val="single" w:sz="4" w:space="0" w:color="auto"/>
            </w:tcBorders>
            <w:shd w:val="clear" w:color="auto" w:fill="auto"/>
            <w:noWrap/>
            <w:vAlign w:val="bottom"/>
            <w:hideMark/>
          </w:tcPr>
          <w:p w14:paraId="6ABB9A17"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Bolívar</w:t>
            </w:r>
          </w:p>
        </w:tc>
        <w:tc>
          <w:tcPr>
            <w:tcW w:w="1184" w:type="dxa"/>
            <w:tcBorders>
              <w:top w:val="nil"/>
              <w:left w:val="nil"/>
              <w:bottom w:val="single" w:sz="4" w:space="0" w:color="auto"/>
              <w:right w:val="single" w:sz="4" w:space="0" w:color="auto"/>
            </w:tcBorders>
            <w:shd w:val="clear" w:color="auto" w:fill="auto"/>
            <w:noWrap/>
            <w:vAlign w:val="bottom"/>
            <w:hideMark/>
          </w:tcPr>
          <w:p w14:paraId="3A134F47"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Imbabura</w:t>
            </w:r>
          </w:p>
        </w:tc>
        <w:tc>
          <w:tcPr>
            <w:tcW w:w="1462" w:type="dxa"/>
            <w:tcBorders>
              <w:top w:val="nil"/>
              <w:left w:val="nil"/>
              <w:bottom w:val="single" w:sz="4" w:space="0" w:color="auto"/>
              <w:right w:val="single" w:sz="4" w:space="0" w:color="auto"/>
            </w:tcBorders>
            <w:shd w:val="clear" w:color="auto" w:fill="auto"/>
            <w:noWrap/>
            <w:vAlign w:val="bottom"/>
            <w:hideMark/>
          </w:tcPr>
          <w:p w14:paraId="11D5385A"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Chimborazo</w:t>
            </w:r>
          </w:p>
        </w:tc>
        <w:tc>
          <w:tcPr>
            <w:tcW w:w="1071" w:type="dxa"/>
            <w:tcBorders>
              <w:top w:val="nil"/>
              <w:left w:val="nil"/>
              <w:bottom w:val="single" w:sz="4" w:space="0" w:color="auto"/>
              <w:right w:val="single" w:sz="4" w:space="0" w:color="auto"/>
            </w:tcBorders>
            <w:shd w:val="clear" w:color="auto" w:fill="auto"/>
            <w:noWrap/>
            <w:vAlign w:val="bottom"/>
            <w:hideMark/>
          </w:tcPr>
          <w:p w14:paraId="3BDF9B34"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Combinado</w:t>
            </w:r>
          </w:p>
        </w:tc>
      </w:tr>
      <w:tr w:rsidR="00715E8E" w:rsidRPr="0005046E" w14:paraId="59D97F7C" w14:textId="77777777" w:rsidTr="00F06D1D">
        <w:trPr>
          <w:trHeight w:val="31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3E9003A6"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 xml:space="preserve">Cantón/Provincia/Parroquia </w:t>
            </w:r>
          </w:p>
        </w:tc>
        <w:tc>
          <w:tcPr>
            <w:tcW w:w="856" w:type="dxa"/>
            <w:tcBorders>
              <w:top w:val="nil"/>
              <w:left w:val="nil"/>
              <w:bottom w:val="single" w:sz="4" w:space="0" w:color="auto"/>
              <w:right w:val="single" w:sz="4" w:space="0" w:color="auto"/>
            </w:tcBorders>
            <w:shd w:val="clear" w:color="auto" w:fill="auto"/>
            <w:noWrap/>
            <w:vAlign w:val="center"/>
            <w:hideMark/>
          </w:tcPr>
          <w:p w14:paraId="35E8D7F7"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2,4</w:t>
            </w:r>
          </w:p>
        </w:tc>
        <w:tc>
          <w:tcPr>
            <w:tcW w:w="1184" w:type="dxa"/>
            <w:tcBorders>
              <w:top w:val="nil"/>
              <w:left w:val="nil"/>
              <w:bottom w:val="single" w:sz="4" w:space="0" w:color="auto"/>
              <w:right w:val="single" w:sz="4" w:space="0" w:color="auto"/>
            </w:tcBorders>
            <w:shd w:val="clear" w:color="auto" w:fill="auto"/>
            <w:noWrap/>
            <w:vAlign w:val="center"/>
            <w:hideMark/>
          </w:tcPr>
          <w:p w14:paraId="40B1DE58"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46,28</w:t>
            </w:r>
          </w:p>
        </w:tc>
        <w:tc>
          <w:tcPr>
            <w:tcW w:w="1462" w:type="dxa"/>
            <w:tcBorders>
              <w:top w:val="nil"/>
              <w:left w:val="nil"/>
              <w:bottom w:val="single" w:sz="4" w:space="0" w:color="auto"/>
              <w:right w:val="single" w:sz="4" w:space="0" w:color="auto"/>
            </w:tcBorders>
            <w:shd w:val="clear" w:color="auto" w:fill="auto"/>
            <w:noWrap/>
            <w:vAlign w:val="center"/>
            <w:hideMark/>
          </w:tcPr>
          <w:p w14:paraId="02ABB7FB"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10,28</w:t>
            </w:r>
          </w:p>
        </w:tc>
        <w:tc>
          <w:tcPr>
            <w:tcW w:w="1071" w:type="dxa"/>
            <w:tcBorders>
              <w:top w:val="nil"/>
              <w:left w:val="nil"/>
              <w:bottom w:val="single" w:sz="4" w:space="0" w:color="auto"/>
              <w:right w:val="single" w:sz="4" w:space="0" w:color="auto"/>
            </w:tcBorders>
            <w:shd w:val="clear" w:color="auto" w:fill="auto"/>
            <w:noWrap/>
            <w:vAlign w:val="center"/>
            <w:hideMark/>
          </w:tcPr>
          <w:p w14:paraId="10BDBBC7"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6,85</w:t>
            </w:r>
          </w:p>
        </w:tc>
      </w:tr>
      <w:tr w:rsidR="00715E8E" w:rsidRPr="0005046E" w14:paraId="5C3B4DFF" w14:textId="77777777" w:rsidTr="00F06D1D">
        <w:trPr>
          <w:trHeight w:val="31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7FC9FC0"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Dosis de Nitrógeno</w:t>
            </w:r>
          </w:p>
        </w:tc>
        <w:tc>
          <w:tcPr>
            <w:tcW w:w="856" w:type="dxa"/>
            <w:tcBorders>
              <w:top w:val="nil"/>
              <w:left w:val="nil"/>
              <w:bottom w:val="single" w:sz="4" w:space="0" w:color="auto"/>
              <w:right w:val="single" w:sz="4" w:space="0" w:color="auto"/>
            </w:tcBorders>
            <w:shd w:val="clear" w:color="auto" w:fill="auto"/>
            <w:noWrap/>
            <w:vAlign w:val="center"/>
            <w:hideMark/>
          </w:tcPr>
          <w:p w14:paraId="01894B37"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41,58</w:t>
            </w:r>
          </w:p>
        </w:tc>
        <w:tc>
          <w:tcPr>
            <w:tcW w:w="1184" w:type="dxa"/>
            <w:tcBorders>
              <w:top w:val="nil"/>
              <w:left w:val="nil"/>
              <w:bottom w:val="single" w:sz="4" w:space="0" w:color="auto"/>
              <w:right w:val="single" w:sz="4" w:space="0" w:color="auto"/>
            </w:tcBorders>
            <w:shd w:val="clear" w:color="auto" w:fill="auto"/>
            <w:noWrap/>
            <w:vAlign w:val="center"/>
            <w:hideMark/>
          </w:tcPr>
          <w:p w14:paraId="0B1734E1"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21,21</w:t>
            </w:r>
          </w:p>
        </w:tc>
        <w:tc>
          <w:tcPr>
            <w:tcW w:w="1462" w:type="dxa"/>
            <w:tcBorders>
              <w:top w:val="nil"/>
              <w:left w:val="nil"/>
              <w:bottom w:val="single" w:sz="4" w:space="0" w:color="auto"/>
              <w:right w:val="single" w:sz="4" w:space="0" w:color="auto"/>
            </w:tcBorders>
            <w:shd w:val="clear" w:color="auto" w:fill="auto"/>
            <w:noWrap/>
            <w:vAlign w:val="center"/>
            <w:hideMark/>
          </w:tcPr>
          <w:p w14:paraId="1454628D"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39,36</w:t>
            </w:r>
          </w:p>
        </w:tc>
        <w:tc>
          <w:tcPr>
            <w:tcW w:w="1071" w:type="dxa"/>
            <w:tcBorders>
              <w:top w:val="nil"/>
              <w:left w:val="nil"/>
              <w:bottom w:val="single" w:sz="4" w:space="0" w:color="auto"/>
              <w:right w:val="single" w:sz="4" w:space="0" w:color="auto"/>
            </w:tcBorders>
            <w:shd w:val="clear" w:color="auto" w:fill="auto"/>
            <w:noWrap/>
            <w:vAlign w:val="center"/>
            <w:hideMark/>
          </w:tcPr>
          <w:p w14:paraId="04556CCB"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31,49</w:t>
            </w:r>
          </w:p>
        </w:tc>
      </w:tr>
      <w:tr w:rsidR="00715E8E" w:rsidRPr="0005046E" w14:paraId="593B59DD" w14:textId="77777777" w:rsidTr="00F06D1D">
        <w:trPr>
          <w:trHeight w:val="31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6A2C1234"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Dosis de Fósforo</w:t>
            </w:r>
          </w:p>
        </w:tc>
        <w:tc>
          <w:tcPr>
            <w:tcW w:w="856" w:type="dxa"/>
            <w:tcBorders>
              <w:top w:val="nil"/>
              <w:left w:val="nil"/>
              <w:bottom w:val="single" w:sz="4" w:space="0" w:color="auto"/>
              <w:right w:val="single" w:sz="4" w:space="0" w:color="auto"/>
            </w:tcBorders>
            <w:shd w:val="clear" w:color="auto" w:fill="auto"/>
            <w:noWrap/>
            <w:vAlign w:val="center"/>
            <w:hideMark/>
          </w:tcPr>
          <w:p w14:paraId="37C33FE4"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7,97</w:t>
            </w:r>
          </w:p>
        </w:tc>
        <w:tc>
          <w:tcPr>
            <w:tcW w:w="1184" w:type="dxa"/>
            <w:tcBorders>
              <w:top w:val="nil"/>
              <w:left w:val="nil"/>
              <w:bottom w:val="single" w:sz="4" w:space="0" w:color="auto"/>
              <w:right w:val="single" w:sz="4" w:space="0" w:color="auto"/>
            </w:tcBorders>
            <w:shd w:val="clear" w:color="auto" w:fill="auto"/>
            <w:noWrap/>
            <w:vAlign w:val="center"/>
            <w:hideMark/>
          </w:tcPr>
          <w:p w14:paraId="5876CFFD"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0,57</w:t>
            </w:r>
          </w:p>
        </w:tc>
        <w:tc>
          <w:tcPr>
            <w:tcW w:w="1462" w:type="dxa"/>
            <w:tcBorders>
              <w:top w:val="nil"/>
              <w:left w:val="nil"/>
              <w:bottom w:val="single" w:sz="4" w:space="0" w:color="auto"/>
              <w:right w:val="single" w:sz="4" w:space="0" w:color="auto"/>
            </w:tcBorders>
            <w:shd w:val="clear" w:color="auto" w:fill="auto"/>
            <w:noWrap/>
            <w:vAlign w:val="center"/>
            <w:hideMark/>
          </w:tcPr>
          <w:p w14:paraId="611605A9"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3,65</w:t>
            </w:r>
          </w:p>
        </w:tc>
        <w:tc>
          <w:tcPr>
            <w:tcW w:w="1071" w:type="dxa"/>
            <w:tcBorders>
              <w:top w:val="nil"/>
              <w:left w:val="nil"/>
              <w:bottom w:val="single" w:sz="4" w:space="0" w:color="auto"/>
              <w:right w:val="single" w:sz="4" w:space="0" w:color="auto"/>
            </w:tcBorders>
            <w:shd w:val="clear" w:color="auto" w:fill="auto"/>
            <w:noWrap/>
            <w:vAlign w:val="center"/>
            <w:hideMark/>
          </w:tcPr>
          <w:p w14:paraId="24E3FBB0"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2,99</w:t>
            </w:r>
          </w:p>
        </w:tc>
      </w:tr>
      <w:tr w:rsidR="00715E8E" w:rsidRPr="0005046E" w14:paraId="7E0394F0" w14:textId="77777777" w:rsidTr="00F06D1D">
        <w:trPr>
          <w:trHeight w:val="31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54F365B3"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Dosis de Potasio</w:t>
            </w:r>
          </w:p>
        </w:tc>
        <w:tc>
          <w:tcPr>
            <w:tcW w:w="856" w:type="dxa"/>
            <w:tcBorders>
              <w:top w:val="nil"/>
              <w:left w:val="nil"/>
              <w:bottom w:val="single" w:sz="4" w:space="0" w:color="auto"/>
              <w:right w:val="single" w:sz="4" w:space="0" w:color="auto"/>
            </w:tcBorders>
            <w:shd w:val="clear" w:color="auto" w:fill="auto"/>
            <w:noWrap/>
            <w:vAlign w:val="center"/>
            <w:hideMark/>
          </w:tcPr>
          <w:p w14:paraId="18916BE1"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5,49</w:t>
            </w:r>
          </w:p>
        </w:tc>
        <w:tc>
          <w:tcPr>
            <w:tcW w:w="1184" w:type="dxa"/>
            <w:tcBorders>
              <w:top w:val="nil"/>
              <w:left w:val="nil"/>
              <w:bottom w:val="single" w:sz="4" w:space="0" w:color="auto"/>
              <w:right w:val="single" w:sz="4" w:space="0" w:color="auto"/>
            </w:tcBorders>
            <w:shd w:val="clear" w:color="auto" w:fill="auto"/>
            <w:noWrap/>
            <w:vAlign w:val="center"/>
            <w:hideMark/>
          </w:tcPr>
          <w:p w14:paraId="1DE46724"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20,86</w:t>
            </w:r>
          </w:p>
        </w:tc>
        <w:tc>
          <w:tcPr>
            <w:tcW w:w="1462" w:type="dxa"/>
            <w:tcBorders>
              <w:top w:val="nil"/>
              <w:left w:val="nil"/>
              <w:bottom w:val="single" w:sz="4" w:space="0" w:color="auto"/>
              <w:right w:val="single" w:sz="4" w:space="0" w:color="auto"/>
            </w:tcBorders>
            <w:shd w:val="clear" w:color="auto" w:fill="auto"/>
            <w:noWrap/>
            <w:vAlign w:val="center"/>
            <w:hideMark/>
          </w:tcPr>
          <w:p w14:paraId="5E557FBB"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6,19</w:t>
            </w:r>
          </w:p>
        </w:tc>
        <w:tc>
          <w:tcPr>
            <w:tcW w:w="1071" w:type="dxa"/>
            <w:tcBorders>
              <w:top w:val="nil"/>
              <w:left w:val="nil"/>
              <w:bottom w:val="single" w:sz="4" w:space="0" w:color="auto"/>
              <w:right w:val="single" w:sz="4" w:space="0" w:color="auto"/>
            </w:tcBorders>
            <w:shd w:val="clear" w:color="auto" w:fill="auto"/>
            <w:noWrap/>
            <w:vAlign w:val="center"/>
            <w:hideMark/>
          </w:tcPr>
          <w:p w14:paraId="111216DB" w14:textId="77777777" w:rsidR="00715E8E" w:rsidRPr="0005046E" w:rsidRDefault="00715E8E" w:rsidP="00715E8E">
            <w:pPr>
              <w:spacing w:after="0" w:line="240" w:lineRule="auto"/>
              <w:jc w:val="center"/>
              <w:rPr>
                <w:rFonts w:eastAsia="Times New Roman" w:cs="Times New Roman"/>
                <w:color w:val="000000"/>
                <w:szCs w:val="24"/>
                <w:lang w:eastAsia="es-EC"/>
              </w:rPr>
            </w:pPr>
            <w:r>
              <w:rPr>
                <w:rFonts w:eastAsia="Times New Roman" w:cs="Times New Roman"/>
                <w:color w:val="000000"/>
                <w:szCs w:val="24"/>
                <w:lang w:eastAsia="es-EC"/>
              </w:rPr>
              <w:t>10.84</w:t>
            </w:r>
          </w:p>
        </w:tc>
      </w:tr>
      <w:tr w:rsidR="00715E8E" w:rsidRPr="0005046E" w14:paraId="034F606A" w14:textId="77777777" w:rsidTr="00F06D1D">
        <w:trPr>
          <w:trHeight w:val="31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6A75C308"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Dosis de Azufre</w:t>
            </w:r>
          </w:p>
        </w:tc>
        <w:tc>
          <w:tcPr>
            <w:tcW w:w="856" w:type="dxa"/>
            <w:tcBorders>
              <w:top w:val="nil"/>
              <w:left w:val="nil"/>
              <w:bottom w:val="single" w:sz="4" w:space="0" w:color="auto"/>
              <w:right w:val="single" w:sz="4" w:space="0" w:color="auto"/>
            </w:tcBorders>
            <w:shd w:val="clear" w:color="auto" w:fill="auto"/>
            <w:noWrap/>
            <w:vAlign w:val="center"/>
            <w:hideMark/>
          </w:tcPr>
          <w:p w14:paraId="42C7EFE2"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0,6</w:t>
            </w:r>
          </w:p>
        </w:tc>
        <w:tc>
          <w:tcPr>
            <w:tcW w:w="1184" w:type="dxa"/>
            <w:tcBorders>
              <w:top w:val="nil"/>
              <w:left w:val="nil"/>
              <w:bottom w:val="single" w:sz="4" w:space="0" w:color="auto"/>
              <w:right w:val="single" w:sz="4" w:space="0" w:color="auto"/>
            </w:tcBorders>
            <w:shd w:val="clear" w:color="auto" w:fill="auto"/>
            <w:noWrap/>
            <w:vAlign w:val="center"/>
            <w:hideMark/>
          </w:tcPr>
          <w:p w14:paraId="0B4A931C"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0,87</w:t>
            </w:r>
          </w:p>
        </w:tc>
        <w:tc>
          <w:tcPr>
            <w:tcW w:w="1462" w:type="dxa"/>
            <w:tcBorders>
              <w:top w:val="nil"/>
              <w:left w:val="nil"/>
              <w:bottom w:val="single" w:sz="4" w:space="0" w:color="auto"/>
              <w:right w:val="single" w:sz="4" w:space="0" w:color="auto"/>
            </w:tcBorders>
            <w:shd w:val="clear" w:color="auto" w:fill="auto"/>
            <w:noWrap/>
            <w:vAlign w:val="center"/>
            <w:hideMark/>
          </w:tcPr>
          <w:p w14:paraId="46FA6320"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2,01</w:t>
            </w:r>
          </w:p>
        </w:tc>
        <w:tc>
          <w:tcPr>
            <w:tcW w:w="1071" w:type="dxa"/>
            <w:tcBorders>
              <w:top w:val="nil"/>
              <w:left w:val="nil"/>
              <w:bottom w:val="single" w:sz="4" w:space="0" w:color="auto"/>
              <w:right w:val="single" w:sz="4" w:space="0" w:color="auto"/>
            </w:tcBorders>
            <w:shd w:val="clear" w:color="auto" w:fill="auto"/>
            <w:noWrap/>
            <w:vAlign w:val="center"/>
            <w:hideMark/>
          </w:tcPr>
          <w:p w14:paraId="0EB9A72F"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0,57</w:t>
            </w:r>
          </w:p>
        </w:tc>
      </w:tr>
      <w:tr w:rsidR="00715E8E" w:rsidRPr="0005046E" w14:paraId="0338826D" w14:textId="77777777" w:rsidTr="00F06D1D">
        <w:trPr>
          <w:trHeight w:val="31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173267AD"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Dosis de Magnesio</w:t>
            </w:r>
          </w:p>
        </w:tc>
        <w:tc>
          <w:tcPr>
            <w:tcW w:w="856" w:type="dxa"/>
            <w:tcBorders>
              <w:top w:val="nil"/>
              <w:left w:val="nil"/>
              <w:bottom w:val="single" w:sz="4" w:space="0" w:color="auto"/>
              <w:right w:val="single" w:sz="4" w:space="0" w:color="auto"/>
            </w:tcBorders>
            <w:shd w:val="clear" w:color="auto" w:fill="auto"/>
            <w:noWrap/>
            <w:vAlign w:val="center"/>
            <w:hideMark/>
          </w:tcPr>
          <w:p w14:paraId="03C00EED"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0,66</w:t>
            </w:r>
          </w:p>
        </w:tc>
        <w:tc>
          <w:tcPr>
            <w:tcW w:w="1184" w:type="dxa"/>
            <w:tcBorders>
              <w:top w:val="nil"/>
              <w:left w:val="nil"/>
              <w:bottom w:val="single" w:sz="4" w:space="0" w:color="auto"/>
              <w:right w:val="single" w:sz="4" w:space="0" w:color="auto"/>
            </w:tcBorders>
            <w:shd w:val="clear" w:color="auto" w:fill="auto"/>
            <w:noWrap/>
            <w:vAlign w:val="center"/>
            <w:hideMark/>
          </w:tcPr>
          <w:p w14:paraId="7A09519E"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2,31</w:t>
            </w:r>
          </w:p>
        </w:tc>
        <w:tc>
          <w:tcPr>
            <w:tcW w:w="1462" w:type="dxa"/>
            <w:tcBorders>
              <w:top w:val="nil"/>
              <w:left w:val="nil"/>
              <w:bottom w:val="single" w:sz="4" w:space="0" w:color="auto"/>
              <w:right w:val="single" w:sz="4" w:space="0" w:color="auto"/>
            </w:tcBorders>
            <w:shd w:val="clear" w:color="auto" w:fill="auto"/>
            <w:noWrap/>
            <w:vAlign w:val="center"/>
            <w:hideMark/>
          </w:tcPr>
          <w:p w14:paraId="528D0B17"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1,05</w:t>
            </w:r>
          </w:p>
        </w:tc>
        <w:tc>
          <w:tcPr>
            <w:tcW w:w="1071" w:type="dxa"/>
            <w:tcBorders>
              <w:top w:val="nil"/>
              <w:left w:val="nil"/>
              <w:bottom w:val="single" w:sz="4" w:space="0" w:color="auto"/>
              <w:right w:val="single" w:sz="4" w:space="0" w:color="auto"/>
            </w:tcBorders>
            <w:shd w:val="clear" w:color="auto" w:fill="auto"/>
            <w:noWrap/>
            <w:vAlign w:val="center"/>
            <w:hideMark/>
          </w:tcPr>
          <w:p w14:paraId="07EF5264"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0,52</w:t>
            </w:r>
          </w:p>
        </w:tc>
      </w:tr>
      <w:tr w:rsidR="00715E8E" w:rsidRPr="0005046E" w14:paraId="6AB7A127" w14:textId="77777777" w:rsidTr="00F06D1D">
        <w:trPr>
          <w:trHeight w:val="31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29F036A3" w14:textId="77777777" w:rsidR="00715E8E" w:rsidRPr="0005046E" w:rsidRDefault="00715E8E" w:rsidP="00715E8E">
            <w:pPr>
              <w:spacing w:after="0" w:line="240" w:lineRule="auto"/>
              <w:jc w:val="center"/>
              <w:rPr>
                <w:rFonts w:ascii="Calibri" w:eastAsia="Times New Roman" w:hAnsi="Calibri" w:cs="Calibri"/>
                <w:color w:val="000000"/>
                <w:szCs w:val="24"/>
                <w:lang w:eastAsia="es-EC"/>
              </w:rPr>
            </w:pPr>
            <w:r w:rsidRPr="0005046E">
              <w:rPr>
                <w:rFonts w:ascii="Calibri" w:eastAsia="Times New Roman" w:hAnsi="Calibri" w:cs="Calibri"/>
                <w:color w:val="000000"/>
                <w:szCs w:val="24"/>
                <w:lang w:eastAsia="es-EC"/>
              </w:rPr>
              <w:t xml:space="preserve">Error ambiente </w:t>
            </w:r>
          </w:p>
        </w:tc>
        <w:tc>
          <w:tcPr>
            <w:tcW w:w="856" w:type="dxa"/>
            <w:tcBorders>
              <w:top w:val="nil"/>
              <w:left w:val="nil"/>
              <w:bottom w:val="single" w:sz="4" w:space="0" w:color="auto"/>
              <w:right w:val="single" w:sz="4" w:space="0" w:color="auto"/>
            </w:tcBorders>
            <w:shd w:val="clear" w:color="auto" w:fill="auto"/>
            <w:noWrap/>
            <w:vAlign w:val="bottom"/>
            <w:hideMark/>
          </w:tcPr>
          <w:p w14:paraId="7F6CD70B"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36,48</w:t>
            </w:r>
          </w:p>
        </w:tc>
        <w:tc>
          <w:tcPr>
            <w:tcW w:w="1184" w:type="dxa"/>
            <w:tcBorders>
              <w:top w:val="nil"/>
              <w:left w:val="nil"/>
              <w:bottom w:val="single" w:sz="4" w:space="0" w:color="auto"/>
              <w:right w:val="single" w:sz="4" w:space="0" w:color="auto"/>
            </w:tcBorders>
            <w:shd w:val="clear" w:color="auto" w:fill="auto"/>
            <w:noWrap/>
            <w:vAlign w:val="bottom"/>
            <w:hideMark/>
          </w:tcPr>
          <w:p w14:paraId="0D82AAF3"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7,91</w:t>
            </w:r>
          </w:p>
        </w:tc>
        <w:tc>
          <w:tcPr>
            <w:tcW w:w="1462" w:type="dxa"/>
            <w:tcBorders>
              <w:top w:val="nil"/>
              <w:left w:val="nil"/>
              <w:bottom w:val="single" w:sz="4" w:space="0" w:color="auto"/>
              <w:right w:val="single" w:sz="4" w:space="0" w:color="auto"/>
            </w:tcBorders>
            <w:shd w:val="clear" w:color="auto" w:fill="auto"/>
            <w:noWrap/>
            <w:vAlign w:val="bottom"/>
            <w:hideMark/>
          </w:tcPr>
          <w:p w14:paraId="68E4D9C2"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37,46</w:t>
            </w:r>
          </w:p>
        </w:tc>
        <w:tc>
          <w:tcPr>
            <w:tcW w:w="1071" w:type="dxa"/>
            <w:tcBorders>
              <w:top w:val="nil"/>
              <w:left w:val="nil"/>
              <w:bottom w:val="single" w:sz="4" w:space="0" w:color="auto"/>
              <w:right w:val="single" w:sz="4" w:space="0" w:color="auto"/>
            </w:tcBorders>
            <w:shd w:val="clear" w:color="auto" w:fill="auto"/>
            <w:noWrap/>
            <w:vAlign w:val="bottom"/>
            <w:hideMark/>
          </w:tcPr>
          <w:p w14:paraId="2E82CB22" w14:textId="77777777" w:rsidR="00715E8E" w:rsidRPr="0005046E" w:rsidRDefault="00715E8E" w:rsidP="00715E8E">
            <w:pPr>
              <w:spacing w:after="0" w:line="240" w:lineRule="auto"/>
              <w:jc w:val="center"/>
              <w:rPr>
                <w:rFonts w:eastAsia="Times New Roman" w:cs="Times New Roman"/>
                <w:color w:val="000000"/>
                <w:szCs w:val="24"/>
                <w:lang w:eastAsia="es-EC"/>
              </w:rPr>
            </w:pPr>
            <w:r w:rsidRPr="0005046E">
              <w:rPr>
                <w:rFonts w:eastAsia="Times New Roman" w:cs="Times New Roman"/>
                <w:color w:val="000000"/>
                <w:szCs w:val="24"/>
                <w:lang w:eastAsia="es-EC"/>
              </w:rPr>
              <w:t>54,06</w:t>
            </w:r>
          </w:p>
        </w:tc>
      </w:tr>
    </w:tbl>
    <w:p w14:paraId="379254BF" w14:textId="58C7A522" w:rsidR="00715E8E" w:rsidRPr="005106B9" w:rsidRDefault="00715E8E" w:rsidP="00F06D1D">
      <w:pPr>
        <w:spacing w:before="360" w:after="360" w:line="360" w:lineRule="auto"/>
        <w:rPr>
          <w:rFonts w:eastAsia="Times New Roman" w:cs="Times New Roman"/>
          <w:color w:val="000000"/>
          <w:szCs w:val="24"/>
          <w:lang w:eastAsia="es-EC"/>
        </w:rPr>
      </w:pPr>
      <w:r w:rsidRPr="005106B9">
        <w:rPr>
          <w:rFonts w:cs="Times New Roman"/>
        </w:rPr>
        <w:t xml:space="preserve">De acuerdo a la varianza explicada (Cuadro 187), </w:t>
      </w:r>
      <w:r w:rsidRPr="005106B9">
        <w:rPr>
          <w:rFonts w:eastAsia="Times New Roman" w:cs="Times New Roman"/>
          <w:color w:val="000000"/>
          <w:szCs w:val="24"/>
          <w:lang w:eastAsia="es-EC"/>
        </w:rPr>
        <w:t>se comprobó que el nitrógeno es el nutriente más relevante en las tres provincias del país, siendo responsable por el 31.49% en promedio (Combinado). El siguiente nutriente en importancia es potasio, que explicó el 10.84 %. El error (ambiente) fue responsable por un 54.06 %, en promedio, de la variación observada en el rendimiento.</w:t>
      </w:r>
    </w:p>
    <w:p w14:paraId="52A07B25" w14:textId="0EEE9BF0" w:rsidR="002F5DDD" w:rsidRPr="005106B9" w:rsidRDefault="002F5DDD" w:rsidP="002F5DDD">
      <w:pPr>
        <w:pStyle w:val="Descripcin"/>
        <w:keepNext/>
        <w:rPr>
          <w:rFonts w:eastAsia="Times New Roman" w:cs="Times New Roman"/>
          <w:i w:val="0"/>
          <w:iCs w:val="0"/>
          <w:color w:val="FF0000"/>
          <w:sz w:val="24"/>
          <w:szCs w:val="24"/>
          <w:lang w:eastAsia="es-EC"/>
        </w:rPr>
      </w:pPr>
      <w:bookmarkStart w:id="2299" w:name="_Toc79314180"/>
      <w:r w:rsidRPr="005106B9">
        <w:rPr>
          <w:rFonts w:eastAsia="Times New Roman" w:cs="Times New Roman"/>
          <w:b/>
          <w:i w:val="0"/>
          <w:iCs w:val="0"/>
          <w:color w:val="000000"/>
          <w:sz w:val="24"/>
          <w:szCs w:val="24"/>
          <w:lang w:eastAsia="es-EC"/>
        </w:rPr>
        <w:lastRenderedPageBreak/>
        <w:t xml:space="preserve">Cuadro </w:t>
      </w:r>
      <w:r w:rsidRPr="005106B9">
        <w:rPr>
          <w:rFonts w:eastAsia="Times New Roman" w:cs="Times New Roman"/>
          <w:b/>
          <w:i w:val="0"/>
          <w:iCs w:val="0"/>
          <w:color w:val="000000"/>
          <w:sz w:val="24"/>
          <w:szCs w:val="24"/>
          <w:lang w:eastAsia="es-EC"/>
        </w:rPr>
        <w:fldChar w:fldCharType="begin"/>
      </w:r>
      <w:r w:rsidRPr="005106B9">
        <w:rPr>
          <w:rFonts w:eastAsia="Times New Roman" w:cs="Times New Roman"/>
          <w:b/>
          <w:i w:val="0"/>
          <w:iCs w:val="0"/>
          <w:color w:val="000000"/>
          <w:sz w:val="24"/>
          <w:szCs w:val="24"/>
          <w:lang w:eastAsia="es-EC"/>
        </w:rPr>
        <w:instrText xml:space="preserve"> SEQ Cuadro \* ARABIC </w:instrText>
      </w:r>
      <w:r w:rsidRPr="005106B9">
        <w:rPr>
          <w:rFonts w:eastAsia="Times New Roman" w:cs="Times New Roman"/>
          <w:b/>
          <w:i w:val="0"/>
          <w:iCs w:val="0"/>
          <w:color w:val="000000"/>
          <w:sz w:val="24"/>
          <w:szCs w:val="24"/>
          <w:lang w:eastAsia="es-EC"/>
        </w:rPr>
        <w:fldChar w:fldCharType="separate"/>
      </w:r>
      <w:r w:rsidR="000D1F55">
        <w:rPr>
          <w:rFonts w:eastAsia="Times New Roman" w:cs="Times New Roman"/>
          <w:b/>
          <w:i w:val="0"/>
          <w:iCs w:val="0"/>
          <w:noProof/>
          <w:color w:val="000000"/>
          <w:sz w:val="24"/>
          <w:szCs w:val="24"/>
          <w:lang w:eastAsia="es-EC"/>
        </w:rPr>
        <w:t>187</w:t>
      </w:r>
      <w:r w:rsidRPr="005106B9">
        <w:rPr>
          <w:rFonts w:eastAsia="Times New Roman" w:cs="Times New Roman"/>
          <w:b/>
          <w:i w:val="0"/>
          <w:iCs w:val="0"/>
          <w:color w:val="000000"/>
          <w:sz w:val="24"/>
          <w:szCs w:val="24"/>
          <w:lang w:eastAsia="es-EC"/>
        </w:rPr>
        <w:fldChar w:fldCharType="end"/>
      </w:r>
      <w:r w:rsidRPr="005106B9">
        <w:rPr>
          <w:rFonts w:eastAsia="Times New Roman" w:cs="Times New Roman"/>
          <w:i w:val="0"/>
          <w:iCs w:val="0"/>
          <w:color w:val="000000"/>
          <w:sz w:val="24"/>
          <w:szCs w:val="24"/>
          <w:lang w:eastAsia="es-EC"/>
        </w:rPr>
        <w:t>. Efecto de diversas fuentes de variación sobre el rendimiento de maíz suave provincias de Bolívar, Chimborazo y de Imbabura obtenidas en 242 parcelas entre el 2006 al 2015.</w:t>
      </w:r>
      <w:bookmarkEnd w:id="2299"/>
      <w:r w:rsidR="00501D82" w:rsidRPr="005106B9">
        <w:rPr>
          <w:rFonts w:eastAsia="Times New Roman" w:cs="Times New Roman"/>
          <w:i w:val="0"/>
          <w:iCs w:val="0"/>
          <w:color w:val="000000"/>
          <w:sz w:val="24"/>
          <w:szCs w:val="24"/>
          <w:lang w:eastAsia="es-EC"/>
        </w:rPr>
        <w:t xml:space="preserve"> </w:t>
      </w:r>
    </w:p>
    <w:p w14:paraId="6A5D0D63" w14:textId="7B095026" w:rsidR="00715E8E" w:rsidRDefault="00076B4A" w:rsidP="00715E8E">
      <w:pPr>
        <w:spacing w:after="0" w:line="360" w:lineRule="auto"/>
        <w:rPr>
          <w:rFonts w:ascii="Calibri" w:eastAsia="Times New Roman" w:hAnsi="Calibri" w:cs="Calibri"/>
          <w:color w:val="000000"/>
          <w:szCs w:val="24"/>
          <w:lang w:eastAsia="es-EC"/>
        </w:rPr>
      </w:pPr>
      <w:r>
        <w:rPr>
          <w:noProof/>
          <w:lang w:eastAsia="es-EC"/>
        </w:rPr>
        <w:drawing>
          <wp:inline distT="0" distB="0" distL="0" distR="0" wp14:anchorId="53834163" wp14:editId="62C5E4CB">
            <wp:extent cx="5181600" cy="3133725"/>
            <wp:effectExtent l="0" t="0" r="0" b="9525"/>
            <wp:docPr id="87" name="Gráfico 87">
              <a:extLst xmlns:a="http://schemas.openxmlformats.org/drawingml/2006/main">
                <a:ext uri="{FF2B5EF4-FFF2-40B4-BE49-F238E27FC236}">
                  <a16:creationId xmlns:a16="http://schemas.microsoft.com/office/drawing/2014/main" id="{1A0B9E8C-74D3-47B7-A77C-19AC91F23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CB85AE5" w14:textId="73CF8C91" w:rsidR="00F06D1D" w:rsidRDefault="00F06D1D" w:rsidP="00715E8E">
      <w:pPr>
        <w:spacing w:after="0" w:line="360" w:lineRule="auto"/>
        <w:rPr>
          <w:rFonts w:ascii="Calibri" w:eastAsia="Times New Roman" w:hAnsi="Calibri" w:cs="Calibri"/>
          <w:color w:val="000000"/>
          <w:szCs w:val="24"/>
          <w:lang w:eastAsia="es-EC"/>
        </w:rPr>
      </w:pPr>
      <w:r>
        <w:rPr>
          <w:rFonts w:ascii="Calibri" w:eastAsia="Times New Roman" w:hAnsi="Calibri" w:cs="Calibri"/>
          <w:color w:val="000000"/>
          <w:szCs w:val="24"/>
          <w:lang w:eastAsia="es-EC"/>
        </w:rPr>
        <w:br w:type="page"/>
      </w:r>
    </w:p>
    <w:p w14:paraId="5DC1ED1A" w14:textId="2CE64F73" w:rsidR="00C82BCC" w:rsidRDefault="002F6F2F" w:rsidP="00F06D1D">
      <w:pPr>
        <w:pStyle w:val="Ttulo1"/>
        <w:numPr>
          <w:ilvl w:val="0"/>
          <w:numId w:val="40"/>
        </w:numPr>
        <w:spacing w:before="360" w:after="360"/>
      </w:pPr>
      <w:bookmarkStart w:id="2300" w:name="_Toc75702695"/>
      <w:bookmarkStart w:id="2301" w:name="_Toc79313262"/>
      <w:bookmarkStart w:id="2302" w:name="_Toc80312381"/>
      <w:bookmarkEnd w:id="2275"/>
      <w:bookmarkEnd w:id="2276"/>
      <w:bookmarkEnd w:id="2277"/>
      <w:bookmarkEnd w:id="2278"/>
      <w:bookmarkEnd w:id="2279"/>
      <w:bookmarkEnd w:id="2280"/>
      <w:bookmarkEnd w:id="2281"/>
      <w:r w:rsidRPr="002F6F2F">
        <w:lastRenderedPageBreak/>
        <w:t>COMPROBACI</w:t>
      </w:r>
      <w:r w:rsidR="00CC712A">
        <w:t>Ó</w:t>
      </w:r>
      <w:r w:rsidRPr="002F6F2F">
        <w:t>N DE LA HIP</w:t>
      </w:r>
      <w:r w:rsidR="00CC712A">
        <w:t>Ó</w:t>
      </w:r>
      <w:r w:rsidRPr="002F6F2F">
        <w:t>TESIS</w:t>
      </w:r>
      <w:bookmarkEnd w:id="2300"/>
      <w:bookmarkEnd w:id="2301"/>
      <w:bookmarkEnd w:id="2302"/>
    </w:p>
    <w:p w14:paraId="08461F11" w14:textId="31985DC6" w:rsidR="002B5A2F" w:rsidRDefault="002B5A2F" w:rsidP="00F06D1D">
      <w:pPr>
        <w:spacing w:before="360" w:after="360" w:line="360" w:lineRule="auto"/>
        <w:rPr>
          <w:rFonts w:cs="Times New Roman"/>
          <w:szCs w:val="24"/>
        </w:rPr>
      </w:pPr>
      <w:r>
        <w:rPr>
          <w:rFonts w:cs="Times New Roman"/>
          <w:szCs w:val="24"/>
        </w:rPr>
        <w:t xml:space="preserve">Después de concluir con el </w:t>
      </w:r>
      <w:r w:rsidR="007A4D93">
        <w:rPr>
          <w:rFonts w:cs="Times New Roman"/>
          <w:szCs w:val="24"/>
        </w:rPr>
        <w:t>análisis</w:t>
      </w:r>
      <w:r>
        <w:rPr>
          <w:rFonts w:cs="Times New Roman"/>
          <w:szCs w:val="24"/>
        </w:rPr>
        <w:t xml:space="preserve"> de los datos de las 242 parcelas del INIAP, los resultados obtenidos nos indican que l</w:t>
      </w:r>
      <w:r w:rsidRPr="002F6F2F">
        <w:rPr>
          <w:rFonts w:cs="Times New Roman"/>
          <w:szCs w:val="24"/>
        </w:rPr>
        <w:t xml:space="preserve">a respuesta del efecto de la fertilización de macronutrientes sobre el rendimiento del maíz suave en las tres provincias es diferente y depende de la variedad </w:t>
      </w:r>
      <w:bookmarkStart w:id="2303" w:name="_Hlk75725292"/>
      <w:r w:rsidRPr="002F6F2F">
        <w:rPr>
          <w:rFonts w:cs="Times New Roman"/>
          <w:szCs w:val="24"/>
        </w:rPr>
        <w:t xml:space="preserve">y </w:t>
      </w:r>
      <w:r>
        <w:rPr>
          <w:rFonts w:cs="Times New Roman"/>
          <w:szCs w:val="24"/>
        </w:rPr>
        <w:t>del efecto ambiental (provincia)</w:t>
      </w:r>
      <w:r w:rsidRPr="002F6F2F">
        <w:rPr>
          <w:rFonts w:cs="Times New Roman"/>
          <w:szCs w:val="24"/>
        </w:rPr>
        <w:t xml:space="preserve">, lo cual corresponde a la </w:t>
      </w:r>
      <w:r>
        <w:rPr>
          <w:rFonts w:cs="Times New Roman"/>
          <w:szCs w:val="24"/>
        </w:rPr>
        <w:t>a</w:t>
      </w:r>
      <w:r w:rsidRPr="002F6F2F">
        <w:rPr>
          <w:rFonts w:cs="Times New Roman"/>
          <w:szCs w:val="24"/>
        </w:rPr>
        <w:t xml:space="preserve">firmación de la </w:t>
      </w:r>
      <w:r>
        <w:rPr>
          <w:rFonts w:cs="Times New Roman"/>
          <w:szCs w:val="24"/>
        </w:rPr>
        <w:t>h</w:t>
      </w:r>
      <w:r w:rsidRPr="002F6F2F">
        <w:rPr>
          <w:rFonts w:cs="Times New Roman"/>
          <w:szCs w:val="24"/>
        </w:rPr>
        <w:t xml:space="preserve">ipótesis </w:t>
      </w:r>
      <w:r>
        <w:rPr>
          <w:rFonts w:cs="Times New Roman"/>
          <w:szCs w:val="24"/>
        </w:rPr>
        <w:t>a</w:t>
      </w:r>
      <w:r w:rsidRPr="002F6F2F">
        <w:rPr>
          <w:rFonts w:cs="Times New Roman"/>
          <w:szCs w:val="24"/>
        </w:rPr>
        <w:t>lterna.</w:t>
      </w:r>
      <w:r>
        <w:rPr>
          <w:rFonts w:cs="Times New Roman"/>
          <w:szCs w:val="24"/>
        </w:rPr>
        <w:t xml:space="preserve"> </w:t>
      </w:r>
    </w:p>
    <w:p w14:paraId="23398483" w14:textId="4CB94AAC" w:rsidR="002B5A2F" w:rsidRDefault="002B5A2F" w:rsidP="00F06D1D">
      <w:pPr>
        <w:spacing w:before="360" w:after="360" w:line="360" w:lineRule="auto"/>
        <w:rPr>
          <w:rFonts w:cs="Times New Roman"/>
          <w:szCs w:val="24"/>
        </w:rPr>
      </w:pPr>
      <w:r>
        <w:rPr>
          <w:rFonts w:cs="Times New Roman"/>
          <w:szCs w:val="24"/>
        </w:rPr>
        <w:t>La respuesta de los macronutrientes sobre el rendimiento del cultivo de maíz suave fue diferente para cada elemento químico analizado</w:t>
      </w:r>
      <w:bookmarkEnd w:id="2303"/>
      <w:r w:rsidR="00D34399">
        <w:rPr>
          <w:rFonts w:cs="Times New Roman"/>
          <w:szCs w:val="24"/>
        </w:rPr>
        <w:t>, por lo cual se acepta la hipótesis alterna, que indica que el rendimiento del maíz, depende de la localidad, la variedad y los niveles de elementos nutrimentales empleados.</w:t>
      </w:r>
    </w:p>
    <w:p w14:paraId="626CA4C5" w14:textId="63A0D770" w:rsidR="002B5A2F" w:rsidRPr="00962C6A" w:rsidRDefault="002B5A2F" w:rsidP="00D34399">
      <w:pPr>
        <w:spacing w:after="0" w:line="360" w:lineRule="auto"/>
        <w:rPr>
          <w:rFonts w:cs="Times New Roman"/>
          <w:szCs w:val="24"/>
        </w:rPr>
      </w:pPr>
      <w:r>
        <w:rPr>
          <w:rFonts w:cs="Times New Roman"/>
          <w:szCs w:val="24"/>
        </w:rPr>
        <w:t>De manera general, se puede concluir que el efecto de la fertilización sobre el rendimiento del maíz suave en las provincias de Imbabura, Bolívar y Chimborazo, varían de acuerdo a la provincia donde que s</w:t>
      </w:r>
      <w:r w:rsidR="002339A2">
        <w:rPr>
          <w:rFonts w:cs="Times New Roman"/>
          <w:szCs w:val="24"/>
        </w:rPr>
        <w:t>e</w:t>
      </w:r>
      <w:r>
        <w:rPr>
          <w:rFonts w:cs="Times New Roman"/>
          <w:szCs w:val="24"/>
        </w:rPr>
        <w:t xml:space="preserve"> desarrolla el cultivo, siendo el nitrógeno el principal nutriente para el rendimiento del cultivo. </w:t>
      </w:r>
    </w:p>
    <w:p w14:paraId="3C2FFDF0" w14:textId="77777777" w:rsidR="002F6F2F" w:rsidRDefault="002F6F2F" w:rsidP="00715E8E">
      <w:pPr>
        <w:spacing w:after="0" w:line="360" w:lineRule="auto"/>
        <w:rPr>
          <w:rFonts w:cs="Times New Roman"/>
        </w:rPr>
      </w:pPr>
    </w:p>
    <w:p w14:paraId="64D8A158" w14:textId="77777777" w:rsidR="00EA500B" w:rsidRDefault="00EA500B" w:rsidP="00671BD9">
      <w:pPr>
        <w:pStyle w:val="Ttulo1"/>
        <w:numPr>
          <w:ilvl w:val="0"/>
          <w:numId w:val="0"/>
        </w:numPr>
        <w:ind w:left="720"/>
      </w:pPr>
      <w:bookmarkStart w:id="2304" w:name="_Toc72741419"/>
      <w:bookmarkStart w:id="2305" w:name="_Toc72742217"/>
      <w:bookmarkStart w:id="2306" w:name="_Toc72743015"/>
      <w:bookmarkStart w:id="2307" w:name="_Toc72881739"/>
      <w:bookmarkStart w:id="2308" w:name="_Toc72882821"/>
      <w:bookmarkStart w:id="2309" w:name="_Toc75612085"/>
      <w:bookmarkStart w:id="2310" w:name="_Toc75612931"/>
      <w:bookmarkStart w:id="2311" w:name="_Toc75680082"/>
      <w:r>
        <w:br w:type="page"/>
      </w:r>
    </w:p>
    <w:p w14:paraId="100E05A1" w14:textId="15C36209" w:rsidR="00C82BCC" w:rsidRPr="00F06D1D" w:rsidRDefault="00C82BCC" w:rsidP="00F06D1D">
      <w:pPr>
        <w:pStyle w:val="Ttulo1"/>
        <w:numPr>
          <w:ilvl w:val="0"/>
          <w:numId w:val="40"/>
        </w:numPr>
        <w:spacing w:before="360" w:after="360"/>
      </w:pPr>
      <w:bookmarkStart w:id="2312" w:name="_Toc75702696"/>
      <w:bookmarkStart w:id="2313" w:name="_Toc79313263"/>
      <w:bookmarkStart w:id="2314" w:name="_Toc80312382"/>
      <w:r>
        <w:lastRenderedPageBreak/>
        <w:t>CONCLUSIONES Y RECOMENDACIONES</w:t>
      </w:r>
      <w:bookmarkEnd w:id="2304"/>
      <w:bookmarkEnd w:id="2305"/>
      <w:bookmarkEnd w:id="2306"/>
      <w:bookmarkEnd w:id="2307"/>
      <w:bookmarkEnd w:id="2308"/>
      <w:bookmarkEnd w:id="2309"/>
      <w:bookmarkEnd w:id="2310"/>
      <w:bookmarkEnd w:id="2311"/>
      <w:bookmarkEnd w:id="2312"/>
      <w:bookmarkEnd w:id="2313"/>
      <w:bookmarkEnd w:id="2314"/>
    </w:p>
    <w:p w14:paraId="04FAB9B9" w14:textId="58712AE6" w:rsidR="00C82BCC" w:rsidRDefault="00C82BCC" w:rsidP="00F06D1D">
      <w:pPr>
        <w:pStyle w:val="Ttulo2"/>
        <w:numPr>
          <w:ilvl w:val="1"/>
          <w:numId w:val="40"/>
        </w:numPr>
        <w:spacing w:before="360" w:after="360"/>
        <w:ind w:left="709"/>
      </w:pPr>
      <w:bookmarkStart w:id="2315" w:name="_Toc79313264"/>
      <w:bookmarkStart w:id="2316" w:name="_Toc80312383"/>
      <w:r>
        <w:t>Conclusiones</w:t>
      </w:r>
      <w:bookmarkEnd w:id="2315"/>
      <w:bookmarkEnd w:id="2316"/>
    </w:p>
    <w:p w14:paraId="5F89F8FF" w14:textId="5F62DAF8" w:rsidR="002B5A2F" w:rsidRPr="00EC1F6D" w:rsidRDefault="002B5A2F" w:rsidP="00F06D1D">
      <w:pPr>
        <w:pStyle w:val="Prrafodelista"/>
        <w:numPr>
          <w:ilvl w:val="0"/>
          <w:numId w:val="39"/>
        </w:numPr>
        <w:spacing w:before="360" w:after="360" w:line="360" w:lineRule="auto"/>
        <w:ind w:left="426"/>
        <w:rPr>
          <w:rFonts w:cs="Times New Roman"/>
          <w:bCs/>
          <w:szCs w:val="24"/>
        </w:rPr>
      </w:pPr>
      <w:r>
        <w:rPr>
          <w:rFonts w:cs="Times New Roman"/>
          <w:bCs/>
          <w:szCs w:val="24"/>
        </w:rPr>
        <w:t>S</w:t>
      </w:r>
      <w:r w:rsidRPr="00EC1F6D">
        <w:rPr>
          <w:rFonts w:cs="Times New Roman"/>
          <w:bCs/>
          <w:szCs w:val="24"/>
        </w:rPr>
        <w:t xml:space="preserve">e generó una base datos en Excel </w:t>
      </w:r>
      <w:r>
        <w:rPr>
          <w:rFonts w:cs="Times New Roman"/>
          <w:bCs/>
          <w:szCs w:val="24"/>
        </w:rPr>
        <w:t xml:space="preserve">provenientes de </w:t>
      </w:r>
      <w:r w:rsidRPr="00EC1F6D">
        <w:rPr>
          <w:rFonts w:cs="Times New Roman"/>
          <w:bCs/>
          <w:szCs w:val="24"/>
        </w:rPr>
        <w:t>26 archivos recibidos del Departamento de Suelos y Aguas de la Estación Experimental Santa Catalina del INIAP</w:t>
      </w:r>
      <w:r>
        <w:rPr>
          <w:rFonts w:cs="Times New Roman"/>
          <w:bCs/>
          <w:szCs w:val="24"/>
        </w:rPr>
        <w:t xml:space="preserve">. La base de datos </w:t>
      </w:r>
      <w:r w:rsidRPr="00EC1F6D">
        <w:rPr>
          <w:rFonts w:cs="Times New Roman"/>
          <w:bCs/>
          <w:szCs w:val="24"/>
        </w:rPr>
        <w:t>contiene 25 columnas o variables y 24</w:t>
      </w:r>
      <w:r w:rsidR="00D565A7">
        <w:rPr>
          <w:rFonts w:cs="Times New Roman"/>
          <w:bCs/>
          <w:szCs w:val="24"/>
        </w:rPr>
        <w:t>2</w:t>
      </w:r>
      <w:r w:rsidRPr="00EC1F6D">
        <w:rPr>
          <w:rFonts w:cs="Times New Roman"/>
          <w:bCs/>
          <w:szCs w:val="24"/>
        </w:rPr>
        <w:t xml:space="preserve"> casos o </w:t>
      </w:r>
      <w:r>
        <w:rPr>
          <w:rFonts w:cs="Times New Roman"/>
          <w:bCs/>
          <w:szCs w:val="24"/>
        </w:rPr>
        <w:t>parcelas,</w:t>
      </w:r>
      <w:r w:rsidRPr="00EC1F6D">
        <w:rPr>
          <w:rFonts w:cs="Times New Roman"/>
          <w:bCs/>
          <w:szCs w:val="24"/>
        </w:rPr>
        <w:t xml:space="preserve"> </w:t>
      </w:r>
      <w:r>
        <w:rPr>
          <w:rFonts w:cs="Times New Roman"/>
          <w:bCs/>
          <w:szCs w:val="24"/>
        </w:rPr>
        <w:t xml:space="preserve">con información de ensayos de maíz suave de </w:t>
      </w:r>
      <w:r w:rsidRPr="00EC1F6D">
        <w:rPr>
          <w:rFonts w:cs="Times New Roman"/>
          <w:bCs/>
          <w:szCs w:val="24"/>
        </w:rPr>
        <w:t xml:space="preserve">tres provincias de la </w:t>
      </w:r>
      <w:r>
        <w:rPr>
          <w:rFonts w:cs="Times New Roman"/>
          <w:bCs/>
          <w:szCs w:val="24"/>
        </w:rPr>
        <w:t>S</w:t>
      </w:r>
      <w:r w:rsidRPr="00EC1F6D">
        <w:rPr>
          <w:rFonts w:cs="Times New Roman"/>
          <w:bCs/>
          <w:szCs w:val="24"/>
        </w:rPr>
        <w:t>ierra del Ecuador (</w:t>
      </w:r>
      <w:r w:rsidRPr="00EC1F6D">
        <w:rPr>
          <w:rFonts w:cs="Times New Roman"/>
          <w:szCs w:val="24"/>
        </w:rPr>
        <w:t xml:space="preserve">Bolívar, Imbabura y Chimborazo), </w:t>
      </w:r>
      <w:r w:rsidRPr="00EC1F6D">
        <w:rPr>
          <w:rFonts w:cs="Times New Roman"/>
          <w:bCs/>
          <w:szCs w:val="24"/>
        </w:rPr>
        <w:t xml:space="preserve">durante los años 2006 </w:t>
      </w:r>
      <w:r>
        <w:rPr>
          <w:rFonts w:cs="Times New Roman"/>
          <w:bCs/>
          <w:szCs w:val="24"/>
        </w:rPr>
        <w:t>al</w:t>
      </w:r>
      <w:r w:rsidRPr="00EC1F6D">
        <w:rPr>
          <w:rFonts w:cs="Times New Roman"/>
          <w:bCs/>
          <w:szCs w:val="24"/>
        </w:rPr>
        <w:t xml:space="preserve"> 2015</w:t>
      </w:r>
      <w:r>
        <w:rPr>
          <w:rFonts w:cs="Times New Roman"/>
          <w:bCs/>
          <w:szCs w:val="24"/>
        </w:rPr>
        <w:t>.</w:t>
      </w:r>
      <w:r w:rsidRPr="00EC1F6D">
        <w:rPr>
          <w:rFonts w:cs="Times New Roman"/>
          <w:bCs/>
          <w:szCs w:val="24"/>
        </w:rPr>
        <w:t xml:space="preserve"> </w:t>
      </w:r>
    </w:p>
    <w:p w14:paraId="4B223763" w14:textId="23EDC764" w:rsidR="002B5A2F" w:rsidRDefault="002B5A2F" w:rsidP="00F06D1D">
      <w:pPr>
        <w:pStyle w:val="Prrafodelista"/>
        <w:numPr>
          <w:ilvl w:val="0"/>
          <w:numId w:val="39"/>
        </w:numPr>
        <w:spacing w:before="360" w:after="120" w:line="360" w:lineRule="auto"/>
        <w:ind w:left="426"/>
        <w:rPr>
          <w:rFonts w:cs="Times New Roman"/>
          <w:szCs w:val="24"/>
        </w:rPr>
      </w:pPr>
      <w:r w:rsidRPr="00EC1F6D">
        <w:rPr>
          <w:rFonts w:cs="Times New Roman"/>
          <w:szCs w:val="24"/>
        </w:rPr>
        <w:t>Se realizó el análisis de la respuesta de rendimiento del maíz a la aplicación de macronutrientes en las provincias de Bolívar, Imbabura y Chimborazo</w:t>
      </w:r>
      <w:r>
        <w:rPr>
          <w:rFonts w:cs="Times New Roman"/>
          <w:szCs w:val="24"/>
        </w:rPr>
        <w:t xml:space="preserve">, siendo el nitrógeno el elemento más importante, explicando el 31.49% de la variación observada en el rendimiento. Como segundo elemento en importancia se identificó al potasio con el 3.53% de la variación, seguidos de fósforo con 2.99 %, azufre con 0.57% y el magnesio 0.52%. El fósforo, azufre y magnesio no tuvieron una incidencia significativa (p&gt;0.05) sobre el rendimiento de maíz suave. </w:t>
      </w:r>
    </w:p>
    <w:p w14:paraId="7AB3A841" w14:textId="77777777" w:rsidR="002B5A2F" w:rsidRDefault="002B5A2F" w:rsidP="00135DE8">
      <w:pPr>
        <w:pStyle w:val="Prrafodelista"/>
        <w:numPr>
          <w:ilvl w:val="0"/>
          <w:numId w:val="39"/>
        </w:numPr>
        <w:spacing w:after="0" w:line="360" w:lineRule="auto"/>
        <w:ind w:left="426"/>
        <w:rPr>
          <w:rFonts w:cs="Times New Roman"/>
          <w:szCs w:val="24"/>
        </w:rPr>
      </w:pPr>
      <w:r>
        <w:rPr>
          <w:rFonts w:cs="Times New Roman"/>
          <w:szCs w:val="24"/>
        </w:rPr>
        <w:t>En la provincia de Bolívar, el cultivo de maíz suave absorbió en promedio 102 kg ha</w:t>
      </w:r>
      <w:r>
        <w:rPr>
          <w:rFonts w:cs="Times New Roman"/>
          <w:szCs w:val="24"/>
          <w:vertAlign w:val="superscript"/>
        </w:rPr>
        <w:t xml:space="preserve">-1 </w:t>
      </w:r>
      <w:r>
        <w:rPr>
          <w:rFonts w:cs="Times New Roman"/>
          <w:szCs w:val="24"/>
        </w:rPr>
        <w:t>de nitrógeno,17.55 kg ha</w:t>
      </w:r>
      <w:r>
        <w:rPr>
          <w:rFonts w:cs="Times New Roman"/>
          <w:szCs w:val="24"/>
          <w:vertAlign w:val="superscript"/>
        </w:rPr>
        <w:t xml:space="preserve">-1 </w:t>
      </w:r>
      <w:r>
        <w:rPr>
          <w:rFonts w:cs="Times New Roman"/>
          <w:szCs w:val="24"/>
        </w:rPr>
        <w:t>de fosforo,</w:t>
      </w:r>
      <w:r w:rsidRPr="00C472EF">
        <w:rPr>
          <w:rFonts w:cs="Times New Roman"/>
          <w:szCs w:val="24"/>
        </w:rPr>
        <w:t xml:space="preserve"> </w:t>
      </w:r>
      <w:r>
        <w:rPr>
          <w:rFonts w:cs="Times New Roman"/>
          <w:szCs w:val="24"/>
        </w:rPr>
        <w:t>121,14 kg ha</w:t>
      </w:r>
      <w:r>
        <w:rPr>
          <w:rFonts w:cs="Times New Roman"/>
          <w:szCs w:val="24"/>
          <w:vertAlign w:val="superscript"/>
        </w:rPr>
        <w:t xml:space="preserve">-1 </w:t>
      </w:r>
      <w:r>
        <w:rPr>
          <w:rFonts w:cs="Times New Roman"/>
          <w:szCs w:val="24"/>
        </w:rPr>
        <w:t>de potasio, 6.31 kg ha</w:t>
      </w:r>
      <w:r>
        <w:rPr>
          <w:rFonts w:cs="Times New Roman"/>
          <w:szCs w:val="24"/>
          <w:vertAlign w:val="superscript"/>
        </w:rPr>
        <w:t xml:space="preserve">-1 </w:t>
      </w:r>
      <w:r>
        <w:rPr>
          <w:rFonts w:cs="Times New Roman"/>
          <w:szCs w:val="24"/>
        </w:rPr>
        <w:t>de azufre y 17.69 kg ha</w:t>
      </w:r>
      <w:r>
        <w:rPr>
          <w:rFonts w:cs="Times New Roman"/>
          <w:szCs w:val="24"/>
          <w:vertAlign w:val="superscript"/>
        </w:rPr>
        <w:t xml:space="preserve">-1 </w:t>
      </w:r>
      <w:r>
        <w:rPr>
          <w:rFonts w:cs="Times New Roman"/>
          <w:szCs w:val="24"/>
        </w:rPr>
        <w:t>de magnesio, y obtuvo un promedio de rendimiento de grano de 3.79 t ha</w:t>
      </w:r>
      <w:r w:rsidRPr="00FD12E7">
        <w:rPr>
          <w:rFonts w:cs="Times New Roman"/>
          <w:szCs w:val="24"/>
          <w:vertAlign w:val="superscript"/>
        </w:rPr>
        <w:t>-1</w:t>
      </w:r>
      <w:r>
        <w:rPr>
          <w:rFonts w:cs="Times New Roman"/>
          <w:szCs w:val="24"/>
        </w:rPr>
        <w:t>.</w:t>
      </w:r>
    </w:p>
    <w:p w14:paraId="594AB6E7" w14:textId="67B069B8" w:rsidR="002B5A2F" w:rsidRDefault="002B5A2F" w:rsidP="00135DE8">
      <w:pPr>
        <w:pStyle w:val="Prrafodelista"/>
        <w:numPr>
          <w:ilvl w:val="0"/>
          <w:numId w:val="39"/>
        </w:numPr>
        <w:spacing w:after="0" w:line="360" w:lineRule="auto"/>
        <w:ind w:left="426"/>
        <w:rPr>
          <w:rFonts w:cs="Times New Roman"/>
          <w:szCs w:val="24"/>
        </w:rPr>
      </w:pPr>
      <w:r>
        <w:rPr>
          <w:rFonts w:cs="Times New Roman"/>
          <w:szCs w:val="24"/>
        </w:rPr>
        <w:t>En la provincia de Imbabura, el cultivo de maíz suave absorbió en promedio 167.60 kg ha</w:t>
      </w:r>
      <w:r>
        <w:rPr>
          <w:rFonts w:cs="Times New Roman"/>
          <w:szCs w:val="24"/>
          <w:vertAlign w:val="superscript"/>
        </w:rPr>
        <w:t xml:space="preserve">-1 </w:t>
      </w:r>
      <w:r>
        <w:rPr>
          <w:rFonts w:cs="Times New Roman"/>
          <w:szCs w:val="24"/>
        </w:rPr>
        <w:t>de nitrógeno, 37.85 kg ha</w:t>
      </w:r>
      <w:r>
        <w:rPr>
          <w:rFonts w:cs="Times New Roman"/>
          <w:szCs w:val="24"/>
          <w:vertAlign w:val="superscript"/>
        </w:rPr>
        <w:t xml:space="preserve">-1 </w:t>
      </w:r>
      <w:r>
        <w:rPr>
          <w:rFonts w:cs="Times New Roman"/>
          <w:szCs w:val="24"/>
        </w:rPr>
        <w:t>de fosforo,</w:t>
      </w:r>
      <w:r w:rsidRPr="00C472EF">
        <w:rPr>
          <w:rFonts w:cs="Times New Roman"/>
          <w:szCs w:val="24"/>
        </w:rPr>
        <w:t xml:space="preserve"> </w:t>
      </w:r>
      <w:r>
        <w:rPr>
          <w:rFonts w:cs="Times New Roman"/>
          <w:szCs w:val="24"/>
        </w:rPr>
        <w:t>137.69 kg ha</w:t>
      </w:r>
      <w:r>
        <w:rPr>
          <w:rFonts w:cs="Times New Roman"/>
          <w:szCs w:val="24"/>
          <w:vertAlign w:val="superscript"/>
        </w:rPr>
        <w:t xml:space="preserve">-1 </w:t>
      </w:r>
      <w:r>
        <w:rPr>
          <w:rFonts w:cs="Times New Roman"/>
          <w:szCs w:val="24"/>
        </w:rPr>
        <w:t>de potasio, 19.81 kg ha</w:t>
      </w:r>
      <w:r>
        <w:rPr>
          <w:rFonts w:cs="Times New Roman"/>
          <w:szCs w:val="24"/>
          <w:vertAlign w:val="superscript"/>
        </w:rPr>
        <w:t xml:space="preserve">-1 </w:t>
      </w:r>
      <w:r>
        <w:rPr>
          <w:rFonts w:cs="Times New Roman"/>
          <w:szCs w:val="24"/>
        </w:rPr>
        <w:t>de azufre y</w:t>
      </w:r>
      <w:r w:rsidRPr="00C472EF">
        <w:rPr>
          <w:rFonts w:cs="Times New Roman"/>
          <w:szCs w:val="24"/>
        </w:rPr>
        <w:t xml:space="preserve"> </w:t>
      </w:r>
      <w:r>
        <w:rPr>
          <w:rFonts w:cs="Times New Roman"/>
          <w:szCs w:val="24"/>
        </w:rPr>
        <w:t>24.53 kg ha</w:t>
      </w:r>
      <w:r>
        <w:rPr>
          <w:rFonts w:cs="Times New Roman"/>
          <w:szCs w:val="24"/>
          <w:vertAlign w:val="superscript"/>
        </w:rPr>
        <w:t xml:space="preserve">-1 </w:t>
      </w:r>
      <w:r>
        <w:rPr>
          <w:rFonts w:cs="Times New Roman"/>
          <w:szCs w:val="24"/>
        </w:rPr>
        <w:t>de magnesio, y obtuvo un promedio de rendimiento de grano de 4.59 t ha</w:t>
      </w:r>
      <w:r w:rsidRPr="00FD12E7">
        <w:rPr>
          <w:rFonts w:cs="Times New Roman"/>
          <w:szCs w:val="24"/>
          <w:vertAlign w:val="superscript"/>
        </w:rPr>
        <w:t>-1</w:t>
      </w:r>
      <w:r>
        <w:rPr>
          <w:rFonts w:cs="Times New Roman"/>
          <w:szCs w:val="24"/>
        </w:rPr>
        <w:t>.</w:t>
      </w:r>
    </w:p>
    <w:p w14:paraId="2257AE56" w14:textId="3EABF8D5" w:rsidR="002B5A2F" w:rsidRDefault="002B5A2F" w:rsidP="00135DE8">
      <w:pPr>
        <w:pStyle w:val="Prrafodelista"/>
        <w:numPr>
          <w:ilvl w:val="0"/>
          <w:numId w:val="39"/>
        </w:numPr>
        <w:spacing w:after="0" w:line="360" w:lineRule="auto"/>
        <w:ind w:left="426"/>
        <w:rPr>
          <w:rFonts w:cs="Times New Roman"/>
          <w:szCs w:val="24"/>
        </w:rPr>
      </w:pPr>
      <w:r>
        <w:rPr>
          <w:rFonts w:cs="Times New Roman"/>
          <w:szCs w:val="24"/>
        </w:rPr>
        <w:t>En la provincia de Chimborazo, el cultivo de maíz suave absorbió en promedio 111.25 kg ha</w:t>
      </w:r>
      <w:r>
        <w:rPr>
          <w:rFonts w:cs="Times New Roman"/>
          <w:szCs w:val="24"/>
          <w:vertAlign w:val="superscript"/>
        </w:rPr>
        <w:t xml:space="preserve">-1 </w:t>
      </w:r>
      <w:r>
        <w:rPr>
          <w:rFonts w:cs="Times New Roman"/>
          <w:szCs w:val="24"/>
        </w:rPr>
        <w:t>de nitrógeno, 26.42 kg ha</w:t>
      </w:r>
      <w:r>
        <w:rPr>
          <w:rFonts w:cs="Times New Roman"/>
          <w:szCs w:val="24"/>
          <w:vertAlign w:val="superscript"/>
        </w:rPr>
        <w:t xml:space="preserve">-1 </w:t>
      </w:r>
      <w:r>
        <w:rPr>
          <w:rFonts w:cs="Times New Roman"/>
          <w:szCs w:val="24"/>
        </w:rPr>
        <w:t>de fosforo,</w:t>
      </w:r>
      <w:r w:rsidRPr="00C472EF">
        <w:rPr>
          <w:rFonts w:cs="Times New Roman"/>
          <w:szCs w:val="24"/>
        </w:rPr>
        <w:t xml:space="preserve"> </w:t>
      </w:r>
      <w:r>
        <w:rPr>
          <w:rFonts w:cs="Times New Roman"/>
          <w:szCs w:val="24"/>
        </w:rPr>
        <w:t>90.07 kg ha</w:t>
      </w:r>
      <w:r>
        <w:rPr>
          <w:rFonts w:cs="Times New Roman"/>
          <w:szCs w:val="24"/>
          <w:vertAlign w:val="superscript"/>
        </w:rPr>
        <w:t xml:space="preserve">-1 </w:t>
      </w:r>
      <w:r>
        <w:rPr>
          <w:rFonts w:cs="Times New Roman"/>
          <w:szCs w:val="24"/>
        </w:rPr>
        <w:t>de potasio, 9.21 kg ha</w:t>
      </w:r>
      <w:r>
        <w:rPr>
          <w:rFonts w:cs="Times New Roman"/>
          <w:szCs w:val="24"/>
          <w:vertAlign w:val="superscript"/>
        </w:rPr>
        <w:t xml:space="preserve">-1 </w:t>
      </w:r>
      <w:r>
        <w:rPr>
          <w:rFonts w:cs="Times New Roman"/>
          <w:szCs w:val="24"/>
        </w:rPr>
        <w:t>de azufre y</w:t>
      </w:r>
      <w:r w:rsidRPr="00C472EF">
        <w:rPr>
          <w:rFonts w:cs="Times New Roman"/>
          <w:szCs w:val="24"/>
        </w:rPr>
        <w:t xml:space="preserve"> </w:t>
      </w:r>
      <w:r>
        <w:rPr>
          <w:rFonts w:cs="Times New Roman"/>
          <w:szCs w:val="24"/>
        </w:rPr>
        <w:t>17.56 kg ha</w:t>
      </w:r>
      <w:r>
        <w:rPr>
          <w:rFonts w:cs="Times New Roman"/>
          <w:szCs w:val="24"/>
          <w:vertAlign w:val="superscript"/>
        </w:rPr>
        <w:t xml:space="preserve">-1 </w:t>
      </w:r>
      <w:r>
        <w:rPr>
          <w:rFonts w:cs="Times New Roman"/>
          <w:szCs w:val="24"/>
        </w:rPr>
        <w:t>de magnesio, y obtuvo un promedio de rendimiento de grano de 4.59 t ha</w:t>
      </w:r>
      <w:r w:rsidRPr="00FD12E7">
        <w:rPr>
          <w:rFonts w:cs="Times New Roman"/>
          <w:szCs w:val="24"/>
          <w:vertAlign w:val="superscript"/>
        </w:rPr>
        <w:t>-1</w:t>
      </w:r>
      <w:r>
        <w:rPr>
          <w:rFonts w:cs="Times New Roman"/>
          <w:szCs w:val="24"/>
        </w:rPr>
        <w:t>.</w:t>
      </w:r>
    </w:p>
    <w:p w14:paraId="167E9672" w14:textId="745C7788" w:rsidR="00FB60B2" w:rsidRPr="002B5A2F" w:rsidRDefault="002B5A2F" w:rsidP="00135DE8">
      <w:pPr>
        <w:pStyle w:val="Prrafodelista"/>
        <w:numPr>
          <w:ilvl w:val="0"/>
          <w:numId w:val="39"/>
        </w:numPr>
        <w:spacing w:after="0" w:line="360" w:lineRule="auto"/>
        <w:ind w:left="426"/>
        <w:rPr>
          <w:rFonts w:cs="Times New Roman"/>
          <w:szCs w:val="24"/>
        </w:rPr>
      </w:pPr>
      <w:r>
        <w:rPr>
          <w:rFonts w:cs="Times New Roman"/>
          <w:szCs w:val="24"/>
        </w:rPr>
        <w:t>En el promedio general de las tres provincias, el cultivo de maíz suave absorbió 124.06 kg ha</w:t>
      </w:r>
      <w:r>
        <w:rPr>
          <w:rFonts w:cs="Times New Roman"/>
          <w:szCs w:val="24"/>
          <w:vertAlign w:val="superscript"/>
        </w:rPr>
        <w:t xml:space="preserve">-1 </w:t>
      </w:r>
      <w:r>
        <w:rPr>
          <w:rFonts w:cs="Times New Roman"/>
          <w:szCs w:val="24"/>
        </w:rPr>
        <w:t>de nitrógeno, 26.38 kg ha</w:t>
      </w:r>
      <w:r>
        <w:rPr>
          <w:rFonts w:cs="Times New Roman"/>
          <w:szCs w:val="24"/>
          <w:vertAlign w:val="superscript"/>
        </w:rPr>
        <w:t xml:space="preserve">-1 </w:t>
      </w:r>
      <w:r>
        <w:rPr>
          <w:rFonts w:cs="Times New Roman"/>
          <w:szCs w:val="24"/>
        </w:rPr>
        <w:t>de fosforo,</w:t>
      </w:r>
      <w:r w:rsidRPr="00C472EF">
        <w:rPr>
          <w:rFonts w:cs="Times New Roman"/>
          <w:szCs w:val="24"/>
        </w:rPr>
        <w:t xml:space="preserve"> </w:t>
      </w:r>
      <w:r>
        <w:rPr>
          <w:rFonts w:cs="Times New Roman"/>
          <w:szCs w:val="24"/>
        </w:rPr>
        <w:t>115.31 kg ha</w:t>
      </w:r>
      <w:r>
        <w:rPr>
          <w:rFonts w:cs="Times New Roman"/>
          <w:szCs w:val="24"/>
          <w:vertAlign w:val="superscript"/>
        </w:rPr>
        <w:t xml:space="preserve">-1 </w:t>
      </w:r>
      <w:r>
        <w:rPr>
          <w:rFonts w:cs="Times New Roman"/>
          <w:szCs w:val="24"/>
        </w:rPr>
        <w:t xml:space="preserve">de potasio, </w:t>
      </w:r>
      <w:r>
        <w:rPr>
          <w:rFonts w:cs="Times New Roman"/>
          <w:szCs w:val="24"/>
        </w:rPr>
        <w:lastRenderedPageBreak/>
        <w:t>11.16 kg ha</w:t>
      </w:r>
      <w:r>
        <w:rPr>
          <w:rFonts w:cs="Times New Roman"/>
          <w:szCs w:val="24"/>
          <w:vertAlign w:val="superscript"/>
        </w:rPr>
        <w:t xml:space="preserve">-1 </w:t>
      </w:r>
      <w:r>
        <w:rPr>
          <w:rFonts w:cs="Times New Roman"/>
          <w:szCs w:val="24"/>
        </w:rPr>
        <w:t>de azufre y</w:t>
      </w:r>
      <w:r w:rsidRPr="00C472EF">
        <w:rPr>
          <w:rFonts w:cs="Times New Roman"/>
          <w:szCs w:val="24"/>
        </w:rPr>
        <w:t xml:space="preserve"> </w:t>
      </w:r>
      <w:r>
        <w:rPr>
          <w:rFonts w:cs="Times New Roman"/>
          <w:szCs w:val="24"/>
        </w:rPr>
        <w:t>19.61 kg ha</w:t>
      </w:r>
      <w:r>
        <w:rPr>
          <w:rFonts w:cs="Times New Roman"/>
          <w:szCs w:val="24"/>
          <w:vertAlign w:val="superscript"/>
        </w:rPr>
        <w:t xml:space="preserve">-1 </w:t>
      </w:r>
      <w:r>
        <w:rPr>
          <w:rFonts w:cs="Times New Roman"/>
          <w:szCs w:val="24"/>
        </w:rPr>
        <w:t>de magnesio, y obtuvo un promedio de rendimiento de grano de 4.29 t ha</w:t>
      </w:r>
      <w:r w:rsidRPr="005E1A4D">
        <w:rPr>
          <w:rFonts w:cs="Times New Roman"/>
          <w:szCs w:val="24"/>
          <w:vertAlign w:val="superscript"/>
        </w:rPr>
        <w:t>-1</w:t>
      </w:r>
      <w:r>
        <w:rPr>
          <w:rFonts w:cs="Times New Roman"/>
          <w:szCs w:val="24"/>
        </w:rPr>
        <w:t>.</w:t>
      </w:r>
    </w:p>
    <w:p w14:paraId="39A16F46" w14:textId="77777777" w:rsidR="00EF2178" w:rsidRDefault="00EF2178">
      <w:pPr>
        <w:jc w:val="left"/>
        <w:rPr>
          <w:rFonts w:eastAsiaTheme="majorEastAsia" w:cs="Times New Roman"/>
          <w:b/>
          <w:bCs/>
          <w:szCs w:val="24"/>
          <w:lang w:val="es-ES"/>
        </w:rPr>
      </w:pPr>
      <w:r>
        <w:br w:type="page"/>
      </w:r>
    </w:p>
    <w:p w14:paraId="041CBF3B" w14:textId="474C2E1C" w:rsidR="00C82BCC" w:rsidRDefault="00C82BCC" w:rsidP="00135DE8">
      <w:pPr>
        <w:pStyle w:val="Ttulo2"/>
        <w:numPr>
          <w:ilvl w:val="1"/>
          <w:numId w:val="40"/>
        </w:numPr>
        <w:ind w:left="709"/>
      </w:pPr>
      <w:bookmarkStart w:id="2317" w:name="_Toc79313265"/>
      <w:bookmarkStart w:id="2318" w:name="_Toc80312384"/>
      <w:r>
        <w:lastRenderedPageBreak/>
        <w:t>Recomendaciones</w:t>
      </w:r>
      <w:bookmarkEnd w:id="2317"/>
      <w:bookmarkEnd w:id="2318"/>
    </w:p>
    <w:p w14:paraId="7C71FECF" w14:textId="06D3E0E5" w:rsidR="002B5A2F" w:rsidRPr="00EA0D3B" w:rsidRDefault="002B5A2F" w:rsidP="00135DE8">
      <w:pPr>
        <w:pStyle w:val="Prrafodelista"/>
        <w:numPr>
          <w:ilvl w:val="0"/>
          <w:numId w:val="15"/>
        </w:numPr>
        <w:spacing w:before="360" w:after="360" w:line="360" w:lineRule="auto"/>
        <w:ind w:left="425" w:hanging="357"/>
        <w:rPr>
          <w:rFonts w:cs="Times New Roman"/>
        </w:rPr>
      </w:pPr>
      <w:r>
        <w:rPr>
          <w:rFonts w:cs="Times New Roman"/>
        </w:rPr>
        <w:t xml:space="preserve">Al ser el ambiente uno de los principales factores que influencian el rendimiento del cultivo de maíz suave en la Sierra del Ecuador, se recomienda estudiar el efecto de las </w:t>
      </w:r>
      <w:r w:rsidRPr="00EA0D3B">
        <w:rPr>
          <w:rFonts w:cs="Times New Roman"/>
        </w:rPr>
        <w:t xml:space="preserve">precipitaciones, humedad ambiental, potencial de evapotranspiración y otros en investigaciones subsecuentes. </w:t>
      </w:r>
    </w:p>
    <w:p w14:paraId="622F2820" w14:textId="77777777" w:rsidR="002B5A2F" w:rsidRPr="00EA0D3B" w:rsidRDefault="002B5A2F" w:rsidP="00135DE8">
      <w:pPr>
        <w:pStyle w:val="Prrafodelista"/>
        <w:numPr>
          <w:ilvl w:val="0"/>
          <w:numId w:val="15"/>
        </w:numPr>
        <w:spacing w:before="360" w:after="360" w:line="360" w:lineRule="auto"/>
        <w:ind w:left="425" w:hanging="357"/>
        <w:rPr>
          <w:rFonts w:cs="Times New Roman"/>
          <w:szCs w:val="24"/>
        </w:rPr>
      </w:pPr>
      <w:r w:rsidRPr="00EA0D3B">
        <w:rPr>
          <w:rFonts w:cs="Times New Roman"/>
          <w:szCs w:val="24"/>
        </w:rPr>
        <w:t>Se recomienda expandir el análisis en el resto de provincias de</w:t>
      </w:r>
      <w:r>
        <w:rPr>
          <w:rFonts w:cs="Times New Roman"/>
          <w:szCs w:val="24"/>
        </w:rPr>
        <w:t xml:space="preserve"> </w:t>
      </w:r>
      <w:r w:rsidRPr="00EA0D3B">
        <w:rPr>
          <w:rFonts w:cs="Times New Roman"/>
          <w:szCs w:val="24"/>
        </w:rPr>
        <w:t>l</w:t>
      </w:r>
      <w:r>
        <w:rPr>
          <w:rFonts w:cs="Times New Roman"/>
          <w:szCs w:val="24"/>
        </w:rPr>
        <w:t>a Sierra del</w:t>
      </w:r>
      <w:r w:rsidRPr="00EA0D3B">
        <w:rPr>
          <w:rFonts w:cs="Times New Roman"/>
          <w:szCs w:val="24"/>
        </w:rPr>
        <w:t xml:space="preserve"> país</w:t>
      </w:r>
      <w:r>
        <w:rPr>
          <w:rFonts w:cs="Times New Roman"/>
          <w:szCs w:val="24"/>
        </w:rPr>
        <w:t>.</w:t>
      </w:r>
      <w:r w:rsidRPr="00EA0D3B">
        <w:rPr>
          <w:rFonts w:cs="Times New Roman"/>
          <w:szCs w:val="24"/>
        </w:rPr>
        <w:t xml:space="preserve"> </w:t>
      </w:r>
    </w:p>
    <w:p w14:paraId="46235028" w14:textId="77777777" w:rsidR="002B5A2F" w:rsidRPr="00EA0D3B" w:rsidRDefault="002B5A2F" w:rsidP="00135DE8">
      <w:pPr>
        <w:pStyle w:val="Prrafodelista"/>
        <w:numPr>
          <w:ilvl w:val="0"/>
          <w:numId w:val="15"/>
        </w:numPr>
        <w:spacing w:before="360" w:after="360" w:line="360" w:lineRule="auto"/>
        <w:ind w:left="425" w:hanging="357"/>
        <w:rPr>
          <w:rFonts w:cs="Times New Roman"/>
          <w:szCs w:val="24"/>
        </w:rPr>
      </w:pPr>
      <w:r>
        <w:rPr>
          <w:rFonts w:cs="Times New Roman"/>
          <w:szCs w:val="24"/>
        </w:rPr>
        <w:t>Dar c</w:t>
      </w:r>
      <w:r w:rsidRPr="00EA0D3B">
        <w:rPr>
          <w:rFonts w:cs="Times New Roman"/>
          <w:szCs w:val="24"/>
        </w:rPr>
        <w:t>apacitación constante a los productores para el buen manejo y producción de maíz.</w:t>
      </w:r>
    </w:p>
    <w:p w14:paraId="46DF8F37" w14:textId="53C6E406" w:rsidR="00F137C3" w:rsidRPr="00EA0D3B" w:rsidRDefault="002B5A2F" w:rsidP="00135DE8">
      <w:pPr>
        <w:pStyle w:val="Prrafodelista"/>
        <w:numPr>
          <w:ilvl w:val="0"/>
          <w:numId w:val="15"/>
        </w:numPr>
        <w:spacing w:before="360" w:after="360" w:line="360" w:lineRule="auto"/>
        <w:ind w:left="425" w:hanging="357"/>
        <w:rPr>
          <w:rFonts w:cs="Times New Roman"/>
          <w:szCs w:val="24"/>
        </w:rPr>
      </w:pPr>
      <w:r w:rsidRPr="00EA0D3B">
        <w:rPr>
          <w:rFonts w:cs="Times New Roman"/>
          <w:szCs w:val="24"/>
        </w:rPr>
        <w:t>An</w:t>
      </w:r>
      <w:r>
        <w:rPr>
          <w:rFonts w:cs="Times New Roman"/>
          <w:szCs w:val="24"/>
        </w:rPr>
        <w:t xml:space="preserve">alizar el efecto de los </w:t>
      </w:r>
      <w:r w:rsidRPr="00EA0D3B">
        <w:rPr>
          <w:rFonts w:cs="Times New Roman"/>
          <w:szCs w:val="24"/>
        </w:rPr>
        <w:t>nano fertilizantes</w:t>
      </w:r>
      <w:r>
        <w:rPr>
          <w:rFonts w:cs="Times New Roman"/>
          <w:szCs w:val="24"/>
        </w:rPr>
        <w:t xml:space="preserve"> y fertilizantes de lenta liberación sobre el rendimiento del cultivo de maíz suave.</w:t>
      </w:r>
      <w:r w:rsidR="00F137C3" w:rsidRPr="00EA0D3B">
        <w:rPr>
          <w:rFonts w:cs="Times New Roman"/>
          <w:szCs w:val="24"/>
        </w:rPr>
        <w:br w:type="page"/>
      </w:r>
    </w:p>
    <w:p w14:paraId="547C785C" w14:textId="534577D6" w:rsidR="00C82BCC" w:rsidRPr="002E4F4A" w:rsidRDefault="00C82BCC" w:rsidP="006461C3">
      <w:pPr>
        <w:pStyle w:val="Ttulo1"/>
        <w:numPr>
          <w:ilvl w:val="0"/>
          <w:numId w:val="0"/>
        </w:numPr>
        <w:spacing w:after="0"/>
        <w:ind w:left="720" w:hanging="360"/>
        <w:rPr>
          <w:rFonts w:eastAsia="Times New Roman"/>
          <w:szCs w:val="24"/>
        </w:rPr>
      </w:pPr>
      <w:bookmarkStart w:id="2319" w:name="_Toc46348817"/>
      <w:bookmarkStart w:id="2320" w:name="_Toc72741420"/>
      <w:bookmarkStart w:id="2321" w:name="_Toc72742218"/>
      <w:bookmarkStart w:id="2322" w:name="_Toc72743016"/>
      <w:bookmarkStart w:id="2323" w:name="_Toc72881740"/>
      <w:bookmarkStart w:id="2324" w:name="_Toc72882822"/>
      <w:bookmarkStart w:id="2325" w:name="_Toc75612086"/>
      <w:bookmarkStart w:id="2326" w:name="_Toc75612932"/>
      <w:bookmarkStart w:id="2327" w:name="_Toc75680083"/>
      <w:bookmarkStart w:id="2328" w:name="_Toc75702697"/>
      <w:bookmarkStart w:id="2329" w:name="_Toc79313266"/>
      <w:bookmarkStart w:id="2330" w:name="_Toc80312385"/>
      <w:r w:rsidRPr="007B061D">
        <w:rPr>
          <w:rFonts w:eastAsia="Times New Roman"/>
          <w:szCs w:val="24"/>
        </w:rPr>
        <w:lastRenderedPageBreak/>
        <w:t>BIBLIOGRAF</w:t>
      </w:r>
      <w:r w:rsidR="006229C8" w:rsidRPr="007B061D">
        <w:rPr>
          <w:rFonts w:eastAsia="Times New Roman"/>
          <w:szCs w:val="24"/>
        </w:rPr>
        <w:t>Í</w:t>
      </w:r>
      <w:r w:rsidRPr="007B061D">
        <w:rPr>
          <w:rFonts w:eastAsia="Times New Roman"/>
          <w:szCs w:val="24"/>
        </w:rPr>
        <w:t>A</w:t>
      </w:r>
      <w:bookmarkEnd w:id="2319"/>
      <w:bookmarkEnd w:id="2320"/>
      <w:bookmarkEnd w:id="2321"/>
      <w:bookmarkEnd w:id="2322"/>
      <w:bookmarkEnd w:id="2323"/>
      <w:bookmarkEnd w:id="2324"/>
      <w:bookmarkEnd w:id="2325"/>
      <w:bookmarkEnd w:id="2326"/>
      <w:bookmarkEnd w:id="2327"/>
      <w:bookmarkEnd w:id="2328"/>
      <w:bookmarkEnd w:id="2329"/>
      <w:bookmarkEnd w:id="2330"/>
      <w:r>
        <w:rPr>
          <w:rFonts w:eastAsia="Times New Roman"/>
          <w:szCs w:val="24"/>
        </w:rPr>
        <w:t xml:space="preserve"> </w:t>
      </w:r>
    </w:p>
    <w:sdt>
      <w:sdtPr>
        <w:id w:val="-16398841"/>
        <w:docPartObj>
          <w:docPartGallery w:val="Bibliographies"/>
          <w:docPartUnique/>
        </w:docPartObj>
      </w:sdtPr>
      <w:sdtEndPr/>
      <w:sdtContent>
        <w:p w14:paraId="0E0787E6" w14:textId="7AA9A823" w:rsidR="005106B9" w:rsidRDefault="005106B9" w:rsidP="00BF6553"/>
        <w:sdt>
          <w:sdtPr>
            <w:id w:val="111145805"/>
            <w:bibliography/>
          </w:sdtPr>
          <w:sdtEndPr/>
          <w:sdtContent>
            <w:p w14:paraId="50D80761" w14:textId="40CB48C0" w:rsidR="005106B9" w:rsidRPr="00492A27" w:rsidRDefault="005106B9" w:rsidP="00D72F1D">
              <w:pPr>
                <w:pStyle w:val="Bibliografa"/>
                <w:ind w:left="720" w:hanging="720"/>
                <w:rPr>
                  <w:noProof/>
                  <w:szCs w:val="24"/>
                  <w:lang w:val="es-ES"/>
                </w:rPr>
              </w:pPr>
              <w:r w:rsidRPr="00492A27">
                <w:rPr>
                  <w:noProof/>
                  <w:lang w:val="es-ES"/>
                </w:rPr>
                <w:t>Acosta. (2009). El cultivo del maíz, su origen y clasificación. El ma</w:t>
              </w:r>
              <w:r w:rsidR="002339A2">
                <w:rPr>
                  <w:noProof/>
                  <w:lang w:val="es-ES"/>
                </w:rPr>
                <w:t>í</w:t>
              </w:r>
              <w:r w:rsidRPr="00492A27">
                <w:rPr>
                  <w:noProof/>
                  <w:lang w:val="es-ES"/>
                </w:rPr>
                <w:t xml:space="preserve">z en </w:t>
              </w:r>
              <w:r w:rsidR="002339A2">
                <w:rPr>
                  <w:noProof/>
                  <w:lang w:val="es-ES"/>
                </w:rPr>
                <w:t>C</w:t>
              </w:r>
              <w:r w:rsidRPr="00492A27">
                <w:rPr>
                  <w:noProof/>
                  <w:lang w:val="es-ES"/>
                </w:rPr>
                <w:t>uba. Cultivos Tropicales. Obtenido de CEVASEG: http://www.cesaveg.org.mx/html/folletos/folletos_07/folleto_maiz_07. pdf</w:t>
              </w:r>
            </w:p>
            <w:p w14:paraId="0A9FED42" w14:textId="6948ED2E" w:rsidR="005106B9" w:rsidRDefault="005106B9" w:rsidP="00D72F1D">
              <w:pPr>
                <w:pStyle w:val="Bibliografa"/>
                <w:ind w:left="720" w:hanging="720"/>
                <w:rPr>
                  <w:noProof/>
                  <w:lang w:val="es-ES"/>
                </w:rPr>
              </w:pPr>
              <w:r w:rsidRPr="00492A27">
                <w:rPr>
                  <w:noProof/>
                  <w:lang w:val="es-ES"/>
                </w:rPr>
                <w:t>Acticimex. (2018). Obtenid</w:t>
              </w:r>
              <w:r w:rsidR="00BF6553">
                <w:rPr>
                  <w:noProof/>
                  <w:lang w:val="es-ES"/>
                </w:rPr>
                <w:t xml:space="preserve">o de  </w:t>
              </w:r>
              <w:hyperlink r:id="rId72" w:history="1">
                <w:r w:rsidR="002339A2" w:rsidRPr="002339A2">
                  <w:rPr>
                    <w:rStyle w:val="Hipervnculo"/>
                    <w:noProof/>
                    <w:color w:val="auto"/>
                    <w:u w:val="none"/>
                    <w:lang w:val="es-ES"/>
                  </w:rPr>
                  <w:t>https://www.anticimex.com/esES/</w:t>
                </w:r>
              </w:hyperlink>
              <w:r w:rsidRPr="002339A2">
                <w:rPr>
                  <w:noProof/>
                  <w:lang w:val="es-ES"/>
                </w:rPr>
                <w:t>plagas/</w:t>
              </w:r>
              <w:r w:rsidR="002339A2" w:rsidRPr="002339A2">
                <w:rPr>
                  <w:noProof/>
                  <w:lang w:val="es-ES"/>
                </w:rPr>
                <w:t xml:space="preserve"> </w:t>
              </w:r>
              <w:r w:rsidRPr="002339A2">
                <w:rPr>
                  <w:noProof/>
                  <w:lang w:val="es-ES"/>
                </w:rPr>
                <w:t>identificador-plagas/gorg</w:t>
              </w:r>
              <w:r w:rsidRPr="00492A27">
                <w:rPr>
                  <w:noProof/>
                  <w:lang w:val="es-ES"/>
                </w:rPr>
                <w:t>ojos/</w:t>
              </w:r>
            </w:p>
            <w:p w14:paraId="0810B1C9" w14:textId="77777777" w:rsidR="005106B9" w:rsidRPr="00492A27" w:rsidRDefault="005106B9" w:rsidP="00D72F1D">
              <w:pPr>
                <w:pStyle w:val="Bibliografa"/>
                <w:ind w:left="720" w:hanging="720"/>
                <w:rPr>
                  <w:noProof/>
                  <w:lang w:val="es-ES"/>
                </w:rPr>
              </w:pPr>
              <w:r w:rsidRPr="00492A27">
                <w:rPr>
                  <w:noProof/>
                  <w:lang w:val="es-ES"/>
                </w:rPr>
                <w:t>AgroEs. (2018). El Nitrógeno, papel en la alimentación de las plantas. Obtenido de http://www.agroes.es/agricultura/abonos/117-nitrogenofuncion-en-la-alimentacion-de-las-plantas</w:t>
              </w:r>
            </w:p>
            <w:p w14:paraId="03810FC4" w14:textId="77777777" w:rsidR="005106B9" w:rsidRPr="00492A27" w:rsidRDefault="005106B9" w:rsidP="002339A2">
              <w:pPr>
                <w:pStyle w:val="Bibliografa"/>
                <w:ind w:left="720" w:hanging="720"/>
                <w:rPr>
                  <w:noProof/>
                  <w:lang w:val="es-ES"/>
                </w:rPr>
              </w:pPr>
              <w:r w:rsidRPr="00492A27">
                <w:rPr>
                  <w:noProof/>
                  <w:lang w:val="es-ES"/>
                </w:rPr>
                <w:t>Agropecuarias, I. N. (2011). INIAP. Obtenido de Boletín técnico N°150 “Manejo de nutrientes por sitio específico en el cultivo de maíz bajo labranza de conservación para la provincia de Bolívar. Programa de Maíz. EESC.</w:t>
              </w:r>
            </w:p>
            <w:p w14:paraId="094677F8" w14:textId="4DDB0EDB" w:rsidR="005106B9" w:rsidRPr="00492A27" w:rsidRDefault="005106B9" w:rsidP="00492A27">
              <w:pPr>
                <w:pStyle w:val="Bibliografa"/>
                <w:ind w:left="720" w:hanging="720"/>
                <w:jc w:val="left"/>
                <w:rPr>
                  <w:noProof/>
                  <w:lang w:val="es-ES"/>
                </w:rPr>
              </w:pPr>
              <w:r w:rsidRPr="00492A27">
                <w:rPr>
                  <w:noProof/>
                  <w:lang w:val="es-ES"/>
                </w:rPr>
                <w:t>Aldrich, S.  (2000). Producción moderna de maíz. Buenos Aires: Hemisferio Sur.</w:t>
              </w:r>
            </w:p>
            <w:p w14:paraId="7D61467F" w14:textId="3C6C0262" w:rsidR="005106B9" w:rsidRPr="00492A27" w:rsidRDefault="005106B9" w:rsidP="002339A2">
              <w:pPr>
                <w:pStyle w:val="Bibliografa"/>
                <w:ind w:left="720" w:hanging="720"/>
                <w:rPr>
                  <w:noProof/>
                  <w:lang w:val="es-ES"/>
                </w:rPr>
              </w:pPr>
              <w:r w:rsidRPr="00492A27">
                <w:rPr>
                  <w:noProof/>
                  <w:lang w:val="es-ES"/>
                </w:rPr>
                <w:t>Alvarado, (2011). Metodología de análisis físico químico de suelos, aguas y foliares. Tercera aproximación. Laboratorio del Departamento de Manejo de Suelos y Aguas. Estación Experimental Santa Catalina.</w:t>
              </w:r>
            </w:p>
            <w:p w14:paraId="74C32444" w14:textId="77777777" w:rsidR="005106B9" w:rsidRPr="00492A27" w:rsidRDefault="005106B9" w:rsidP="006E6B2E">
              <w:pPr>
                <w:pStyle w:val="Bibliografa"/>
                <w:ind w:left="720" w:hanging="720"/>
                <w:rPr>
                  <w:noProof/>
                  <w:lang w:val="es-ES"/>
                </w:rPr>
              </w:pPr>
              <w:r w:rsidRPr="00492A27">
                <w:rPr>
                  <w:noProof/>
                  <w:lang w:val="es-ES"/>
                </w:rPr>
                <w:t>Arévalo. (2017). Determinación de las cantidades de carbono y nitrógeno presentes en lombricompóst producido a partir de dos diferentes sustratos (material vegetal y estiercol de caballo). (Tesis de licenciatura). Universidad Distrital Francisco José de Caldas. Colombia.</w:t>
              </w:r>
            </w:p>
            <w:p w14:paraId="7D5338B0" w14:textId="7D674EAE" w:rsidR="005106B9" w:rsidRPr="00492A27" w:rsidRDefault="005106B9" w:rsidP="00D72F1D">
              <w:pPr>
                <w:pStyle w:val="Bibliografa"/>
                <w:ind w:left="720" w:hanging="720"/>
                <w:rPr>
                  <w:noProof/>
                  <w:lang w:val="es-ES"/>
                </w:rPr>
              </w:pPr>
              <w:r w:rsidRPr="00492A27">
                <w:rPr>
                  <w:noProof/>
                  <w:lang w:val="es-ES"/>
                </w:rPr>
                <w:t>Banco Central del Ecuador. (2020). Reporte de coyuntura sector agropecuario.</w:t>
              </w:r>
              <w:r w:rsidR="007B061D">
                <w:rPr>
                  <w:noProof/>
                  <w:lang w:val="es-ES"/>
                </w:rPr>
                <w:t xml:space="preserve"> </w:t>
              </w:r>
              <w:r w:rsidRPr="00492A27">
                <w:rPr>
                  <w:noProof/>
                  <w:lang w:val="es-ES"/>
                </w:rPr>
                <w:t>Obtenido de</w:t>
              </w:r>
              <w:r w:rsidR="00BF6553">
                <w:rPr>
                  <w:noProof/>
                  <w:lang w:val="es-ES"/>
                </w:rPr>
                <w:t xml:space="preserve"> </w:t>
              </w:r>
              <w:hyperlink r:id="rId73" w:history="1">
                <w:r w:rsidR="006E6B2E" w:rsidRPr="006E6B2E">
                  <w:rPr>
                    <w:rStyle w:val="Hipervnculo"/>
                    <w:noProof/>
                    <w:color w:val="auto"/>
                    <w:u w:val="none"/>
                    <w:lang w:val="es-ES"/>
                  </w:rPr>
                  <w:t>https://contenido.bce.fin.ec/documentos/PublicacionesNotas/</w:t>
                </w:r>
              </w:hyperlink>
              <w:r w:rsidR="006E6B2E">
                <w:rPr>
                  <w:noProof/>
                  <w:lang w:val="es-ES"/>
                </w:rPr>
                <w:t xml:space="preserve"> </w:t>
              </w:r>
              <w:r w:rsidRPr="00492A27">
                <w:rPr>
                  <w:noProof/>
                  <w:lang w:val="es-ES"/>
                </w:rPr>
                <w:t>Catalogo/Encuestas/Coyuntura/Integradas/etc202003.pdf#page=29&amp;zoom=100,81,506</w:t>
              </w:r>
            </w:p>
            <w:p w14:paraId="7CB2BF08" w14:textId="77777777" w:rsidR="005106B9" w:rsidRPr="00492A27" w:rsidRDefault="005106B9" w:rsidP="00D72F1D">
              <w:pPr>
                <w:pStyle w:val="Bibliografa"/>
                <w:ind w:left="720" w:hanging="720"/>
                <w:rPr>
                  <w:noProof/>
                  <w:lang w:val="es-ES"/>
                </w:rPr>
              </w:pPr>
              <w:r w:rsidRPr="00492A27">
                <w:rPr>
                  <w:noProof/>
                  <w:lang w:val="es-ES"/>
                </w:rPr>
                <w:t>Basantes. (2010). Guía técnica para la producción de maíz en Honduras. Programa nacional de maíz. Omonita. Cortes.</w:t>
              </w:r>
            </w:p>
            <w:p w14:paraId="78E910CA" w14:textId="0B350A43" w:rsidR="005106B9" w:rsidRPr="00492A27" w:rsidRDefault="005106B9" w:rsidP="00D72F1D">
              <w:pPr>
                <w:pStyle w:val="Bibliografa"/>
                <w:ind w:left="720" w:hanging="720"/>
                <w:rPr>
                  <w:noProof/>
                  <w:lang w:val="es-ES"/>
                </w:rPr>
              </w:pPr>
              <w:r w:rsidRPr="00492A27">
                <w:rPr>
                  <w:noProof/>
                  <w:lang w:val="es-ES"/>
                </w:rPr>
                <w:t>Brizuela, L.(2004). . Guía técnica para la producción de maíz en Honduras. Programa nacional de maíz.</w:t>
              </w:r>
            </w:p>
            <w:p w14:paraId="20362001" w14:textId="05AB4B1B" w:rsidR="005106B9" w:rsidRPr="00492A27" w:rsidRDefault="005106B9" w:rsidP="00D72F1D">
              <w:pPr>
                <w:pStyle w:val="Bibliografa"/>
                <w:ind w:left="720" w:hanging="720"/>
                <w:rPr>
                  <w:noProof/>
                  <w:lang w:val="es-ES"/>
                </w:rPr>
              </w:pPr>
              <w:r w:rsidRPr="00492A27">
                <w:rPr>
                  <w:noProof/>
                  <w:lang w:val="es-ES"/>
                </w:rPr>
                <w:t>Calva. (2012). Bacterias simbióticas fijadoras de nitrógeno. Universidad de Salamanca.</w:t>
              </w:r>
            </w:p>
            <w:p w14:paraId="57767B56" w14:textId="176D093A" w:rsidR="005106B9" w:rsidRPr="00492A27" w:rsidRDefault="005106B9" w:rsidP="00D72F1D">
              <w:pPr>
                <w:pStyle w:val="Bibliografa"/>
                <w:ind w:left="720" w:hanging="720"/>
                <w:rPr>
                  <w:noProof/>
                  <w:lang w:val="es-ES"/>
                </w:rPr>
              </w:pPr>
              <w:r w:rsidRPr="00492A27">
                <w:rPr>
                  <w:noProof/>
                  <w:lang w:val="es-ES"/>
                </w:rPr>
                <w:t>Castañeda, &amp; Sánchez, A. y. (2003). Investigación Efecto de la dosis y forma de colocación del potasio sobre la concentración foliar de macro elementos en el tomate (Lycopersicon esculentum Mill.</w:t>
              </w:r>
            </w:p>
            <w:p w14:paraId="77667C30" w14:textId="75CEDB98" w:rsidR="005106B9" w:rsidRPr="00492A27" w:rsidRDefault="005106B9" w:rsidP="006E6B2E">
              <w:pPr>
                <w:pStyle w:val="Bibliografa"/>
                <w:ind w:left="720" w:hanging="720"/>
                <w:rPr>
                  <w:noProof/>
                  <w:lang w:val="es-ES"/>
                </w:rPr>
              </w:pPr>
              <w:r w:rsidRPr="00492A27">
                <w:rPr>
                  <w:noProof/>
                  <w:lang w:val="es-ES"/>
                </w:rPr>
                <w:lastRenderedPageBreak/>
                <w:t>Caviedes, M. (2002). . Nueva Variedad de Maíz Blanco Harinoso Tardío INIAP-111. Boletín divulgativo No. 163. Programa de Maíz, Estación Experimental Santa Catalina.</w:t>
              </w:r>
            </w:p>
            <w:p w14:paraId="5CD8D8EE" w14:textId="6D8BE5CC" w:rsidR="005106B9" w:rsidRPr="00D72F1D" w:rsidRDefault="005106B9" w:rsidP="00D72F1D">
              <w:pPr>
                <w:pStyle w:val="Bibliografa"/>
                <w:ind w:left="720" w:hanging="720"/>
                <w:rPr>
                  <w:noProof/>
                  <w:lang w:val="es-ES"/>
                </w:rPr>
              </w:pPr>
              <w:r w:rsidRPr="00492A27">
                <w:rPr>
                  <w:noProof/>
                  <w:lang w:val="es-ES"/>
                </w:rPr>
                <w:t xml:space="preserve">CIA. (2014). Acidez de suelos y uso de enmiendas. Obtenido de </w:t>
              </w:r>
              <w:hyperlink r:id="rId74" w:history="1">
                <w:r w:rsidR="00D72F1D" w:rsidRPr="00D72F1D">
                  <w:rPr>
                    <w:rStyle w:val="Hipervnculo"/>
                    <w:noProof/>
                    <w:color w:val="auto"/>
                    <w:u w:val="none"/>
                    <w:lang w:val="es-ES"/>
                  </w:rPr>
                  <w:t>http://www.cia.ucr.ac.cr/pdf/Nota%20t%C3%A9cnica%201-2014_Acidez</w:t>
                </w:r>
              </w:hyperlink>
              <w:r w:rsidR="00D72F1D" w:rsidRPr="00D72F1D">
                <w:rPr>
                  <w:noProof/>
                  <w:lang w:val="es-ES"/>
                </w:rPr>
                <w:t xml:space="preserve"> </w:t>
              </w:r>
              <w:r w:rsidRPr="00D72F1D">
                <w:rPr>
                  <w:noProof/>
                  <w:lang w:val="es-ES"/>
                </w:rPr>
                <w:t>%20de%20suelos%20y%20uso%20de%20enmiendas.pdf</w:t>
              </w:r>
            </w:p>
            <w:p w14:paraId="0606FB7B" w14:textId="77002614" w:rsidR="005106B9" w:rsidRPr="00492A27" w:rsidRDefault="005106B9" w:rsidP="006E6B2E">
              <w:pPr>
                <w:pStyle w:val="Bibliografa"/>
                <w:ind w:left="720" w:hanging="720"/>
                <w:rPr>
                  <w:noProof/>
                  <w:lang w:val="es-ES"/>
                </w:rPr>
              </w:pPr>
              <w:r w:rsidRPr="00492A27">
                <w:rPr>
                  <w:noProof/>
                  <w:lang w:val="es-ES"/>
                </w:rPr>
                <w:t>CIMMYT, C. I. (2004). En Enfermedades del maíz: una guía para su identificación en el campo.</w:t>
              </w:r>
            </w:p>
            <w:p w14:paraId="3B01F189" w14:textId="55A7F8A1" w:rsidR="005106B9" w:rsidRPr="00492A27" w:rsidRDefault="005106B9" w:rsidP="00D72F1D">
              <w:pPr>
                <w:pStyle w:val="Bibliografa"/>
                <w:ind w:left="720" w:hanging="720"/>
                <w:rPr>
                  <w:noProof/>
                  <w:lang w:val="es-ES"/>
                </w:rPr>
              </w:pPr>
              <w:r w:rsidRPr="00492A27">
                <w:rPr>
                  <w:noProof/>
                  <w:lang w:val="es-ES"/>
                </w:rPr>
                <w:t>Dobermann, A. &amp;. (2000). Arroz: Desordenes nutricionales y manejo de nutrientes.</w:t>
              </w:r>
            </w:p>
            <w:p w14:paraId="549BDEDF" w14:textId="77777777" w:rsidR="005106B9" w:rsidRPr="00492A27" w:rsidRDefault="005106B9" w:rsidP="00D72F1D">
              <w:pPr>
                <w:pStyle w:val="Bibliografa"/>
                <w:ind w:left="720" w:hanging="720"/>
                <w:rPr>
                  <w:noProof/>
                  <w:lang w:val="es-ES"/>
                </w:rPr>
              </w:pPr>
              <w:r w:rsidRPr="00492A27">
                <w:rPr>
                  <w:noProof/>
                  <w:lang w:val="es-ES"/>
                </w:rPr>
                <w:t>Ecured. (2018). Obtenido de https://www.ecured.cu/Gusano_de_la_mazorca</w:t>
              </w:r>
            </w:p>
            <w:p w14:paraId="7AC20380" w14:textId="2F54B619" w:rsidR="005106B9" w:rsidRPr="00492A27" w:rsidRDefault="005106B9" w:rsidP="00D72F1D">
              <w:pPr>
                <w:pStyle w:val="Bibliografa"/>
                <w:ind w:left="720" w:hanging="720"/>
                <w:rPr>
                  <w:noProof/>
                  <w:lang w:val="es-ES"/>
                </w:rPr>
              </w:pPr>
              <w:r w:rsidRPr="00492A27">
                <w:rPr>
                  <w:noProof/>
                  <w:lang w:val="es-ES"/>
                </w:rPr>
                <w:t>Elizondo. (2006). El nitrógeno en los sistemas ganaderos de leche. Agronomía mesoamericana</w:t>
              </w:r>
              <w:r w:rsidR="00D72F1D">
                <w:rPr>
                  <w:noProof/>
                  <w:lang w:val="es-ES"/>
                </w:rPr>
                <w:t>.</w:t>
              </w:r>
            </w:p>
            <w:p w14:paraId="000D3453" w14:textId="77777777" w:rsidR="005106B9" w:rsidRPr="00492A27" w:rsidRDefault="005106B9" w:rsidP="00D72F1D">
              <w:pPr>
                <w:pStyle w:val="Bibliografa"/>
                <w:ind w:left="720" w:hanging="720"/>
                <w:rPr>
                  <w:noProof/>
                  <w:lang w:val="es-ES"/>
                </w:rPr>
              </w:pPr>
              <w:r w:rsidRPr="00492A27">
                <w:rPr>
                  <w:noProof/>
                  <w:lang w:val="es-ES"/>
                </w:rPr>
                <w:t>Enciclopedia Práctica de la Agricultura y Ganadería. (2010). Obtenido de https://www.agricolajerez.com/es/product/enciclopedia-practica-de-la-agricultura-y-la-ganaderia</w:t>
              </w:r>
            </w:p>
            <w:p w14:paraId="159CFA25" w14:textId="4ACCC898" w:rsidR="005106B9" w:rsidRPr="00492A27" w:rsidRDefault="005106B9" w:rsidP="00D72F1D">
              <w:pPr>
                <w:pStyle w:val="Bibliografa"/>
                <w:ind w:left="720" w:hanging="720"/>
                <w:rPr>
                  <w:noProof/>
                  <w:lang w:val="es-ES"/>
                </w:rPr>
              </w:pPr>
              <w:r w:rsidRPr="00492A27">
                <w:rPr>
                  <w:noProof/>
                  <w:lang w:val="es-ES"/>
                </w:rPr>
                <w:t>Espinosa, G. &amp;. (2009). Herramientas para mejorar el uso de nuytrientes en el ma</w:t>
              </w:r>
              <w:r w:rsidR="00777192">
                <w:rPr>
                  <w:noProof/>
                  <w:lang w:val="es-ES"/>
                </w:rPr>
                <w:t>í</w:t>
              </w:r>
              <w:r w:rsidRPr="00492A27">
                <w:rPr>
                  <w:noProof/>
                  <w:lang w:val="es-ES"/>
                </w:rPr>
                <w:t>z. Costa Rica: IPNI.</w:t>
              </w:r>
            </w:p>
            <w:p w14:paraId="42351471" w14:textId="55BA2D22" w:rsidR="005106B9" w:rsidRPr="00492A27" w:rsidRDefault="005106B9" w:rsidP="00D72F1D">
              <w:pPr>
                <w:pStyle w:val="Bibliografa"/>
                <w:ind w:left="720" w:hanging="720"/>
                <w:rPr>
                  <w:noProof/>
                  <w:lang w:val="es-ES"/>
                </w:rPr>
              </w:pPr>
              <w:r w:rsidRPr="00492A27">
                <w:rPr>
                  <w:noProof/>
                  <w:lang w:val="es-ES"/>
                </w:rPr>
                <w:t>Espinoza. (2010). Tendencia en el manejo sostenible de la fertilidad del suelo. Santo Domingo - Ecuado</w:t>
              </w:r>
              <w:r w:rsidR="006E6B2E">
                <w:rPr>
                  <w:noProof/>
                  <w:lang w:val="es-ES"/>
                </w:rPr>
                <w:t>r</w:t>
              </w:r>
              <w:r w:rsidRPr="00492A27">
                <w:rPr>
                  <w:noProof/>
                  <w:lang w:val="es-ES"/>
                </w:rPr>
                <w:t>.</w:t>
              </w:r>
            </w:p>
            <w:p w14:paraId="095E00A0" w14:textId="40F122ED" w:rsidR="005106B9" w:rsidRPr="00492A27" w:rsidRDefault="005106B9" w:rsidP="00D72F1D">
              <w:pPr>
                <w:pStyle w:val="Bibliografa"/>
                <w:ind w:left="720" w:hanging="720"/>
                <w:rPr>
                  <w:noProof/>
                  <w:lang w:val="es-ES"/>
                </w:rPr>
              </w:pPr>
              <w:r w:rsidRPr="00492A27">
                <w:rPr>
                  <w:noProof/>
                  <w:lang w:val="es-ES"/>
                </w:rPr>
                <w:t>Fabara. (2012). Manual de capacitación para la formación de promotores rurales en protección de cultivos.</w:t>
              </w:r>
            </w:p>
            <w:p w14:paraId="3D75473F" w14:textId="2ED763E9" w:rsidR="00492A27" w:rsidRPr="00492A27" w:rsidRDefault="005106B9" w:rsidP="00D72F1D">
              <w:pPr>
                <w:pStyle w:val="Bibliografa"/>
                <w:ind w:left="720" w:hanging="720"/>
                <w:rPr>
                  <w:noProof/>
                  <w:lang w:val="es-ES"/>
                </w:rPr>
              </w:pPr>
              <w:r w:rsidRPr="00492A27">
                <w:rPr>
                  <w:noProof/>
                  <w:lang w:val="es-ES"/>
                </w:rPr>
                <w:t>Ferraris, C. (2013). Fertilizantes fosforados en Maíz: Comparación de fuentes, dosis y formas de localización. Obtenido de</w:t>
              </w:r>
              <w:r w:rsidR="00492A27">
                <w:rPr>
                  <w:noProof/>
                  <w:lang w:val="es-ES"/>
                </w:rPr>
                <w:t xml:space="preserve"> </w:t>
              </w:r>
              <w:hyperlink r:id="rId75" w:history="1">
                <w:r w:rsidR="006E6B2E" w:rsidRPr="006E6B2E">
                  <w:rPr>
                    <w:rStyle w:val="Hipervnculo"/>
                    <w:noProof/>
                    <w:color w:val="auto"/>
                    <w:u w:val="none"/>
                    <w:lang w:val="es-ES"/>
                  </w:rPr>
                  <w:t>https://www.engormix.com/</w:t>
                </w:r>
              </w:hyperlink>
              <w:r w:rsidR="006E6B2E" w:rsidRPr="006E6B2E">
                <w:rPr>
                  <w:noProof/>
                  <w:lang w:val="es-ES"/>
                </w:rPr>
                <w:t xml:space="preserve"> </w:t>
              </w:r>
              <w:r w:rsidRPr="00492A27">
                <w:rPr>
                  <w:noProof/>
                  <w:lang w:val="es-ES"/>
                </w:rPr>
                <w:t>agricultura/articulos/fertilizantesfosforadosmaiz-comparacion-t30495.htm</w:t>
              </w:r>
            </w:p>
            <w:p w14:paraId="28C20C54" w14:textId="77777777" w:rsidR="005106B9" w:rsidRPr="00492A27" w:rsidRDefault="005106B9" w:rsidP="007B061D">
              <w:pPr>
                <w:pStyle w:val="Bibliografa"/>
                <w:jc w:val="left"/>
                <w:rPr>
                  <w:noProof/>
                  <w:lang w:val="es-ES"/>
                </w:rPr>
              </w:pPr>
              <w:r w:rsidRPr="00492A27">
                <w:rPr>
                  <w:noProof/>
                  <w:lang w:val="es-ES"/>
                </w:rPr>
                <w:t>Fertilizantes Químicos Comerciales, S. A. (2000). FERTIQUIM. México.</w:t>
              </w:r>
            </w:p>
            <w:p w14:paraId="70CBD24F" w14:textId="0CCA2F2C" w:rsidR="005106B9" w:rsidRPr="00492A27" w:rsidRDefault="005106B9" w:rsidP="00492A27">
              <w:pPr>
                <w:pStyle w:val="Bibliografa"/>
                <w:ind w:left="720" w:hanging="720"/>
                <w:jc w:val="left"/>
                <w:rPr>
                  <w:noProof/>
                  <w:lang w:val="es-ES"/>
                </w:rPr>
              </w:pPr>
              <w:r w:rsidRPr="00492A27">
                <w:rPr>
                  <w:noProof/>
                  <w:lang w:val="es-ES"/>
                </w:rPr>
                <w:t>Germinia. (2010). Nitrógeno y fósforo. Obtenido de www.germinia.cl</w:t>
              </w:r>
            </w:p>
            <w:p w14:paraId="56501091" w14:textId="460E9383" w:rsidR="005106B9" w:rsidRPr="00492A27" w:rsidRDefault="005106B9" w:rsidP="00492A27">
              <w:pPr>
                <w:pStyle w:val="Bibliografa"/>
                <w:ind w:left="720" w:hanging="720"/>
                <w:jc w:val="left"/>
                <w:rPr>
                  <w:noProof/>
                  <w:lang w:val="es-ES"/>
                </w:rPr>
              </w:pPr>
              <w:r w:rsidRPr="00AF1CEF">
                <w:rPr>
                  <w:noProof/>
                  <w:lang w:val="es-ES"/>
                </w:rPr>
                <w:t>Guillerm</w:t>
              </w:r>
              <w:r w:rsidR="00AF1CEF" w:rsidRPr="00AF1CEF">
                <w:rPr>
                  <w:noProof/>
                  <w:lang w:val="es-ES"/>
                </w:rPr>
                <w:t>o</w:t>
              </w:r>
              <w:r w:rsidRPr="00AF1CEF">
                <w:rPr>
                  <w:noProof/>
                  <w:lang w:val="es-ES"/>
                </w:rPr>
                <w:t>, (2008).</w:t>
              </w:r>
              <w:r w:rsidRPr="00492A27">
                <w:rPr>
                  <w:noProof/>
                  <w:lang w:val="es-ES"/>
                </w:rPr>
                <w:t xml:space="preserve"> Desarrollo e implementacion informática de un sistema de acsenso de nivel para los profesores de la ESPOL. . Guayaquil.</w:t>
              </w:r>
            </w:p>
            <w:p w14:paraId="58986BDB" w14:textId="77777777" w:rsidR="005106B9" w:rsidRPr="00492A27" w:rsidRDefault="005106B9" w:rsidP="006E6B2E">
              <w:pPr>
                <w:pStyle w:val="Bibliografa"/>
                <w:ind w:left="720" w:hanging="720"/>
                <w:rPr>
                  <w:noProof/>
                  <w:lang w:val="es-ES"/>
                </w:rPr>
              </w:pPr>
              <w:r w:rsidRPr="00492A27">
                <w:rPr>
                  <w:noProof/>
                  <w:lang w:val="es-ES"/>
                </w:rPr>
                <w:t>Halvin, J. L., Tisdale, S. L., Nelson, W. L., &amp; Beaton, J. D. (2014). Sulfur, Calcium, and Magnesium. Soil fertility and Fertilizers. Pearson.</w:t>
              </w:r>
            </w:p>
            <w:p w14:paraId="6A6EA0F3" w14:textId="77777777" w:rsidR="005106B9" w:rsidRPr="00492A27" w:rsidRDefault="005106B9" w:rsidP="00492A27">
              <w:pPr>
                <w:pStyle w:val="Bibliografa"/>
                <w:ind w:left="720" w:hanging="720"/>
                <w:jc w:val="left"/>
                <w:rPr>
                  <w:noProof/>
                  <w:lang w:val="es-ES"/>
                </w:rPr>
              </w:pPr>
              <w:r w:rsidRPr="00492A27">
                <w:rPr>
                  <w:noProof/>
                  <w:lang w:val="es-ES"/>
                </w:rPr>
                <w:t>Havlin, J. B. (2005). Soil Fertility and Fertilizers: An Introduction to Nutrient Management. New Jersey: Pearson Printice Hall.</w:t>
              </w:r>
            </w:p>
            <w:p w14:paraId="312175CD" w14:textId="137323BF" w:rsidR="005106B9" w:rsidRPr="006E6B2E" w:rsidRDefault="005106B9" w:rsidP="00492A27">
              <w:pPr>
                <w:pStyle w:val="Bibliografa"/>
                <w:ind w:left="720" w:hanging="720"/>
                <w:jc w:val="left"/>
                <w:rPr>
                  <w:noProof/>
                  <w:lang w:val="es-ES"/>
                </w:rPr>
              </w:pPr>
              <w:r w:rsidRPr="00492A27">
                <w:rPr>
                  <w:noProof/>
                  <w:lang w:val="es-ES"/>
                </w:rPr>
                <w:lastRenderedPageBreak/>
                <w:t xml:space="preserve">Infoagro. (2012). El cultivo del maíz. Obtenido de </w:t>
              </w:r>
              <w:hyperlink r:id="rId76" w:history="1">
                <w:r w:rsidR="006E6B2E" w:rsidRPr="006E6B2E">
                  <w:rPr>
                    <w:rStyle w:val="Hipervnculo"/>
                    <w:noProof/>
                    <w:color w:val="auto"/>
                    <w:u w:val="none"/>
                    <w:lang w:val="es-ES"/>
                  </w:rPr>
                  <w:t>www.infoagro.com/</w:t>
                </w:r>
              </w:hyperlink>
              <w:r w:rsidR="006E6B2E" w:rsidRPr="006E6B2E">
                <w:rPr>
                  <w:noProof/>
                  <w:lang w:val="es-ES"/>
                </w:rPr>
                <w:t xml:space="preserve"> </w:t>
              </w:r>
              <w:r w:rsidRPr="006E6B2E">
                <w:rPr>
                  <w:noProof/>
                  <w:lang w:val="es-ES"/>
                </w:rPr>
                <w:t>herbaceos/</w:t>
              </w:r>
              <w:r w:rsidR="006E6B2E" w:rsidRPr="006E6B2E">
                <w:rPr>
                  <w:noProof/>
                  <w:lang w:val="es-ES"/>
                </w:rPr>
                <w:t xml:space="preserve"> </w:t>
              </w:r>
              <w:r w:rsidRPr="006E6B2E">
                <w:rPr>
                  <w:noProof/>
                  <w:lang w:val="es-ES"/>
                </w:rPr>
                <w:t>cereales/maiz.asp</w:t>
              </w:r>
            </w:p>
            <w:p w14:paraId="6BB1060C" w14:textId="77777777" w:rsidR="005106B9" w:rsidRPr="00492A27" w:rsidRDefault="005106B9" w:rsidP="006E6B2E">
              <w:pPr>
                <w:pStyle w:val="Bibliografa"/>
                <w:ind w:left="720" w:hanging="720"/>
                <w:rPr>
                  <w:noProof/>
                  <w:lang w:val="es-ES"/>
                </w:rPr>
              </w:pPr>
              <w:r w:rsidRPr="00492A27">
                <w:rPr>
                  <w:noProof/>
                  <w:lang w:val="es-ES"/>
                </w:rPr>
                <w:t>INIAP. (2011). Boletín técnico N°150 “Manejo de nutrientes por sitio específico en el cultivo de maíz bajo labranza de conservación para la provincia de Bolívar. Programa de Maíz. Quito-Ecuador: EESC.</w:t>
              </w:r>
            </w:p>
            <w:p w14:paraId="27595E37" w14:textId="4C36714A" w:rsidR="006E6B2E" w:rsidRPr="006E6B2E" w:rsidRDefault="005106B9" w:rsidP="007B061D">
              <w:pPr>
                <w:pStyle w:val="Bibliografa"/>
                <w:ind w:left="720" w:hanging="720"/>
                <w:jc w:val="left"/>
                <w:rPr>
                  <w:noProof/>
                  <w:lang w:val="es-ES"/>
                </w:rPr>
              </w:pPr>
              <w:r w:rsidRPr="00492A27">
                <w:rPr>
                  <w:noProof/>
                  <w:lang w:val="es-ES"/>
                </w:rPr>
                <w:t>INIAP. (2012).Obtenido de</w:t>
              </w:r>
              <w:r w:rsidR="007B061D">
                <w:rPr>
                  <w:noProof/>
                  <w:lang w:val="es-ES"/>
                </w:rPr>
                <w:t xml:space="preserve"> </w:t>
              </w:r>
              <w:hyperlink r:id="rId77" w:history="1">
                <w:r w:rsidR="006E6B2E" w:rsidRPr="006E6B2E">
                  <w:rPr>
                    <w:rStyle w:val="Hipervnculo"/>
                    <w:noProof/>
                    <w:color w:val="auto"/>
                    <w:u w:val="none"/>
                    <w:lang w:val="es-ES"/>
                  </w:rPr>
                  <w:t>https://repositorio.iniap.gob.ec/bitstream/ 41000/853/</w:t>
                </w:r>
              </w:hyperlink>
            </w:p>
            <w:p w14:paraId="0141ECA1" w14:textId="7FB4505A" w:rsidR="005106B9" w:rsidRPr="006E6B2E" w:rsidRDefault="005106B9" w:rsidP="006E6B2E">
              <w:pPr>
                <w:pStyle w:val="Bibliografa"/>
                <w:ind w:left="720" w:hanging="11"/>
                <w:jc w:val="left"/>
                <w:rPr>
                  <w:noProof/>
                  <w:lang w:val="es-ES"/>
                </w:rPr>
              </w:pPr>
              <w:r w:rsidRPr="006E6B2E">
                <w:rPr>
                  <w:noProof/>
                  <w:lang w:val="es-ES"/>
                </w:rPr>
                <w:t>1/iniapscP.A282e2012.pdf</w:t>
              </w:r>
              <w:r w:rsidR="00A06686">
                <w:rPr>
                  <w:noProof/>
                  <w:lang w:val="es-ES"/>
                </w:rPr>
                <w:t xml:space="preserve"> </w:t>
              </w:r>
            </w:p>
            <w:p w14:paraId="5739149E" w14:textId="6196F1BD" w:rsidR="009914CC" w:rsidRDefault="005106B9" w:rsidP="009914CC">
              <w:pPr>
                <w:pStyle w:val="Bibliografa"/>
                <w:spacing w:after="0"/>
                <w:ind w:left="720" w:hanging="720"/>
                <w:jc w:val="left"/>
                <w:rPr>
                  <w:noProof/>
                  <w:lang w:val="es-ES"/>
                </w:rPr>
              </w:pPr>
              <w:r w:rsidRPr="00492A27">
                <w:rPr>
                  <w:noProof/>
                  <w:lang w:val="es-ES"/>
                </w:rPr>
                <w:t xml:space="preserve">INIAP. (2017). Obtenido de </w:t>
              </w:r>
              <w:r w:rsidR="007B061D" w:rsidRPr="00492A27">
                <w:rPr>
                  <w:noProof/>
                  <w:lang w:val="es-ES"/>
                </w:rPr>
                <w:t>bol</w:t>
              </w:r>
              <w:r w:rsidR="007B061D">
                <w:rPr>
                  <w:noProof/>
                  <w:lang w:val="es-ES"/>
                </w:rPr>
                <w:t>e</w:t>
              </w:r>
              <w:r w:rsidR="007B061D" w:rsidRPr="00492A27">
                <w:rPr>
                  <w:noProof/>
                  <w:lang w:val="es-ES"/>
                </w:rPr>
                <w:t xml:space="preserve">tin tecnico </w:t>
              </w:r>
              <w:r w:rsidRPr="00492A27">
                <w:rPr>
                  <w:noProof/>
                  <w:lang w:val="es-ES"/>
                </w:rPr>
                <w:t>150:</w:t>
              </w:r>
              <w:hyperlink r:id="rId78" w:history="1">
                <w:r w:rsidR="009914CC" w:rsidRPr="009914CC">
                  <w:rPr>
                    <w:rStyle w:val="Hipervnculo"/>
                    <w:noProof/>
                    <w:color w:val="auto"/>
                    <w:u w:val="none"/>
                    <w:lang w:val="es-ES"/>
                  </w:rPr>
                  <w:t xml:space="preserve">http://nla.ipni.net/ipniweb/ region </w:t>
                </w:r>
                <w:r w:rsidR="009914CC" w:rsidRPr="00FF5857">
                  <w:rPr>
                    <w:rStyle w:val="Hipervnculo"/>
                    <w:noProof/>
                    <w:lang w:val="es-ES"/>
                  </w:rPr>
                  <w:t>/</w:t>
                </w:r>
              </w:hyperlink>
              <w:r w:rsidRPr="00492A27">
                <w:rPr>
                  <w:noProof/>
                  <w:lang w:val="es-ES"/>
                </w:rPr>
                <w:t>nla.nsf/e0f085ed5f091b1b852579000057902e/40ad1eee26c802f005257</w:t>
              </w:r>
              <w:r w:rsidR="009914CC">
                <w:rPr>
                  <w:noProof/>
                  <w:lang w:val="es-ES"/>
                </w:rPr>
                <w:t>a</w:t>
              </w:r>
            </w:p>
            <w:p w14:paraId="591F901D" w14:textId="50DC8204" w:rsidR="005106B9" w:rsidRPr="00492A27" w:rsidRDefault="005106B9" w:rsidP="009914CC">
              <w:pPr>
                <w:pStyle w:val="Bibliografa"/>
                <w:ind w:left="720" w:hanging="11"/>
                <w:jc w:val="left"/>
                <w:rPr>
                  <w:noProof/>
                  <w:lang w:val="es-ES"/>
                </w:rPr>
              </w:pPr>
              <w:r w:rsidRPr="00492A27">
                <w:rPr>
                  <w:noProof/>
                  <w:lang w:val="es-ES"/>
                </w:rPr>
                <w:t>5300510c6d/$FILE/M%20Nutrientes.pdf</w:t>
              </w:r>
            </w:p>
            <w:p w14:paraId="35BBD00E" w14:textId="29F103F4" w:rsidR="005106B9" w:rsidRPr="00492A27" w:rsidRDefault="005106B9" w:rsidP="009B3C21">
              <w:pPr>
                <w:pStyle w:val="Bibliografa"/>
                <w:ind w:left="720" w:hanging="720"/>
                <w:rPr>
                  <w:noProof/>
                  <w:lang w:val="es-ES"/>
                </w:rPr>
              </w:pPr>
              <w:r w:rsidRPr="00492A27">
                <w:rPr>
                  <w:noProof/>
                  <w:lang w:val="es-ES"/>
                </w:rPr>
                <w:t xml:space="preserve">INIAP, s. (s.f.). Guía de producción de maíz para pequeños agricultores y </w:t>
              </w:r>
              <w:r w:rsidR="006E6B2E">
                <w:rPr>
                  <w:noProof/>
                  <w:lang w:val="es-ES"/>
                </w:rPr>
                <w:t xml:space="preserve">  </w:t>
              </w:r>
              <w:r w:rsidRPr="00492A27">
                <w:rPr>
                  <w:noProof/>
                  <w:lang w:val="es-ES"/>
                </w:rPr>
                <w:t xml:space="preserve">agricultoras guía No. 96. Obtenido </w:t>
              </w:r>
              <w:r w:rsidRPr="00D51476">
                <w:rPr>
                  <w:noProof/>
                  <w:lang w:val="es-ES"/>
                </w:rPr>
                <w:t xml:space="preserve">de </w:t>
              </w:r>
              <w:hyperlink r:id="rId79" w:history="1">
                <w:r w:rsidR="00D51476" w:rsidRPr="00D51476">
                  <w:rPr>
                    <w:rStyle w:val="Hipervnculo"/>
                    <w:noProof/>
                    <w:color w:val="auto"/>
                    <w:u w:val="none"/>
                    <w:lang w:val="es-ES"/>
                  </w:rPr>
                  <w:t>file:///C:/Users/Alexandra/</w:t>
                </w:r>
              </w:hyperlink>
              <w:r w:rsidR="00D51476">
                <w:rPr>
                  <w:noProof/>
                  <w:lang w:val="es-ES"/>
                </w:rPr>
                <w:t xml:space="preserve"> </w:t>
              </w:r>
              <w:r w:rsidRPr="00492A27">
                <w:rPr>
                  <w:noProof/>
                  <w:lang w:val="es-ES"/>
                </w:rPr>
                <w:t>Downloads/iniapscg96.pdf</w:t>
              </w:r>
            </w:p>
            <w:p w14:paraId="2DBC305C" w14:textId="6132A377" w:rsidR="005106B9" w:rsidRPr="00492A27" w:rsidRDefault="005106B9" w:rsidP="00492A27">
              <w:pPr>
                <w:pStyle w:val="Bibliografa"/>
                <w:ind w:left="720" w:hanging="720"/>
                <w:jc w:val="left"/>
                <w:rPr>
                  <w:noProof/>
                  <w:lang w:val="es-ES"/>
                </w:rPr>
              </w:pPr>
              <w:r w:rsidRPr="00492A27">
                <w:rPr>
                  <w:noProof/>
                  <w:lang w:val="es-ES"/>
                </w:rPr>
                <w:t xml:space="preserve">Instituto Valenciano de Exportación, I. (2003). Obtenido de </w:t>
              </w:r>
              <w:hyperlink r:id="rId80" w:history="1">
                <w:r w:rsidR="00777192" w:rsidRPr="00777192">
                  <w:rPr>
                    <w:rStyle w:val="Hipervnculo"/>
                    <w:noProof/>
                    <w:color w:val="auto"/>
                    <w:u w:val="none"/>
                    <w:lang w:val="es-ES"/>
                  </w:rPr>
                  <w:t>http://www.comercio</w:t>
                </w:r>
              </w:hyperlink>
              <w:r w:rsidR="00777192" w:rsidRPr="00777192">
                <w:rPr>
                  <w:noProof/>
                  <w:lang w:val="es-ES"/>
                </w:rPr>
                <w:t xml:space="preserve"> </w:t>
              </w:r>
              <w:r w:rsidRPr="00492A27">
                <w:rPr>
                  <w:noProof/>
                  <w:lang w:val="es-ES"/>
                </w:rPr>
                <w:t>exterior.es/es/actioncontinguts.continguts+subsubcat251/comercio+internacional/Reexporta/Publicidad.htm: (IVEX).</w:t>
              </w:r>
            </w:p>
            <w:p w14:paraId="27981583" w14:textId="0CFC87B1" w:rsidR="005106B9" w:rsidRPr="00492A27" w:rsidRDefault="005106B9" w:rsidP="009B3C21">
              <w:pPr>
                <w:pStyle w:val="Bibliografa"/>
                <w:ind w:left="720" w:hanging="720"/>
                <w:rPr>
                  <w:noProof/>
                  <w:lang w:val="es-ES"/>
                </w:rPr>
              </w:pPr>
              <w:r w:rsidRPr="00492A27">
                <w:rPr>
                  <w:noProof/>
                  <w:lang w:val="es-ES"/>
                </w:rPr>
                <w:t xml:space="preserve">Iñón. (2018). Ciclo del Nitrógeno. Obtenido de </w:t>
              </w:r>
              <w:hyperlink r:id="rId81" w:history="1">
                <w:r w:rsidR="009B3C21" w:rsidRPr="009B3C21">
                  <w:rPr>
                    <w:rStyle w:val="Hipervnculo"/>
                    <w:noProof/>
                    <w:color w:val="auto"/>
                    <w:u w:val="none"/>
                    <w:lang w:val="es-ES"/>
                  </w:rPr>
                  <w:t>http://www.iib.unsam.edu</w:t>
                </w:r>
              </w:hyperlink>
              <w:r w:rsidRPr="00492A27">
                <w:rPr>
                  <w:noProof/>
                  <w:lang w:val="es-ES"/>
                </w:rPr>
                <w:t>.ar/</w:t>
              </w:r>
              <w:r w:rsidR="009B3C21">
                <w:rPr>
                  <w:noProof/>
                  <w:lang w:val="es-ES"/>
                </w:rPr>
                <w:t xml:space="preserve"> </w:t>
              </w:r>
              <w:r w:rsidRPr="00492A27">
                <w:rPr>
                  <w:noProof/>
                  <w:lang w:val="es-ES"/>
                </w:rPr>
                <w:t>archivos/docencia/licenciatura/biotecnolo gia/2018/</w:t>
              </w:r>
              <w:r w:rsidR="009B3C21">
                <w:rPr>
                  <w:noProof/>
                  <w:lang w:val="es-ES"/>
                </w:rPr>
                <w:t xml:space="preserve"> </w:t>
              </w:r>
              <w:r w:rsidRPr="00492A27">
                <w:rPr>
                  <w:noProof/>
                  <w:lang w:val="es-ES"/>
                </w:rPr>
                <w:t>QuimicaBiol/152821</w:t>
              </w:r>
              <w:r w:rsidR="009B3C21">
                <w:rPr>
                  <w:noProof/>
                  <w:lang w:val="es-ES"/>
                </w:rPr>
                <w:t xml:space="preserve">5 </w:t>
              </w:r>
              <w:r w:rsidRPr="00492A27">
                <w:rPr>
                  <w:noProof/>
                  <w:lang w:val="es-ES"/>
                </w:rPr>
                <w:t>167.pdf</w:t>
              </w:r>
            </w:p>
            <w:p w14:paraId="107E0AA3" w14:textId="77777777" w:rsidR="005106B9" w:rsidRPr="00492A27" w:rsidRDefault="005106B9" w:rsidP="00492A27">
              <w:pPr>
                <w:pStyle w:val="Bibliografa"/>
                <w:ind w:left="720" w:hanging="720"/>
                <w:jc w:val="left"/>
                <w:rPr>
                  <w:noProof/>
                  <w:lang w:val="es-ES"/>
                </w:rPr>
              </w:pPr>
              <w:r w:rsidRPr="00492A27">
                <w:rPr>
                  <w:noProof/>
                  <w:lang w:val="es-ES"/>
                </w:rPr>
                <w:t>Kafkafi, S. K. (2000). Absorción de potasio por los cultivos en distintos estadios fisiológicos The Hebrew University of Jerusalem, Faculty of Agricultural, Food and Environmental Quality Sciences, Rehovo. Israel.</w:t>
              </w:r>
            </w:p>
            <w:p w14:paraId="4E6AC859" w14:textId="2AB8AA47" w:rsidR="005106B9" w:rsidRPr="009B3C21" w:rsidRDefault="005106B9" w:rsidP="009B3C21">
              <w:pPr>
                <w:pStyle w:val="Bibliografa"/>
                <w:ind w:left="720" w:hanging="720"/>
                <w:rPr>
                  <w:noProof/>
                  <w:lang w:val="es-ES"/>
                </w:rPr>
              </w:pPr>
              <w:r w:rsidRPr="009B3C21">
                <w:rPr>
                  <w:noProof/>
                  <w:lang w:val="es-ES"/>
                </w:rPr>
                <w:t xml:space="preserve">Lara. (2016). Ciclo del Nitrógeno . Obtenido de </w:t>
              </w:r>
              <w:hyperlink w:history="1">
                <w:r w:rsidR="009B3C21" w:rsidRPr="009B3C21">
                  <w:rPr>
                    <w:rStyle w:val="Hipervnculo"/>
                    <w:noProof/>
                    <w:color w:val="auto"/>
                    <w:u w:val="none"/>
                    <w:lang w:val="es-ES"/>
                  </w:rPr>
                  <w:t>http://ambienteysaludciclodel nitrogeno</w:t>
                </w:r>
              </w:hyperlink>
              <w:r w:rsidRPr="009B3C21">
                <w:rPr>
                  <w:noProof/>
                  <w:lang w:val="es-ES"/>
                </w:rPr>
                <w:t>.blogspot.com/2016/04/fasesdel-ciclo-del-nitrogeno.html</w:t>
              </w:r>
            </w:p>
            <w:p w14:paraId="7194D835" w14:textId="77777777" w:rsidR="005106B9" w:rsidRPr="00492A27" w:rsidRDefault="005106B9" w:rsidP="00492A27">
              <w:pPr>
                <w:pStyle w:val="Bibliografa"/>
                <w:ind w:left="720" w:hanging="720"/>
                <w:jc w:val="left"/>
                <w:rPr>
                  <w:noProof/>
                  <w:lang w:val="es-ES"/>
                </w:rPr>
              </w:pPr>
              <w:r w:rsidRPr="00492A27">
                <w:rPr>
                  <w:noProof/>
                  <w:lang w:val="es-ES"/>
                </w:rPr>
                <w:t>Lehninger, A. N. (2005). Principles of biochemistry. W. H. Freeman.</w:t>
              </w:r>
            </w:p>
            <w:p w14:paraId="7637518D" w14:textId="4FE47875" w:rsidR="005106B9" w:rsidRPr="00492A27" w:rsidRDefault="005106B9" w:rsidP="00492A27">
              <w:pPr>
                <w:pStyle w:val="Bibliografa"/>
                <w:ind w:left="720" w:hanging="720"/>
                <w:jc w:val="left"/>
                <w:rPr>
                  <w:noProof/>
                  <w:lang w:val="es-ES"/>
                </w:rPr>
              </w:pPr>
              <w:r w:rsidRPr="00492A27">
                <w:rPr>
                  <w:noProof/>
                  <w:lang w:val="es-ES"/>
                </w:rPr>
                <w:t>MAG. (2013-2014-2017). Boletín situacional del maíz suave choclo. Ecuador: SIPA-MAGAP.</w:t>
              </w:r>
            </w:p>
            <w:p w14:paraId="4340886E" w14:textId="77777777" w:rsidR="005106B9" w:rsidRPr="00492A27" w:rsidRDefault="005106B9" w:rsidP="00492A27">
              <w:pPr>
                <w:pStyle w:val="Bibliografa"/>
                <w:ind w:left="720" w:hanging="720"/>
                <w:jc w:val="left"/>
                <w:rPr>
                  <w:noProof/>
                  <w:lang w:val="es-ES"/>
                </w:rPr>
              </w:pPr>
              <w:r w:rsidRPr="00492A27">
                <w:rPr>
                  <w:noProof/>
                  <w:lang w:val="es-ES"/>
                </w:rPr>
                <w:t>Marin. (2011). Edafología 1 (Primera ed.). Caldas, Colombia: Espacio Gráfico Comunicaciones S.A.</w:t>
              </w:r>
            </w:p>
            <w:p w14:paraId="1DBEC7B1" w14:textId="0AEDEFA2" w:rsidR="005106B9" w:rsidRPr="00492A27" w:rsidRDefault="005106B9" w:rsidP="00492A27">
              <w:pPr>
                <w:pStyle w:val="Bibliografa"/>
                <w:ind w:left="720" w:hanging="720"/>
                <w:jc w:val="left"/>
                <w:rPr>
                  <w:noProof/>
                  <w:lang w:val="es-ES"/>
                </w:rPr>
              </w:pPr>
              <w:r w:rsidRPr="00492A27">
                <w:rPr>
                  <w:noProof/>
                  <w:lang w:val="es-ES"/>
                </w:rPr>
                <w:t>Mayz. (2004). Fijación biológica de nitrógeno. Revista Científica UDO Agrícola, 4(1), 20. .</w:t>
              </w:r>
            </w:p>
            <w:p w14:paraId="3AFFA213" w14:textId="7BB9CBFC" w:rsidR="005106B9" w:rsidRPr="00492A27" w:rsidRDefault="005106B9" w:rsidP="00492A27">
              <w:pPr>
                <w:pStyle w:val="Bibliografa"/>
                <w:ind w:left="720" w:hanging="720"/>
                <w:jc w:val="left"/>
                <w:rPr>
                  <w:noProof/>
                  <w:lang w:val="es-ES"/>
                </w:rPr>
              </w:pPr>
              <w:r w:rsidRPr="00492A27">
                <w:rPr>
                  <w:noProof/>
                  <w:lang w:val="es-ES"/>
                </w:rPr>
                <w:t xml:space="preserve">Mi Riego. (2017). Obtenido de El nitrógeno en el suelo: </w:t>
              </w:r>
              <w:hyperlink r:id="rId82" w:history="1">
                <w:r w:rsidR="009B3C21" w:rsidRPr="009B3C21">
                  <w:rPr>
                    <w:rStyle w:val="Hipervnculo"/>
                    <w:noProof/>
                    <w:color w:val="auto"/>
                    <w:u w:val="none"/>
                    <w:lang w:val="es-ES"/>
                  </w:rPr>
                  <w:t>https://miriego-blog.com/</w:t>
                </w:r>
              </w:hyperlink>
              <w:r w:rsidR="009B3C21">
                <w:rPr>
                  <w:noProof/>
                  <w:lang w:val="es-ES"/>
                </w:rPr>
                <w:t xml:space="preserve"> </w:t>
              </w:r>
              <w:r w:rsidRPr="00492A27">
                <w:rPr>
                  <w:noProof/>
                  <w:lang w:val="es-ES"/>
                </w:rPr>
                <w:t>2017/03/15/el-nitrogeno-en-el-suelo/</w:t>
              </w:r>
            </w:p>
            <w:p w14:paraId="7BF98565" w14:textId="11500065" w:rsidR="005106B9" w:rsidRPr="00492A27" w:rsidRDefault="005106B9" w:rsidP="009B3C21">
              <w:pPr>
                <w:pStyle w:val="Bibliografa"/>
                <w:ind w:left="720" w:hanging="720"/>
                <w:rPr>
                  <w:noProof/>
                  <w:lang w:val="es-ES"/>
                </w:rPr>
              </w:pPr>
              <w:r w:rsidRPr="00492A27">
                <w:rPr>
                  <w:noProof/>
                  <w:lang w:val="es-ES"/>
                </w:rPr>
                <w:lastRenderedPageBreak/>
                <w:t xml:space="preserve">Molina. (2018). Nitrógeno y Fertilizantes nitrogenados. Obtenido de </w:t>
              </w:r>
              <w:hyperlink r:id="rId83" w:history="1">
                <w:r w:rsidR="009B3C21" w:rsidRPr="009B3C21">
                  <w:rPr>
                    <w:rStyle w:val="Hipervnculo"/>
                    <w:noProof/>
                    <w:color w:val="auto"/>
                    <w:u w:val="none"/>
                    <w:lang w:val="es-ES"/>
                  </w:rPr>
                  <w:t>https://www.monografias.com/trabajos82/nitrogeno-fertilizantes nitrogenados</w:t>
                </w:r>
              </w:hyperlink>
              <w:r w:rsidRPr="009B3C21">
                <w:rPr>
                  <w:noProof/>
                  <w:lang w:val="es-ES"/>
                </w:rPr>
                <w:t>/nitrog</w:t>
              </w:r>
              <w:r w:rsidRPr="00492A27">
                <w:rPr>
                  <w:noProof/>
                  <w:lang w:val="es-ES"/>
                </w:rPr>
                <w:t>eno-fertilizantes-nitrogenados.shtml</w:t>
              </w:r>
            </w:p>
            <w:p w14:paraId="2E7F735F" w14:textId="30FB6220" w:rsidR="005106B9" w:rsidRPr="00492A27" w:rsidRDefault="005106B9" w:rsidP="00492A27">
              <w:pPr>
                <w:pStyle w:val="Bibliografa"/>
                <w:ind w:left="720" w:hanging="720"/>
                <w:jc w:val="left"/>
                <w:rPr>
                  <w:noProof/>
                  <w:lang w:val="es-ES"/>
                </w:rPr>
              </w:pPr>
              <w:r w:rsidRPr="00492A27">
                <w:rPr>
                  <w:noProof/>
                  <w:lang w:val="es-ES"/>
                </w:rPr>
                <w:t>Monar. (2003). Manejo Agronómico del Sistema de Cultivo de Maíz – Fr</w:t>
              </w:r>
              <w:r w:rsidR="009B3C21">
                <w:rPr>
                  <w:noProof/>
                  <w:lang w:val="es-ES"/>
                </w:rPr>
                <w:t>é</w:t>
              </w:r>
              <w:r w:rsidRPr="00492A27">
                <w:rPr>
                  <w:noProof/>
                  <w:lang w:val="es-ES"/>
                </w:rPr>
                <w:t>jol voluble. Boletín Divulgativo. guaranda.</w:t>
              </w:r>
            </w:p>
            <w:p w14:paraId="6A79CAC4" w14:textId="77777777" w:rsidR="005106B9" w:rsidRPr="00492A27" w:rsidRDefault="005106B9" w:rsidP="009B3C21">
              <w:pPr>
                <w:pStyle w:val="Bibliografa"/>
                <w:ind w:left="720" w:hanging="720"/>
                <w:rPr>
                  <w:noProof/>
                  <w:lang w:val="es-ES"/>
                </w:rPr>
              </w:pPr>
              <w:r w:rsidRPr="00492A27">
                <w:rPr>
                  <w:noProof/>
                  <w:lang w:val="es-ES"/>
                </w:rPr>
                <w:t>Monar, C. (2000). Informe Anual de Labores. Proyecto Integral Noreste de Bolívar (PI – NEB) – INIAP – FEPP. Guaranda.</w:t>
              </w:r>
            </w:p>
            <w:p w14:paraId="5D64B770" w14:textId="7738B083" w:rsidR="005106B9" w:rsidRPr="00492A27" w:rsidRDefault="005106B9" w:rsidP="009B3C21">
              <w:pPr>
                <w:pStyle w:val="Bibliografa"/>
                <w:ind w:left="720" w:hanging="720"/>
                <w:rPr>
                  <w:noProof/>
                  <w:lang w:val="es-ES"/>
                </w:rPr>
              </w:pPr>
              <w:r w:rsidRPr="00492A27">
                <w:rPr>
                  <w:noProof/>
                  <w:lang w:val="es-ES"/>
                </w:rPr>
                <w:t xml:space="preserve">Montalvan. (2014). Función del nitrógeno. Obtenido de </w:t>
              </w:r>
              <w:hyperlink r:id="rId84" w:history="1">
                <w:r w:rsidR="009B3C21" w:rsidRPr="009B3C21">
                  <w:rPr>
                    <w:rStyle w:val="Hipervnculo"/>
                    <w:noProof/>
                    <w:color w:val="auto"/>
                    <w:u w:val="none"/>
                    <w:lang w:val="es-ES"/>
                  </w:rPr>
                  <w:t>https://es.slideshare</w:t>
                </w:r>
              </w:hyperlink>
              <w:r w:rsidRPr="00492A27">
                <w:rPr>
                  <w:noProof/>
                  <w:lang w:val="es-ES"/>
                </w:rPr>
                <w:t>.net/</w:t>
              </w:r>
              <w:r w:rsidR="009B3C21">
                <w:rPr>
                  <w:noProof/>
                  <w:lang w:val="es-ES"/>
                </w:rPr>
                <w:t xml:space="preserve"> </w:t>
              </w:r>
              <w:r w:rsidRPr="00492A27">
                <w:rPr>
                  <w:noProof/>
                  <w:lang w:val="es-ES"/>
                </w:rPr>
                <w:t>cristhianyersonmontalvancoronel/funcion-delnitrogeno-43054457</w:t>
              </w:r>
            </w:p>
            <w:p w14:paraId="7BDE35A6" w14:textId="3C521912" w:rsidR="005106B9" w:rsidRPr="00492A27" w:rsidRDefault="005106B9" w:rsidP="009B3C21">
              <w:pPr>
                <w:pStyle w:val="Bibliografa"/>
                <w:ind w:left="720" w:hanging="720"/>
                <w:rPr>
                  <w:noProof/>
                  <w:lang w:val="es-ES"/>
                </w:rPr>
              </w:pPr>
              <w:r w:rsidRPr="00492A27">
                <w:rPr>
                  <w:noProof/>
                  <w:lang w:val="es-ES"/>
                </w:rPr>
                <w:t xml:space="preserve">Montenegro. (2018). Ciclo del Nitrógeno. Obtenido de </w:t>
              </w:r>
              <w:hyperlink r:id="rId85" w:history="1">
                <w:r w:rsidR="009B3C21" w:rsidRPr="009B3C21">
                  <w:rPr>
                    <w:rStyle w:val="Hipervnculo"/>
                    <w:noProof/>
                    <w:color w:val="auto"/>
                    <w:u w:val="none"/>
                    <w:lang w:val="es-ES"/>
                  </w:rPr>
                  <w:t>https://es.scribd.com/</w:t>
                </w:r>
              </w:hyperlink>
              <w:r w:rsidR="009B3C21" w:rsidRPr="009B3C21">
                <w:rPr>
                  <w:noProof/>
                  <w:lang w:val="es-ES"/>
                </w:rPr>
                <w:t xml:space="preserve"> </w:t>
              </w:r>
              <w:r w:rsidRPr="00492A27">
                <w:rPr>
                  <w:noProof/>
                  <w:lang w:val="es-ES"/>
                </w:rPr>
                <w:t>presentation/383527293/Ciclo-Del-Nitrogeno</w:t>
              </w:r>
            </w:p>
            <w:p w14:paraId="16BD2C13" w14:textId="650EC622" w:rsidR="005106B9" w:rsidRPr="00492A27" w:rsidRDefault="005106B9" w:rsidP="00492A27">
              <w:pPr>
                <w:pStyle w:val="Bibliografa"/>
                <w:ind w:left="720" w:hanging="720"/>
                <w:jc w:val="left"/>
                <w:rPr>
                  <w:noProof/>
                  <w:lang w:val="es-ES"/>
                </w:rPr>
              </w:pPr>
              <w:r w:rsidRPr="00492A27">
                <w:rPr>
                  <w:noProof/>
                  <w:lang w:val="es-ES"/>
                </w:rPr>
                <w:t>Noroña, J. (2008). Caracterización y evaluación agromorfológica de 64 accesiones de maíz negro y 27 accesiones de maíz chulpi (Zea mays L.) colectados en la serranía del Ecuador. Tesis Ingeniero. Agrónomo. Universidad Técnica de Cotopaxi, Ciencias Agrícolas, Ambientales y V.</w:t>
              </w:r>
            </w:p>
            <w:p w14:paraId="725097A9" w14:textId="26E940B2" w:rsidR="005106B9" w:rsidRPr="009B3C21" w:rsidRDefault="005106B9" w:rsidP="009B3C21">
              <w:pPr>
                <w:pStyle w:val="Bibliografa"/>
                <w:ind w:left="720" w:hanging="720"/>
                <w:rPr>
                  <w:noProof/>
                  <w:lang w:val="es-ES"/>
                </w:rPr>
              </w:pPr>
              <w:r w:rsidRPr="00492A27">
                <w:rPr>
                  <w:noProof/>
                  <w:lang w:val="es-ES"/>
                </w:rPr>
                <w:t xml:space="preserve">Olivares. (2008). Fijación Biológica del Nitrógeno. . Obtenido de </w:t>
              </w:r>
              <w:hyperlink w:history="1">
                <w:r w:rsidR="009B3C21" w:rsidRPr="009B3C21">
                  <w:rPr>
                    <w:rStyle w:val="Hipervnculo"/>
                    <w:noProof/>
                    <w:color w:val="auto"/>
                    <w:u w:val="none"/>
                    <w:lang w:val="es-ES"/>
                  </w:rPr>
                  <w:t>https://www2. eez</w:t>
                </w:r>
              </w:hyperlink>
              <w:r w:rsidRPr="009B3C21">
                <w:rPr>
                  <w:noProof/>
                  <w:lang w:val="es-ES"/>
                </w:rPr>
                <w:t>.csic.es/olivares/ciencia/fijacion/</w:t>
              </w:r>
            </w:p>
            <w:p w14:paraId="113A9FE2" w14:textId="77777777" w:rsidR="005106B9" w:rsidRPr="00492A27" w:rsidRDefault="005106B9" w:rsidP="009B3C21">
              <w:pPr>
                <w:pStyle w:val="Bibliografa"/>
                <w:ind w:left="720" w:hanging="720"/>
                <w:rPr>
                  <w:noProof/>
                  <w:lang w:val="es-ES"/>
                </w:rPr>
              </w:pPr>
              <w:r w:rsidRPr="00492A27">
                <w:rPr>
                  <w:noProof/>
                  <w:lang w:val="es-ES"/>
                </w:rPr>
                <w:t>Pardavé, B. L. (2004). Guía técnica para la producción de maíz en Honduras. Programa nacional de maíz. Honduras.</w:t>
              </w:r>
            </w:p>
            <w:p w14:paraId="1114569B" w14:textId="77777777" w:rsidR="005106B9" w:rsidRPr="00492A27" w:rsidRDefault="005106B9" w:rsidP="009B3C21">
              <w:pPr>
                <w:pStyle w:val="Bibliografa"/>
                <w:ind w:left="720" w:hanging="720"/>
                <w:rPr>
                  <w:noProof/>
                  <w:lang w:val="es-ES"/>
                </w:rPr>
              </w:pPr>
              <w:r w:rsidRPr="00492A27">
                <w:rPr>
                  <w:noProof/>
                  <w:lang w:val="es-ES"/>
                </w:rPr>
                <w:t>Parsons, D. (1998). Manual para le educación agropecuaria. Trillas.</w:t>
              </w:r>
            </w:p>
            <w:p w14:paraId="544B1FF2" w14:textId="02D3ED9B" w:rsidR="005106B9" w:rsidRPr="00492A27" w:rsidRDefault="005106B9" w:rsidP="009B3C21">
              <w:pPr>
                <w:pStyle w:val="Bibliografa"/>
                <w:ind w:left="720" w:hanging="720"/>
                <w:rPr>
                  <w:noProof/>
                  <w:lang w:val="es-ES"/>
                </w:rPr>
              </w:pPr>
              <w:r w:rsidRPr="00492A27">
                <w:rPr>
                  <w:noProof/>
                  <w:lang w:val="es-ES"/>
                </w:rPr>
                <w:t>Peruecologico. (2010). Ciclo del fósforo. Obtenido de :www.peruecologico.com,</w:t>
              </w:r>
            </w:p>
            <w:p w14:paraId="61156420" w14:textId="654A0E33" w:rsidR="005106B9" w:rsidRPr="00492A27" w:rsidRDefault="005106B9" w:rsidP="009B3C21">
              <w:pPr>
                <w:pStyle w:val="Bibliografa"/>
                <w:ind w:left="720" w:hanging="720"/>
                <w:rPr>
                  <w:noProof/>
                  <w:lang w:val="es-ES"/>
                </w:rPr>
              </w:pPr>
              <w:r w:rsidRPr="00492A27">
                <w:rPr>
                  <w:noProof/>
                  <w:lang w:val="es-ES"/>
                </w:rPr>
                <w:t>Pitty, A. (2002). Guía fotográfica para la identificación de malezas parte I. Escuela agrícola panamericana. Zamorano. H</w:t>
              </w:r>
              <w:r w:rsidR="009B3C21">
                <w:rPr>
                  <w:noProof/>
                  <w:lang w:val="es-ES"/>
                </w:rPr>
                <w:t>onduras</w:t>
              </w:r>
              <w:r w:rsidRPr="00492A27">
                <w:rPr>
                  <w:noProof/>
                  <w:lang w:val="es-ES"/>
                </w:rPr>
                <w:t>.</w:t>
              </w:r>
            </w:p>
            <w:p w14:paraId="0CAEF7F8" w14:textId="4194F113" w:rsidR="005106B9" w:rsidRPr="00492A27" w:rsidRDefault="005106B9" w:rsidP="009B3C21">
              <w:pPr>
                <w:pStyle w:val="Bibliografa"/>
                <w:ind w:left="720" w:hanging="720"/>
                <w:rPr>
                  <w:noProof/>
                  <w:lang w:val="es-ES"/>
                </w:rPr>
              </w:pPr>
              <w:r w:rsidRPr="00492A27">
                <w:rPr>
                  <w:noProof/>
                  <w:lang w:val="es-ES"/>
                </w:rPr>
                <w:t xml:space="preserve">Porter, M. (27 de 07 de 2014). La Cadena de Valor de Michael Porter | Web y Empresas. Web y Empresas. Obtenido de </w:t>
              </w:r>
              <w:hyperlink r:id="rId86" w:history="1">
                <w:r w:rsidR="00777192" w:rsidRPr="00777192">
                  <w:rPr>
                    <w:rStyle w:val="Hipervnculo"/>
                    <w:noProof/>
                    <w:color w:val="auto"/>
                    <w:u w:val="none"/>
                    <w:lang w:val="es-ES"/>
                  </w:rPr>
                  <w:t>http://www.webyempresas</w:t>
                </w:r>
              </w:hyperlink>
              <w:r w:rsidRPr="00777192">
                <w:rPr>
                  <w:noProof/>
                  <w:lang w:val="es-ES"/>
                </w:rPr>
                <w:t>.</w:t>
              </w:r>
              <w:r w:rsidR="00777192" w:rsidRPr="00777192">
                <w:rPr>
                  <w:noProof/>
                  <w:lang w:val="es-ES"/>
                </w:rPr>
                <w:t>c</w:t>
              </w:r>
              <w:r w:rsidRPr="00777192">
                <w:rPr>
                  <w:noProof/>
                  <w:lang w:val="es-ES"/>
                </w:rPr>
                <w:t>o</w:t>
              </w:r>
              <w:r w:rsidRPr="00492A27">
                <w:rPr>
                  <w:noProof/>
                  <w:lang w:val="es-ES"/>
                </w:rPr>
                <w:t>m</w:t>
              </w:r>
              <w:r w:rsidR="00777192">
                <w:rPr>
                  <w:noProof/>
                  <w:lang w:val="es-ES"/>
                </w:rPr>
                <w:t xml:space="preserve"> </w:t>
              </w:r>
              <w:r w:rsidRPr="00492A27">
                <w:rPr>
                  <w:noProof/>
                  <w:lang w:val="es-ES"/>
                </w:rPr>
                <w:t>/</w:t>
              </w:r>
              <w:r w:rsidR="00777192">
                <w:rPr>
                  <w:noProof/>
                  <w:lang w:val="es-ES"/>
                </w:rPr>
                <w:t xml:space="preserve"> </w:t>
              </w:r>
              <w:r w:rsidRPr="00492A27">
                <w:rPr>
                  <w:noProof/>
                  <w:lang w:val="es-ES"/>
                </w:rPr>
                <w:t>la-cadenade-valor-de-michael-porter/.</w:t>
              </w:r>
            </w:p>
            <w:p w14:paraId="4EAC007E" w14:textId="76F55ABE" w:rsidR="005106B9" w:rsidRPr="00492A27" w:rsidRDefault="005106B9" w:rsidP="009B3C21">
              <w:pPr>
                <w:pStyle w:val="Bibliografa"/>
                <w:ind w:left="720" w:hanging="720"/>
                <w:rPr>
                  <w:noProof/>
                  <w:lang w:val="es-ES"/>
                </w:rPr>
              </w:pPr>
              <w:r w:rsidRPr="00492A27">
                <w:rPr>
                  <w:noProof/>
                  <w:lang w:val="es-ES"/>
                </w:rPr>
                <w:t xml:space="preserve">Quintero, C. y. (2016). Fertilizando. Obtenido de </w:t>
              </w:r>
              <w:hyperlink r:id="rId87" w:history="1">
                <w:r w:rsidR="009B3C21" w:rsidRPr="009B3C21">
                  <w:rPr>
                    <w:rStyle w:val="Hipervnculo"/>
                    <w:noProof/>
                    <w:color w:val="auto"/>
                    <w:u w:val="none"/>
                    <w:lang w:val="es-ES"/>
                  </w:rPr>
                  <w:t>http://www.fertilizando</w:t>
                </w:r>
              </w:hyperlink>
              <w:r w:rsidRPr="009B3C21">
                <w:rPr>
                  <w:noProof/>
                  <w:lang w:val="es-ES"/>
                </w:rPr>
                <w:t>.</w:t>
              </w:r>
              <w:r w:rsidR="009B3C21" w:rsidRPr="009B3C21">
                <w:rPr>
                  <w:noProof/>
                  <w:lang w:val="es-ES"/>
                </w:rPr>
                <w:t xml:space="preserve"> </w:t>
              </w:r>
              <w:r w:rsidRPr="00492A27">
                <w:rPr>
                  <w:noProof/>
                  <w:lang w:val="es-ES"/>
                </w:rPr>
                <w:t>com/articulos/Eficiencia%20de%20Uso%20del%20Nitrogeno%20en%20</w:t>
              </w:r>
              <w:r w:rsidR="009B3C21">
                <w:rPr>
                  <w:noProof/>
                  <w:lang w:val="es-ES"/>
                </w:rPr>
                <w:t xml:space="preserve"> </w:t>
              </w:r>
              <w:r w:rsidRPr="00492A27">
                <w:rPr>
                  <w:noProof/>
                  <w:lang w:val="es-ES"/>
                </w:rPr>
                <w:t>Trigo%20y%20Maiz.asp</w:t>
              </w:r>
            </w:p>
            <w:p w14:paraId="379BCEDF" w14:textId="174F1253" w:rsidR="005106B9" w:rsidRPr="00492A27" w:rsidRDefault="005106B9" w:rsidP="009B3C21">
              <w:pPr>
                <w:pStyle w:val="Bibliografa"/>
                <w:ind w:left="720" w:hanging="720"/>
                <w:rPr>
                  <w:noProof/>
                  <w:lang w:val="es-ES"/>
                </w:rPr>
              </w:pPr>
              <w:r w:rsidRPr="00492A27">
                <w:rPr>
                  <w:noProof/>
                  <w:lang w:val="es-ES"/>
                </w:rPr>
                <w:t>Recio, A. B. (2009). Las tecnologías de la información en la agricultura, una asignatura pendiente.</w:t>
              </w:r>
            </w:p>
            <w:p w14:paraId="6F5C0678" w14:textId="77777777" w:rsidR="005106B9" w:rsidRPr="00492A27" w:rsidRDefault="005106B9" w:rsidP="009B3C21">
              <w:pPr>
                <w:pStyle w:val="Bibliografa"/>
                <w:ind w:left="720" w:hanging="720"/>
                <w:rPr>
                  <w:noProof/>
                  <w:lang w:val="es-ES"/>
                </w:rPr>
              </w:pPr>
              <w:r w:rsidRPr="00492A27">
                <w:rPr>
                  <w:noProof/>
                  <w:lang w:val="es-ES"/>
                </w:rPr>
                <w:t>Rodríguez, F. (1992). Fertilizantes-Nutrición Vegetal. Editoria. México: l AGT.</w:t>
              </w:r>
            </w:p>
            <w:p w14:paraId="3871120B" w14:textId="6A94066B" w:rsidR="005106B9" w:rsidRPr="00981190" w:rsidRDefault="005106B9" w:rsidP="009B3C21">
              <w:pPr>
                <w:pStyle w:val="Bibliografa"/>
                <w:ind w:left="720" w:hanging="720"/>
                <w:rPr>
                  <w:noProof/>
                  <w:lang w:val="es-ES"/>
                </w:rPr>
              </w:pPr>
              <w:r w:rsidRPr="00492A27">
                <w:rPr>
                  <w:noProof/>
                  <w:lang w:val="es-ES"/>
                </w:rPr>
                <w:lastRenderedPageBreak/>
                <w:t xml:space="preserve">Rosales. (2011). El Nitrógeno en la Naturaleza. Obtenido de </w:t>
              </w:r>
              <w:hyperlink w:history="1">
                <w:r w:rsidR="00981190" w:rsidRPr="00981190">
                  <w:rPr>
                    <w:rStyle w:val="Hipervnculo"/>
                    <w:noProof/>
                    <w:color w:val="auto"/>
                    <w:u w:val="none"/>
                    <w:lang w:val="es-ES"/>
                  </w:rPr>
                  <w:t>http://nitrogeno naturaleza.blogspot.com/2011/09/etapasdel-ciclo-del</w:t>
                </w:r>
              </w:hyperlink>
              <w:r w:rsidR="00981190" w:rsidRPr="00981190">
                <w:rPr>
                  <w:noProof/>
                  <w:lang w:val="es-ES"/>
                </w:rPr>
                <w:t xml:space="preserve"> </w:t>
              </w:r>
              <w:r w:rsidRPr="00981190">
                <w:rPr>
                  <w:noProof/>
                  <w:lang w:val="es-ES"/>
                </w:rPr>
                <w:t>nitrogeno.html</w:t>
              </w:r>
            </w:p>
            <w:p w14:paraId="50929A72" w14:textId="3622B63F" w:rsidR="005106B9" w:rsidRPr="00492A27" w:rsidRDefault="005106B9" w:rsidP="009C353D">
              <w:pPr>
                <w:pStyle w:val="Bibliografa"/>
                <w:ind w:left="720" w:hanging="720"/>
                <w:rPr>
                  <w:noProof/>
                  <w:lang w:val="es-ES"/>
                </w:rPr>
              </w:pPr>
              <w:r w:rsidRPr="00492A27">
                <w:rPr>
                  <w:noProof/>
                  <w:lang w:val="es-ES"/>
                </w:rPr>
                <w:t>Sanzano.sf. (2017). El Fósforo del Suelo. Quimica del suelo. Obtenido de file:///C:/Users/pc/Downloads/El%20Fósforo%20del%20suelo.pdf</w:t>
              </w:r>
            </w:p>
            <w:p w14:paraId="233BF017" w14:textId="77777777" w:rsidR="005106B9" w:rsidRPr="00492A27" w:rsidRDefault="005106B9" w:rsidP="009B3C21">
              <w:pPr>
                <w:pStyle w:val="Bibliografa"/>
                <w:ind w:left="720" w:hanging="720"/>
                <w:rPr>
                  <w:noProof/>
                  <w:lang w:val="es-ES"/>
                </w:rPr>
              </w:pPr>
              <w:r w:rsidRPr="00492A27">
                <w:rPr>
                  <w:noProof/>
                  <w:lang w:val="es-ES"/>
                </w:rPr>
                <w:t>Sierra. (2010). La urea: Características, ventajas y desventajas de esta fuente nitrogenada. Chile: INIA Intihuasi. Chile.</w:t>
              </w:r>
            </w:p>
            <w:p w14:paraId="541A4C42" w14:textId="34840B31" w:rsidR="005106B9" w:rsidRPr="00492A27" w:rsidRDefault="005106B9" w:rsidP="009B3C21">
              <w:pPr>
                <w:pStyle w:val="Bibliografa"/>
                <w:ind w:left="720" w:hanging="720"/>
                <w:rPr>
                  <w:noProof/>
                  <w:lang w:val="es-ES"/>
                </w:rPr>
              </w:pPr>
              <w:r w:rsidRPr="00492A27">
                <w:rPr>
                  <w:noProof/>
                  <w:lang w:val="es-ES"/>
                </w:rPr>
                <w:t xml:space="preserve">Soto. (2017). Ciclo del Nitrógeno. Obtenido de </w:t>
              </w:r>
              <w:hyperlink r:id="rId88" w:history="1">
                <w:r w:rsidR="00981190" w:rsidRPr="00981190">
                  <w:rPr>
                    <w:rStyle w:val="Hipervnculo"/>
                    <w:noProof/>
                    <w:color w:val="auto"/>
                    <w:u w:val="none"/>
                    <w:lang w:val="es-ES"/>
                  </w:rPr>
                  <w:t>https://www.slideshare</w:t>
                </w:r>
              </w:hyperlink>
              <w:r w:rsidRPr="00981190">
                <w:rPr>
                  <w:noProof/>
                  <w:lang w:val="es-ES"/>
                </w:rPr>
                <w:t>.n</w:t>
              </w:r>
              <w:r w:rsidRPr="00492A27">
                <w:rPr>
                  <w:noProof/>
                  <w:lang w:val="es-ES"/>
                </w:rPr>
                <w:t>et/</w:t>
              </w:r>
              <w:r w:rsidR="00981190">
                <w:rPr>
                  <w:noProof/>
                  <w:lang w:val="es-ES"/>
                </w:rPr>
                <w:t xml:space="preserve"> </w:t>
              </w:r>
              <w:r w:rsidRPr="00492A27">
                <w:rPr>
                  <w:noProof/>
                  <w:lang w:val="es-ES"/>
                </w:rPr>
                <w:t>diegosfabricios/ciclo-del-nitrogeno-72438675</w:t>
              </w:r>
            </w:p>
            <w:p w14:paraId="0FEC7205" w14:textId="77777777" w:rsidR="005106B9" w:rsidRPr="00492A27" w:rsidRDefault="005106B9" w:rsidP="009B3C21">
              <w:pPr>
                <w:pStyle w:val="Bibliografa"/>
                <w:ind w:left="720" w:hanging="720"/>
                <w:rPr>
                  <w:noProof/>
                  <w:lang w:val="es-ES"/>
                </w:rPr>
              </w:pPr>
              <w:r w:rsidRPr="00492A27">
                <w:rPr>
                  <w:noProof/>
                  <w:lang w:val="es-ES"/>
                </w:rPr>
                <w:t>Trinidad. (2013). Slide Share: Elemento del Nitrógeno. Obtenido de https://es.slideshare.net/theuntouchableforever/elementodel-nitrgeno</w:t>
              </w:r>
            </w:p>
            <w:p w14:paraId="7CDEEED2" w14:textId="4F7ECAC7" w:rsidR="005106B9" w:rsidRPr="00492A27" w:rsidRDefault="005106B9" w:rsidP="009B3C21">
              <w:pPr>
                <w:pStyle w:val="Bibliografa"/>
                <w:ind w:left="720" w:hanging="720"/>
                <w:rPr>
                  <w:noProof/>
                  <w:lang w:val="es-ES"/>
                </w:rPr>
              </w:pPr>
              <w:r w:rsidRPr="00492A27">
                <w:rPr>
                  <w:noProof/>
                  <w:lang w:val="es-ES"/>
                </w:rPr>
                <w:t>Trullas, F. e. (2008). El valor de la urea en el cuidado y tratamiento de la piel. 18(1).</w:t>
              </w:r>
            </w:p>
            <w:p w14:paraId="0F7CF9A9" w14:textId="77777777" w:rsidR="005106B9" w:rsidRPr="00492A27" w:rsidRDefault="005106B9" w:rsidP="009B3C21">
              <w:pPr>
                <w:pStyle w:val="Bibliografa"/>
                <w:ind w:left="720" w:hanging="720"/>
                <w:rPr>
                  <w:noProof/>
                  <w:lang w:val="es-ES"/>
                </w:rPr>
              </w:pPr>
              <w:r w:rsidRPr="00492A27">
                <w:rPr>
                  <w:noProof/>
                  <w:lang w:val="es-ES"/>
                </w:rPr>
                <w:t>Vega, V. y. (2000). “El abonado potásico en olivar: fertilización foliar”. Vida Rura. Madrid, Españ.</w:t>
              </w:r>
            </w:p>
            <w:p w14:paraId="4882762D" w14:textId="4E360FDB" w:rsidR="005106B9" w:rsidRPr="00492A27" w:rsidRDefault="005106B9" w:rsidP="009B3C21">
              <w:pPr>
                <w:pStyle w:val="Bibliografa"/>
                <w:ind w:left="720" w:hanging="720"/>
                <w:rPr>
                  <w:noProof/>
                  <w:lang w:val="es-ES"/>
                </w:rPr>
              </w:pPr>
              <w:r w:rsidRPr="00492A27">
                <w:rPr>
                  <w:noProof/>
                  <w:lang w:val="es-ES"/>
                </w:rPr>
                <w:t>Verhulst, I. &amp;. (2015). Agricultura de conservación, ¿mejora la calidad del suelo a fin de obtener sistemas de producción sustentables? México: CIMMYT.</w:t>
              </w:r>
            </w:p>
            <w:p w14:paraId="4FFC7583" w14:textId="0B0B1D0D" w:rsidR="005106B9" w:rsidRPr="00492A27" w:rsidRDefault="005106B9" w:rsidP="009B3C21">
              <w:pPr>
                <w:pStyle w:val="Bibliografa"/>
                <w:ind w:left="720" w:hanging="720"/>
                <w:rPr>
                  <w:noProof/>
                  <w:lang w:val="es-ES"/>
                </w:rPr>
              </w:pPr>
              <w:r w:rsidRPr="00492A27">
                <w:rPr>
                  <w:noProof/>
                  <w:lang w:val="es-ES"/>
                </w:rPr>
                <w:t>Verissimo, L. (2000). Enciclopedia practica de la agricultura y la ganadería.</w:t>
              </w:r>
            </w:p>
            <w:p w14:paraId="23350246" w14:textId="77777777" w:rsidR="005106B9" w:rsidRPr="00492A27" w:rsidRDefault="005106B9" w:rsidP="009B3C21">
              <w:pPr>
                <w:pStyle w:val="Bibliografa"/>
                <w:ind w:left="720" w:hanging="720"/>
                <w:rPr>
                  <w:noProof/>
                  <w:lang w:val="es-ES"/>
                </w:rPr>
              </w:pPr>
              <w:r w:rsidRPr="00492A27">
                <w:rPr>
                  <w:noProof/>
                  <w:lang w:val="es-ES"/>
                </w:rPr>
                <w:t>Vida, S. (2015). Microorganismos del suelo y biofertilización. Obtenido de http://traditionalcrops.com/upload/file/dossier-5_microorganismos-del-suelo-ybiofertilizacion.pdf</w:t>
              </w:r>
            </w:p>
            <w:p w14:paraId="43A50F8C" w14:textId="77777777" w:rsidR="005106B9" w:rsidRPr="00492A27" w:rsidRDefault="005106B9" w:rsidP="00492A27">
              <w:pPr>
                <w:pStyle w:val="Bibliografa"/>
                <w:ind w:left="720" w:hanging="720"/>
                <w:jc w:val="left"/>
                <w:rPr>
                  <w:noProof/>
                  <w:lang w:val="es-ES"/>
                </w:rPr>
              </w:pPr>
              <w:r w:rsidRPr="00492A27">
                <w:rPr>
                  <w:noProof/>
                  <w:lang w:val="es-ES"/>
                </w:rPr>
                <w:t>Witt, C. (2002). Nutrient management. Canada.</w:t>
              </w:r>
            </w:p>
            <w:p w14:paraId="2E5238B7" w14:textId="0A74066F" w:rsidR="005106B9" w:rsidRPr="00492A27" w:rsidRDefault="005106B9" w:rsidP="00F53C9D">
              <w:pPr>
                <w:pStyle w:val="Bibliografa"/>
                <w:ind w:left="720" w:hanging="720"/>
                <w:rPr>
                  <w:noProof/>
                  <w:lang w:val="es-ES"/>
                </w:rPr>
              </w:pPr>
              <w:r w:rsidRPr="00492A27">
                <w:rPr>
                  <w:noProof/>
                  <w:lang w:val="es-ES"/>
                </w:rPr>
                <w:t>Yánez. (2013). Guía de producción de maíz para pequeños agricultores y agricultoras.</w:t>
              </w:r>
              <w:r w:rsidR="00D72F1D">
                <w:rPr>
                  <w:noProof/>
                  <w:lang w:val="es-ES"/>
                </w:rPr>
                <w:t xml:space="preserve"> </w:t>
              </w:r>
              <w:r w:rsidRPr="00492A27">
                <w:rPr>
                  <w:noProof/>
                  <w:lang w:val="es-ES"/>
                </w:rPr>
                <w:t xml:space="preserve">Obtenido </w:t>
              </w:r>
              <w:r w:rsidRPr="00D72F1D">
                <w:rPr>
                  <w:noProof/>
                  <w:lang w:val="es-ES"/>
                </w:rPr>
                <w:t>de</w:t>
              </w:r>
              <w:r w:rsidR="00D72F1D" w:rsidRPr="00D72F1D">
                <w:rPr>
                  <w:noProof/>
                  <w:lang w:val="es-ES"/>
                </w:rPr>
                <w:t xml:space="preserve"> </w:t>
              </w:r>
              <w:hyperlink r:id="rId89" w:history="1">
                <w:r w:rsidR="00D72F1D" w:rsidRPr="00D72F1D">
                  <w:rPr>
                    <w:rStyle w:val="Hipervnculo"/>
                    <w:noProof/>
                    <w:color w:val="auto"/>
                    <w:u w:val="none"/>
                    <w:lang w:val="es-ES"/>
                  </w:rPr>
                  <w:t>https://www.google.com/url?sa=t&amp;rct</w:t>
                </w:r>
              </w:hyperlink>
              <w:r w:rsidRPr="00492A27">
                <w:rPr>
                  <w:noProof/>
                  <w:lang w:val="es-ES"/>
                </w:rPr>
                <w:t>=j&amp;q=&amp;</w:t>
              </w:r>
              <w:r w:rsidR="00D72F1D">
                <w:rPr>
                  <w:noProof/>
                  <w:lang w:val="es-ES"/>
                </w:rPr>
                <w:t xml:space="preserve"> </w:t>
              </w:r>
              <w:r w:rsidRPr="00492A27">
                <w:rPr>
                  <w:noProof/>
                  <w:lang w:val="es-ES"/>
                </w:rPr>
                <w:t>esrc=s&amp;source=web&amp;cd=1&amp;cad=rja&amp;uact=8&amp;ved=0ahUKEwjM7oHU07</w:t>
              </w:r>
              <w:r w:rsidR="00D72F1D">
                <w:rPr>
                  <w:noProof/>
                  <w:lang w:val="es-ES"/>
                </w:rPr>
                <w:t xml:space="preserve"> </w:t>
              </w:r>
              <w:r w:rsidRPr="00492A27">
                <w:rPr>
                  <w:noProof/>
                  <w:lang w:val="es-ES"/>
                </w:rPr>
                <w:t>jcAhVKrlkKHWV2CvEQFggmMAA&amp;url=http%3A%2F%2Frepositorio</w:t>
              </w:r>
              <w:r w:rsidR="00D72F1D">
                <w:rPr>
                  <w:noProof/>
                  <w:lang w:val="es-ES"/>
                </w:rPr>
                <w:t xml:space="preserve">. </w:t>
              </w:r>
              <w:r w:rsidRPr="00492A27">
                <w:rPr>
                  <w:noProof/>
                  <w:lang w:val="es-ES"/>
                </w:rPr>
                <w:t>iniap.gob.ec%2Fbitstream%2F41000%2F2435%2F1%2Fini</w:t>
              </w:r>
              <w:r w:rsidR="00F53C9D">
                <w:rPr>
                  <w:noProof/>
                  <w:lang w:val="es-ES"/>
                </w:rPr>
                <w:t>a</w:t>
              </w:r>
              <w:r w:rsidRPr="00492A27">
                <w:rPr>
                  <w:noProof/>
                  <w:lang w:val="es-ES"/>
                </w:rPr>
                <w:t>pscg96.pdf&amp;</w:t>
              </w:r>
              <w:r w:rsidR="00D72F1D">
                <w:rPr>
                  <w:noProof/>
                  <w:lang w:val="es-ES"/>
                </w:rPr>
                <w:t xml:space="preserve"> </w:t>
              </w:r>
              <w:r w:rsidRPr="00492A27">
                <w:rPr>
                  <w:noProof/>
                  <w:lang w:val="es-ES"/>
                </w:rPr>
                <w:t>usg=AOvVa w35PBg_PqkSGpm20KqPHrEU</w:t>
              </w:r>
            </w:p>
            <w:p w14:paraId="23568991" w14:textId="4EB00F49" w:rsidR="005106B9" w:rsidRPr="00492A27" w:rsidRDefault="005106B9" w:rsidP="00D72F1D">
              <w:pPr>
                <w:pStyle w:val="Bibliografa"/>
                <w:ind w:left="720" w:hanging="720"/>
                <w:rPr>
                  <w:noProof/>
                  <w:lang w:val="es-ES"/>
                </w:rPr>
              </w:pPr>
              <w:r w:rsidRPr="00492A27">
                <w:rPr>
                  <w:noProof/>
                  <w:lang w:val="es-ES"/>
                </w:rPr>
                <w:t xml:space="preserve">Yánez, C. (2000). Manual de Producción de Maíz para Pequeños Agricultores y Agricultoras. Programa de Maíz. Obtenido de </w:t>
              </w:r>
              <w:hyperlink r:id="rId90" w:history="1">
                <w:r w:rsidR="00F53C9D" w:rsidRPr="00F53C9D">
                  <w:rPr>
                    <w:rStyle w:val="Hipervnculo"/>
                    <w:noProof/>
                    <w:color w:val="auto"/>
                    <w:u w:val="none"/>
                    <w:lang w:val="es-ES"/>
                  </w:rPr>
                  <w:t>https://repositorio</w:t>
                </w:r>
              </w:hyperlink>
              <w:r w:rsidRPr="00F53C9D">
                <w:rPr>
                  <w:noProof/>
                  <w:lang w:val="es-ES"/>
                </w:rPr>
                <w:t>.i</w:t>
              </w:r>
              <w:r w:rsidRPr="00492A27">
                <w:rPr>
                  <w:noProof/>
                  <w:lang w:val="es-ES"/>
                </w:rPr>
                <w:t>niap.gob</w:t>
              </w:r>
              <w:r w:rsidR="00F53C9D">
                <w:rPr>
                  <w:noProof/>
                  <w:lang w:val="es-ES"/>
                </w:rPr>
                <w:t xml:space="preserve"> </w:t>
              </w:r>
              <w:r w:rsidRPr="00492A27">
                <w:rPr>
                  <w:noProof/>
                  <w:lang w:val="es-ES"/>
                </w:rPr>
                <w:t>.ec/handle/41000/394</w:t>
              </w:r>
            </w:p>
            <w:p w14:paraId="49E84549" w14:textId="5E0F60C5" w:rsidR="005106B9" w:rsidRPr="00492A27" w:rsidRDefault="005106B9" w:rsidP="00F53C9D">
              <w:pPr>
                <w:pStyle w:val="Bibliografa"/>
                <w:ind w:left="720" w:hanging="720"/>
                <w:rPr>
                  <w:noProof/>
                  <w:lang w:val="es-ES"/>
                </w:rPr>
              </w:pPr>
              <w:r w:rsidRPr="00492A27">
                <w:rPr>
                  <w:noProof/>
                  <w:lang w:val="es-ES"/>
                </w:rPr>
                <w:t xml:space="preserve">Yánez, Z. C. (2013). Guía de producción de maíz para pequeños agricultores y agricultoras. Obtenido de </w:t>
              </w:r>
              <w:hyperlink r:id="rId91" w:history="1">
                <w:r w:rsidR="00F53C9D" w:rsidRPr="00F53C9D">
                  <w:rPr>
                    <w:rStyle w:val="Hipervnculo"/>
                    <w:noProof/>
                    <w:color w:val="auto"/>
                    <w:u w:val="none"/>
                    <w:lang w:val="es-ES"/>
                  </w:rPr>
                  <w:t>https://www.google.com/url?sa</w:t>
                </w:r>
              </w:hyperlink>
              <w:r w:rsidRPr="00F53C9D">
                <w:rPr>
                  <w:noProof/>
                  <w:lang w:val="es-ES"/>
                </w:rPr>
                <w:t>=</w:t>
              </w:r>
              <w:r w:rsidR="00F53C9D">
                <w:rPr>
                  <w:noProof/>
                  <w:lang w:val="es-ES"/>
                </w:rPr>
                <w:t xml:space="preserve"> </w:t>
              </w:r>
              <w:r w:rsidRPr="00492A27">
                <w:rPr>
                  <w:noProof/>
                  <w:lang w:val="es-ES"/>
                </w:rPr>
                <w:t>t&amp;rct=j&amp;q=&amp;</w:t>
              </w:r>
              <w:r w:rsidR="00F53C9D">
                <w:rPr>
                  <w:noProof/>
                  <w:lang w:val="es-ES"/>
                </w:rPr>
                <w:t xml:space="preserve"> </w:t>
              </w:r>
              <w:r w:rsidRPr="00492A27">
                <w:rPr>
                  <w:noProof/>
                  <w:lang w:val="es-ES"/>
                </w:rPr>
                <w:t>esrc=s&amp;source=web&amp;cd=1&amp;cad=rja&amp;uact=8&amp;ved=0ahUKEwjM7oHU07</w:t>
              </w:r>
              <w:r w:rsidR="00F47E24">
                <w:rPr>
                  <w:noProof/>
                  <w:lang w:val="es-ES"/>
                </w:rPr>
                <w:t xml:space="preserve"> </w:t>
              </w:r>
              <w:r w:rsidRPr="00492A27">
                <w:rPr>
                  <w:noProof/>
                  <w:lang w:val="es-ES"/>
                </w:rPr>
                <w:t>jcAhVKrlkKHWV2CvEQFggmMAA&amp;url=http%3A%2F%2Frepositorio</w:t>
              </w:r>
              <w:r w:rsidR="00F47E24">
                <w:rPr>
                  <w:noProof/>
                  <w:lang w:val="es-ES"/>
                </w:rPr>
                <w:t xml:space="preserve">. </w:t>
              </w:r>
              <w:r w:rsidRPr="00492A27">
                <w:rPr>
                  <w:noProof/>
                  <w:lang w:val="es-ES"/>
                </w:rPr>
                <w:t>iniap.gob.ec%2F bi</w:t>
              </w:r>
            </w:p>
            <w:p w14:paraId="6EB6D18A" w14:textId="77777777" w:rsidR="005106B9" w:rsidRPr="00492A27" w:rsidRDefault="005106B9" w:rsidP="00F47E24">
              <w:pPr>
                <w:pStyle w:val="Bibliografa"/>
                <w:ind w:left="720" w:hanging="720"/>
                <w:rPr>
                  <w:noProof/>
                  <w:lang w:val="es-ES"/>
                </w:rPr>
              </w:pPr>
              <w:r w:rsidRPr="00492A27">
                <w:rPr>
                  <w:noProof/>
                  <w:lang w:val="es-ES"/>
                </w:rPr>
                <w:lastRenderedPageBreak/>
                <w:t>Zambrano, J. e. (2019). NEC -ESPAC, MAG-2019 y MAG-2017 Boletín situacional del maíz suave choclo. Ecuador: SIPA.</w:t>
              </w:r>
            </w:p>
            <w:p w14:paraId="41D9BAD0" w14:textId="58E0A004" w:rsidR="00AF1CEF" w:rsidRDefault="00D23EF3" w:rsidP="00621C2D">
              <w:pPr>
                <w:sectPr w:rsidR="00AF1CEF">
                  <w:pgSz w:w="11906" w:h="16838"/>
                  <w:pgMar w:top="1701" w:right="1701" w:bottom="1701" w:left="2268" w:header="0" w:footer="567" w:gutter="0"/>
                  <w:pgNumType w:start="1"/>
                  <w:cols w:space="720"/>
                </w:sectPr>
              </w:pPr>
            </w:p>
          </w:sdtContent>
        </w:sdt>
      </w:sdtContent>
    </w:sdt>
    <w:p w14:paraId="3CDA5813" w14:textId="77777777" w:rsidR="007B061D" w:rsidRDefault="007B061D" w:rsidP="00AF1CEF">
      <w:pPr>
        <w:spacing w:before="720" w:after="720" w:line="360" w:lineRule="auto"/>
        <w:rPr>
          <w:rFonts w:eastAsia="Calibri" w:cs="Times New Roman"/>
          <w:sz w:val="180"/>
          <w:szCs w:val="180"/>
          <w:lang w:val="es-ES"/>
        </w:rPr>
      </w:pPr>
    </w:p>
    <w:p w14:paraId="40CC40E6" w14:textId="60EC6037" w:rsidR="00C82BCC" w:rsidRDefault="00C82BCC" w:rsidP="00AF1CEF">
      <w:pPr>
        <w:spacing w:before="720" w:after="720" w:line="360" w:lineRule="auto"/>
        <w:rPr>
          <w:rFonts w:eastAsia="Calibri" w:cs="Times New Roman"/>
          <w:sz w:val="180"/>
          <w:szCs w:val="180"/>
          <w:lang w:val="es-ES"/>
        </w:rPr>
      </w:pPr>
      <w:r w:rsidRPr="00AF1CEF">
        <w:rPr>
          <w:rFonts w:eastAsia="Calibri" w:cs="Times New Roman"/>
          <w:sz w:val="180"/>
          <w:szCs w:val="180"/>
          <w:lang w:val="es-ES"/>
        </w:rPr>
        <w:t>ANEXOS</w:t>
      </w:r>
    </w:p>
    <w:p w14:paraId="76E28F84" w14:textId="77777777" w:rsidR="00C82BCC" w:rsidRDefault="00C82BCC" w:rsidP="00C82BCC">
      <w:pPr>
        <w:spacing w:after="0" w:line="360" w:lineRule="auto"/>
        <w:rPr>
          <w:rFonts w:eastAsia="Calibri" w:cs="Times New Roman"/>
          <w:sz w:val="180"/>
          <w:szCs w:val="180"/>
          <w:lang w:val="es-ES"/>
        </w:rPr>
        <w:sectPr w:rsidR="00C82BCC">
          <w:pgSz w:w="11906" w:h="16838"/>
          <w:pgMar w:top="1701" w:right="1701" w:bottom="1701" w:left="2268" w:header="0" w:footer="567" w:gutter="0"/>
          <w:pgNumType w:start="1"/>
          <w:cols w:space="720"/>
        </w:sectPr>
      </w:pPr>
    </w:p>
    <w:p w14:paraId="6CA8C498" w14:textId="7C68DE73" w:rsidR="00C82BCC" w:rsidRDefault="00C82BCC" w:rsidP="0059104B">
      <w:pPr>
        <w:pStyle w:val="Ttulo1"/>
        <w:numPr>
          <w:ilvl w:val="0"/>
          <w:numId w:val="0"/>
        </w:numPr>
        <w:spacing w:after="0"/>
        <w:ind w:left="720" w:hanging="360"/>
        <w:jc w:val="center"/>
        <w:rPr>
          <w:rFonts w:eastAsia="Calibri"/>
        </w:rPr>
      </w:pPr>
      <w:bookmarkStart w:id="2331" w:name="_Toc72741421"/>
      <w:bookmarkStart w:id="2332" w:name="_Toc72742219"/>
      <w:bookmarkStart w:id="2333" w:name="_Toc72743017"/>
      <w:bookmarkStart w:id="2334" w:name="_Toc72881741"/>
      <w:bookmarkStart w:id="2335" w:name="_Toc72882823"/>
      <w:bookmarkStart w:id="2336" w:name="_Toc75612087"/>
      <w:bookmarkStart w:id="2337" w:name="_Toc75612933"/>
      <w:bookmarkStart w:id="2338" w:name="_Toc75680084"/>
      <w:bookmarkStart w:id="2339" w:name="_Toc75702698"/>
      <w:bookmarkStart w:id="2340" w:name="_Toc79313267"/>
      <w:bookmarkStart w:id="2341" w:name="_Toc80008493"/>
      <w:bookmarkStart w:id="2342" w:name="_Toc80312386"/>
      <w:r>
        <w:rPr>
          <w:rFonts w:eastAsia="Calibri"/>
        </w:rPr>
        <w:lastRenderedPageBreak/>
        <w:t>A</w:t>
      </w:r>
      <w:r w:rsidR="0059104B">
        <w:rPr>
          <w:rFonts w:eastAsia="Calibri"/>
        </w:rPr>
        <w:t>NEXO N° 1 M</w:t>
      </w:r>
      <w:r w:rsidR="00551C66">
        <w:rPr>
          <w:rFonts w:eastAsia="Calibri"/>
        </w:rPr>
        <w:t>apa de ubicación</w:t>
      </w:r>
      <w:bookmarkEnd w:id="2331"/>
      <w:bookmarkEnd w:id="2332"/>
      <w:bookmarkEnd w:id="2333"/>
      <w:bookmarkEnd w:id="2334"/>
      <w:bookmarkEnd w:id="2335"/>
      <w:bookmarkEnd w:id="2336"/>
      <w:bookmarkEnd w:id="2337"/>
      <w:bookmarkEnd w:id="2338"/>
      <w:bookmarkEnd w:id="2339"/>
      <w:bookmarkEnd w:id="2340"/>
      <w:bookmarkEnd w:id="2341"/>
      <w:bookmarkEnd w:id="2342"/>
    </w:p>
    <w:p w14:paraId="218AEEFC" w14:textId="203792DA" w:rsidR="00C82BCC" w:rsidRDefault="00C82BCC" w:rsidP="00C82BCC">
      <w:pPr>
        <w:spacing w:after="320" w:line="360" w:lineRule="auto"/>
        <w:rPr>
          <w:rFonts w:eastAsia="Calibri" w:cs="Times New Roman"/>
          <w:b/>
          <w:bCs/>
          <w:szCs w:val="24"/>
          <w:lang w:val="es-ES"/>
        </w:rPr>
      </w:pPr>
      <w:r>
        <w:rPr>
          <w:noProof/>
          <w:lang w:eastAsia="es-EC"/>
        </w:rPr>
        <w:drawing>
          <wp:anchor distT="0" distB="0" distL="114300" distR="114300" simplePos="0" relativeHeight="251676672" behindDoc="0" locked="0" layoutInCell="1" allowOverlap="1" wp14:anchorId="4DDCBC4C" wp14:editId="3B50A786">
            <wp:simplePos x="0" y="0"/>
            <wp:positionH relativeFrom="page">
              <wp:posOffset>1155700</wp:posOffset>
            </wp:positionH>
            <wp:positionV relativeFrom="paragraph">
              <wp:posOffset>2122805</wp:posOffset>
            </wp:positionV>
            <wp:extent cx="4646930" cy="4960620"/>
            <wp:effectExtent l="76200" t="76200" r="77470" b="6858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46930" cy="4960620"/>
                    </a:xfrm>
                    <a:prstGeom prst="rect">
                      <a:avLst/>
                    </a:prstGeom>
                    <a:noFill/>
                    <a:ln w="76200">
                      <a:solidFill>
                        <a:srgbClr val="E7E6E6"/>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677696" behindDoc="0" locked="0" layoutInCell="1" allowOverlap="1" wp14:anchorId="28308687" wp14:editId="6FBAD0C1">
            <wp:simplePos x="0" y="0"/>
            <wp:positionH relativeFrom="margin">
              <wp:align>right</wp:align>
            </wp:positionH>
            <wp:positionV relativeFrom="paragraph">
              <wp:posOffset>1092835</wp:posOffset>
            </wp:positionV>
            <wp:extent cx="1426845" cy="2215515"/>
            <wp:effectExtent l="57150" t="57150" r="59055" b="5143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26845" cy="2215515"/>
                    </a:xfrm>
                    <a:prstGeom prst="rect">
                      <a:avLst/>
                    </a:prstGeom>
                    <a:noFill/>
                    <a:ln w="57150">
                      <a:solidFill>
                        <a:srgbClr val="ED7D31"/>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EC"/>
        </w:rPr>
        <mc:AlternateContent>
          <mc:Choice Requires="wps">
            <w:drawing>
              <wp:anchor distT="0" distB="0" distL="114300" distR="114300" simplePos="0" relativeHeight="251678720" behindDoc="0" locked="0" layoutInCell="1" allowOverlap="1" wp14:anchorId="68A5B77E" wp14:editId="5EB42376">
                <wp:simplePos x="0" y="0"/>
                <wp:positionH relativeFrom="page">
                  <wp:posOffset>3126105</wp:posOffset>
                </wp:positionH>
                <wp:positionV relativeFrom="paragraph">
                  <wp:posOffset>2931160</wp:posOffset>
                </wp:positionV>
                <wp:extent cx="1880870" cy="1640840"/>
                <wp:effectExtent l="38100" t="38100" r="43180" b="35560"/>
                <wp:wrapNone/>
                <wp:docPr id="5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0235" cy="1640205"/>
                        </a:xfrm>
                        <a:prstGeom prst="straightConnector1">
                          <a:avLst/>
                        </a:prstGeom>
                        <a:noFill/>
                        <a:ln w="762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B613A" id="Conector recto de flecha 57" o:spid="_x0000_s1026" type="#_x0000_t32" style="position:absolute;margin-left:246.15pt;margin-top:230.8pt;width:148.1pt;height:129.2pt;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" strokecolor="#ed7d31" strokeweight="6pt">
                <v:stroke endarrow="block" joinstyle="miter"/>
                <o:lock v:ext="edit" shapetype="f"/>
                <w10:wrap anchorx="page"/>
              </v:shape>
            </w:pict>
          </mc:Fallback>
        </mc:AlternateContent>
      </w:r>
      <w:r>
        <w:rPr>
          <w:noProof/>
          <w:lang w:eastAsia="es-EC"/>
        </w:rPr>
        <w:drawing>
          <wp:anchor distT="0" distB="0" distL="114300" distR="114300" simplePos="0" relativeHeight="251679744" behindDoc="0" locked="0" layoutInCell="1" allowOverlap="1" wp14:anchorId="387D3D6F" wp14:editId="58E216EB">
            <wp:simplePos x="0" y="0"/>
            <wp:positionH relativeFrom="column">
              <wp:posOffset>129540</wp:posOffset>
            </wp:positionH>
            <wp:positionV relativeFrom="paragraph">
              <wp:posOffset>304165</wp:posOffset>
            </wp:positionV>
            <wp:extent cx="2545080" cy="1818640"/>
            <wp:effectExtent l="57150" t="57150" r="64770" b="4826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45080" cy="1818640"/>
                    </a:xfrm>
                    <a:prstGeom prst="rect">
                      <a:avLst/>
                    </a:prstGeom>
                    <a:noFill/>
                    <a:ln w="57150">
                      <a:solidFill>
                        <a:srgbClr val="FFD966"/>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EC"/>
        </w:rPr>
        <mc:AlternateContent>
          <mc:Choice Requires="wps">
            <w:drawing>
              <wp:anchor distT="0" distB="0" distL="114300" distR="114300" simplePos="0" relativeHeight="251680768" behindDoc="0" locked="0" layoutInCell="1" allowOverlap="1" wp14:anchorId="37AA8AF0" wp14:editId="2819CF64">
                <wp:simplePos x="0" y="0"/>
                <wp:positionH relativeFrom="column">
                  <wp:posOffset>1843405</wp:posOffset>
                </wp:positionH>
                <wp:positionV relativeFrom="paragraph">
                  <wp:posOffset>1941830</wp:posOffset>
                </wp:positionV>
                <wp:extent cx="45720" cy="927100"/>
                <wp:effectExtent l="133350" t="38100" r="68580" b="6350"/>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085" cy="926465"/>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925C95" id="Conector recto de flecha 52" o:spid="_x0000_s1026" type="#_x0000_t32" style="position:absolute;margin-left:145.15pt;margin-top:152.9pt;width:3.6pt;height:7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" strokecolor="red" strokeweight="6pt">
                <v:stroke endarrow="block" joinstyle="miter"/>
                <o:lock v:ext="edit" shapetype="f"/>
              </v:shape>
            </w:pict>
          </mc:Fallback>
        </mc:AlternateContent>
      </w:r>
      <w:r>
        <w:rPr>
          <w:noProof/>
          <w:lang w:eastAsia="es-EC"/>
        </w:rPr>
        <w:drawing>
          <wp:anchor distT="0" distB="0" distL="114300" distR="114300" simplePos="0" relativeHeight="251681792" behindDoc="0" locked="0" layoutInCell="1" allowOverlap="1" wp14:anchorId="24A0FB32" wp14:editId="466F1C14">
            <wp:simplePos x="0" y="0"/>
            <wp:positionH relativeFrom="column">
              <wp:posOffset>723900</wp:posOffset>
            </wp:positionH>
            <wp:positionV relativeFrom="paragraph">
              <wp:posOffset>5801360</wp:posOffset>
            </wp:positionV>
            <wp:extent cx="1364615" cy="1868170"/>
            <wp:effectExtent l="76200" t="76200" r="83185" b="7493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4615" cy="1868170"/>
                    </a:xfrm>
                    <a:prstGeom prst="rect">
                      <a:avLst/>
                    </a:prstGeom>
                    <a:noFill/>
                    <a:ln w="762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EC"/>
        </w:rPr>
        <mc:AlternateContent>
          <mc:Choice Requires="wps">
            <w:drawing>
              <wp:anchor distT="0" distB="0" distL="114300" distR="114300" simplePos="0" relativeHeight="251682816" behindDoc="0" locked="0" layoutInCell="1" allowOverlap="1" wp14:anchorId="4ED1771E" wp14:editId="702E7C80">
                <wp:simplePos x="0" y="0"/>
                <wp:positionH relativeFrom="column">
                  <wp:posOffset>820420</wp:posOffset>
                </wp:positionH>
                <wp:positionV relativeFrom="paragraph">
                  <wp:posOffset>4484370</wp:posOffset>
                </wp:positionV>
                <wp:extent cx="482600" cy="1663065"/>
                <wp:effectExtent l="95250" t="19050" r="31750" b="51435"/>
                <wp:wrapNone/>
                <wp:docPr id="70"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1965" cy="1662430"/>
                        </a:xfrm>
                        <a:prstGeom prst="straightConnector1">
                          <a:avLst/>
                        </a:prstGeom>
                        <a:noFill/>
                        <a:ln w="76200" cap="flat" cmpd="sng" algn="ctr">
                          <a:solidFill>
                            <a:srgbClr val="70AD47">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7B86D8" id="Conector recto de flecha 70" o:spid="_x0000_s1026" type="#_x0000_t32" style="position:absolute;margin-left:64.6pt;margin-top:353.1pt;width:38pt;height:130.9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" strokecolor="#385723" strokeweight="6pt">
                <v:stroke endarrow="block" joinstyle="miter"/>
                <o:lock v:ext="edit" shapetype="f"/>
              </v:shape>
            </w:pict>
          </mc:Fallback>
        </mc:AlternateContent>
      </w:r>
    </w:p>
    <w:p w14:paraId="69FF0572" w14:textId="77777777" w:rsidR="00C82BCC" w:rsidRDefault="00C82BCC" w:rsidP="00C82BCC">
      <w:pPr>
        <w:spacing w:after="320" w:line="360" w:lineRule="auto"/>
        <w:rPr>
          <w:rFonts w:eastAsia="Calibri" w:cs="Times New Roman"/>
          <w:b/>
          <w:bCs/>
          <w:szCs w:val="24"/>
          <w:lang w:val="es-ES"/>
        </w:rPr>
      </w:pPr>
    </w:p>
    <w:p w14:paraId="7780E6B0" w14:textId="77777777" w:rsidR="00C82BCC" w:rsidRDefault="00C82BCC" w:rsidP="00C82BCC">
      <w:pPr>
        <w:spacing w:after="320" w:line="360" w:lineRule="auto"/>
        <w:rPr>
          <w:rFonts w:eastAsia="Calibri" w:cs="Times New Roman"/>
          <w:b/>
          <w:bCs/>
          <w:szCs w:val="24"/>
          <w:lang w:val="es-ES"/>
        </w:rPr>
      </w:pPr>
    </w:p>
    <w:p w14:paraId="271EECF1" w14:textId="77777777" w:rsidR="00C82BCC" w:rsidRDefault="00C82BCC" w:rsidP="00C82BCC">
      <w:pPr>
        <w:spacing w:after="320" w:line="360" w:lineRule="auto"/>
        <w:rPr>
          <w:rFonts w:eastAsia="Calibri" w:cs="Times New Roman"/>
          <w:b/>
          <w:bCs/>
          <w:szCs w:val="24"/>
          <w:lang w:val="es-ES"/>
        </w:rPr>
      </w:pPr>
    </w:p>
    <w:p w14:paraId="6874AEE4" w14:textId="77777777" w:rsidR="00C82BCC" w:rsidRDefault="00C82BCC" w:rsidP="00C82BCC">
      <w:pPr>
        <w:spacing w:after="320" w:line="360" w:lineRule="auto"/>
        <w:rPr>
          <w:rFonts w:eastAsia="Calibri" w:cs="Times New Roman"/>
          <w:b/>
          <w:bCs/>
          <w:szCs w:val="24"/>
          <w:lang w:val="es-ES"/>
        </w:rPr>
      </w:pPr>
    </w:p>
    <w:p w14:paraId="5F665CC2" w14:textId="77777777" w:rsidR="00C82BCC" w:rsidRDefault="00C82BCC" w:rsidP="00C82BCC">
      <w:pPr>
        <w:spacing w:after="320" w:line="360" w:lineRule="auto"/>
        <w:rPr>
          <w:rFonts w:eastAsia="Calibri" w:cs="Times New Roman"/>
          <w:b/>
          <w:bCs/>
          <w:szCs w:val="24"/>
          <w:lang w:val="es-ES"/>
        </w:rPr>
      </w:pPr>
    </w:p>
    <w:p w14:paraId="750168F2" w14:textId="77777777" w:rsidR="00C82BCC" w:rsidRDefault="00C82BCC" w:rsidP="00C82BCC">
      <w:pPr>
        <w:spacing w:after="320" w:line="360" w:lineRule="auto"/>
        <w:rPr>
          <w:rFonts w:eastAsia="Calibri" w:cs="Times New Roman"/>
          <w:b/>
          <w:bCs/>
          <w:szCs w:val="24"/>
          <w:lang w:val="es-ES"/>
        </w:rPr>
      </w:pPr>
    </w:p>
    <w:p w14:paraId="52241063" w14:textId="77777777" w:rsidR="00C82BCC" w:rsidRDefault="00C82BCC" w:rsidP="00C82BCC">
      <w:pPr>
        <w:spacing w:after="320" w:line="360" w:lineRule="auto"/>
        <w:rPr>
          <w:rFonts w:eastAsia="Calibri" w:cs="Times New Roman"/>
          <w:b/>
          <w:bCs/>
          <w:szCs w:val="24"/>
          <w:lang w:val="es-ES"/>
        </w:rPr>
      </w:pPr>
    </w:p>
    <w:p w14:paraId="4C958533" w14:textId="77777777" w:rsidR="00C82BCC" w:rsidRDefault="00C82BCC" w:rsidP="00C82BCC">
      <w:pPr>
        <w:spacing w:after="320" w:line="360" w:lineRule="auto"/>
        <w:rPr>
          <w:rFonts w:eastAsia="Calibri" w:cs="Times New Roman"/>
          <w:b/>
          <w:bCs/>
          <w:szCs w:val="24"/>
          <w:lang w:val="es-ES"/>
        </w:rPr>
      </w:pPr>
    </w:p>
    <w:p w14:paraId="1F23CA33" w14:textId="77777777" w:rsidR="00C82BCC" w:rsidRDefault="00C82BCC" w:rsidP="00C82BCC">
      <w:pPr>
        <w:spacing w:after="320" w:line="360" w:lineRule="auto"/>
        <w:rPr>
          <w:rFonts w:eastAsia="Calibri" w:cs="Times New Roman"/>
          <w:b/>
          <w:bCs/>
          <w:szCs w:val="24"/>
          <w:lang w:val="es-ES"/>
        </w:rPr>
      </w:pPr>
    </w:p>
    <w:p w14:paraId="3B10C3BF" w14:textId="77777777" w:rsidR="00C82BCC" w:rsidRDefault="00C82BCC" w:rsidP="00C82BCC">
      <w:pPr>
        <w:spacing w:after="320" w:line="360" w:lineRule="auto"/>
        <w:rPr>
          <w:rFonts w:eastAsia="Calibri" w:cs="Times New Roman"/>
          <w:b/>
          <w:bCs/>
          <w:szCs w:val="24"/>
          <w:lang w:val="es-ES"/>
        </w:rPr>
      </w:pPr>
    </w:p>
    <w:p w14:paraId="0D32393A" w14:textId="77777777" w:rsidR="00C82BCC" w:rsidRDefault="00C82BCC" w:rsidP="00C82BCC">
      <w:pPr>
        <w:spacing w:after="320" w:line="360" w:lineRule="auto"/>
        <w:rPr>
          <w:rFonts w:eastAsia="Calibri" w:cs="Times New Roman"/>
          <w:b/>
          <w:bCs/>
          <w:szCs w:val="24"/>
          <w:lang w:val="es-ES"/>
        </w:rPr>
      </w:pPr>
    </w:p>
    <w:p w14:paraId="5ACA1A72" w14:textId="77777777" w:rsidR="00C82BCC" w:rsidRDefault="00C82BCC" w:rsidP="00C82BCC">
      <w:pPr>
        <w:spacing w:after="320" w:line="360" w:lineRule="auto"/>
        <w:rPr>
          <w:rFonts w:eastAsia="Calibri" w:cs="Times New Roman"/>
          <w:b/>
          <w:bCs/>
          <w:szCs w:val="24"/>
          <w:lang w:val="es-ES"/>
        </w:rPr>
      </w:pPr>
    </w:p>
    <w:p w14:paraId="16655FFB" w14:textId="77777777" w:rsidR="00C82BCC" w:rsidRDefault="00C82BCC" w:rsidP="00C82BCC">
      <w:pPr>
        <w:spacing w:after="320" w:line="360" w:lineRule="auto"/>
        <w:rPr>
          <w:rFonts w:eastAsia="Calibri" w:cs="Times New Roman"/>
          <w:b/>
          <w:bCs/>
          <w:szCs w:val="24"/>
          <w:lang w:val="es-ES"/>
        </w:rPr>
      </w:pPr>
    </w:p>
    <w:p w14:paraId="4A1FEE7C" w14:textId="77777777" w:rsidR="00C82BCC" w:rsidRDefault="00C82BCC" w:rsidP="00C82BCC">
      <w:pPr>
        <w:spacing w:after="320" w:line="360" w:lineRule="auto"/>
        <w:rPr>
          <w:rFonts w:eastAsia="Calibri" w:cs="Times New Roman"/>
          <w:b/>
          <w:bCs/>
          <w:szCs w:val="24"/>
          <w:lang w:val="es-ES"/>
        </w:rPr>
      </w:pPr>
    </w:p>
    <w:p w14:paraId="460CDDC5" w14:textId="77777777" w:rsidR="00C82BCC" w:rsidRDefault="00C82BCC" w:rsidP="00C82BCC">
      <w:pPr>
        <w:spacing w:after="320" w:line="360" w:lineRule="auto"/>
        <w:rPr>
          <w:rFonts w:eastAsia="Calibri" w:cs="Times New Roman"/>
          <w:b/>
          <w:bCs/>
          <w:szCs w:val="24"/>
          <w:lang w:val="es-ES"/>
        </w:rPr>
      </w:pPr>
    </w:p>
    <w:p w14:paraId="76A4966B" w14:textId="2DCE0425" w:rsidR="00C82BCC" w:rsidRDefault="00F137C3" w:rsidP="00C82BCC">
      <w:pPr>
        <w:spacing w:after="320" w:line="360" w:lineRule="auto"/>
        <w:jc w:val="center"/>
        <w:rPr>
          <w:rFonts w:eastAsia="Calibri" w:cs="Times New Roman"/>
          <w:b/>
          <w:bCs/>
          <w:szCs w:val="24"/>
          <w:lang w:val="es-ES"/>
        </w:rPr>
      </w:pPr>
      <w:r>
        <w:rPr>
          <w:rFonts w:eastAsia="Calibri" w:cs="Times New Roman"/>
          <w:b/>
          <w:bCs/>
          <w:noProof/>
          <w:szCs w:val="24"/>
          <w:lang w:eastAsia="es-EC"/>
        </w:rPr>
        <mc:AlternateContent>
          <mc:Choice Requires="wps">
            <w:drawing>
              <wp:anchor distT="0" distB="0" distL="114300" distR="114300" simplePos="0" relativeHeight="251684864" behindDoc="0" locked="0" layoutInCell="1" allowOverlap="1" wp14:anchorId="1110925B" wp14:editId="03EF7315">
                <wp:simplePos x="0" y="0"/>
                <wp:positionH relativeFrom="column">
                  <wp:posOffset>4792370</wp:posOffset>
                </wp:positionH>
                <wp:positionV relativeFrom="paragraph">
                  <wp:posOffset>967588</wp:posOffset>
                </wp:positionV>
                <wp:extent cx="446228" cy="241401"/>
                <wp:effectExtent l="0" t="0" r="11430" b="25400"/>
                <wp:wrapNone/>
                <wp:docPr id="63" name="Cuadro de texto 63"/>
                <wp:cNvGraphicFramePr/>
                <a:graphic xmlns:a="http://schemas.openxmlformats.org/drawingml/2006/main">
                  <a:graphicData uri="http://schemas.microsoft.com/office/word/2010/wordprocessingShape">
                    <wps:wsp>
                      <wps:cNvSpPr txBox="1"/>
                      <wps:spPr>
                        <a:xfrm>
                          <a:off x="0" y="0"/>
                          <a:ext cx="446228" cy="241401"/>
                        </a:xfrm>
                        <a:prstGeom prst="rect">
                          <a:avLst/>
                        </a:prstGeom>
                        <a:solidFill>
                          <a:schemeClr val="bg1"/>
                        </a:solidFill>
                        <a:ln w="6350">
                          <a:solidFill>
                            <a:schemeClr val="bg1"/>
                          </a:solidFill>
                        </a:ln>
                      </wps:spPr>
                      <wps:txbx>
                        <w:txbxContent>
                          <w:p w14:paraId="1EEE058F" w14:textId="77777777" w:rsidR="009B3C21" w:rsidRDefault="009B3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0925B" id="Cuadro de texto 63" o:spid="_x0000_s1027" type="#_x0000_t202" style="position:absolute;left:0;text-align:left;margin-left:377.35pt;margin-top:76.2pt;width:35.15pt;height:1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" fillcolor="white [3212]" strokecolor="white [3212]" strokeweight=".5pt">
                <v:textbox>
                  <w:txbxContent>
                    <w:p w14:paraId="1EEE058F" w14:textId="77777777" w:rsidR="009B3C21" w:rsidRDefault="009B3C21"/>
                  </w:txbxContent>
                </v:textbox>
              </v:shape>
            </w:pict>
          </mc:Fallback>
        </mc:AlternateContent>
      </w:r>
    </w:p>
    <w:p w14:paraId="33E433FE" w14:textId="3A6A396E" w:rsidR="00C23CE5" w:rsidRPr="00D758C1" w:rsidRDefault="00F137C3" w:rsidP="00D758C1">
      <w:pPr>
        <w:spacing w:after="320" w:line="360" w:lineRule="auto"/>
        <w:rPr>
          <w:rFonts w:eastAsia="Calibri" w:cs="Times New Roman"/>
          <w:b/>
          <w:bCs/>
          <w:szCs w:val="24"/>
          <w:lang w:val="es-ES"/>
        </w:rPr>
        <w:sectPr w:rsidR="00C23CE5" w:rsidRPr="00D758C1" w:rsidSect="009C353D">
          <w:headerReference w:type="default" r:id="rId96"/>
          <w:footerReference w:type="default" r:id="rId97"/>
          <w:pgSz w:w="11906" w:h="16838"/>
          <w:pgMar w:top="1701" w:right="1701" w:bottom="1701" w:left="2268" w:header="0" w:footer="57" w:gutter="0"/>
          <w:pgNumType w:start="2"/>
          <w:cols w:space="720"/>
          <w:docGrid w:linePitch="326"/>
        </w:sectPr>
      </w:pPr>
      <w:r>
        <w:rPr>
          <w:rFonts w:eastAsia="Calibri" w:cs="Times New Roman"/>
          <w:b/>
          <w:bCs/>
          <w:noProof/>
          <w:szCs w:val="24"/>
          <w:lang w:eastAsia="es-EC"/>
        </w:rPr>
        <mc:AlternateContent>
          <mc:Choice Requires="wps">
            <w:drawing>
              <wp:anchor distT="0" distB="0" distL="114300" distR="114300" simplePos="0" relativeHeight="251688960" behindDoc="0" locked="0" layoutInCell="1" allowOverlap="1" wp14:anchorId="1AE3548C" wp14:editId="4657E785">
                <wp:simplePos x="0" y="0"/>
                <wp:positionH relativeFrom="column">
                  <wp:posOffset>4842662</wp:posOffset>
                </wp:positionH>
                <wp:positionV relativeFrom="paragraph">
                  <wp:posOffset>811352</wp:posOffset>
                </wp:positionV>
                <wp:extent cx="446228" cy="241401"/>
                <wp:effectExtent l="0" t="0" r="11430" b="25400"/>
                <wp:wrapNone/>
                <wp:docPr id="67" name="Cuadro de texto 67"/>
                <wp:cNvGraphicFramePr/>
                <a:graphic xmlns:a="http://schemas.openxmlformats.org/drawingml/2006/main">
                  <a:graphicData uri="http://schemas.microsoft.com/office/word/2010/wordprocessingShape">
                    <wps:wsp>
                      <wps:cNvSpPr txBox="1"/>
                      <wps:spPr>
                        <a:xfrm>
                          <a:off x="0" y="0"/>
                          <a:ext cx="446228" cy="241401"/>
                        </a:xfrm>
                        <a:prstGeom prst="rect">
                          <a:avLst/>
                        </a:prstGeom>
                        <a:solidFill>
                          <a:schemeClr val="bg1"/>
                        </a:solidFill>
                        <a:ln w="6350">
                          <a:solidFill>
                            <a:schemeClr val="bg1"/>
                          </a:solidFill>
                        </a:ln>
                      </wps:spPr>
                      <wps:txbx>
                        <w:txbxContent>
                          <w:p w14:paraId="549667C7" w14:textId="77777777" w:rsidR="009B3C21" w:rsidRDefault="009B3C21" w:rsidP="00F13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3548C" id="Cuadro de texto 67" o:spid="_x0000_s1028" type="#_x0000_t202" style="position:absolute;left:0;text-align:left;margin-left:381.3pt;margin-top:63.9pt;width:35.15pt;height:1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" fillcolor="white [3212]" strokecolor="white [3212]" strokeweight=".5pt">
                <v:textbox>
                  <w:txbxContent>
                    <w:p w14:paraId="549667C7" w14:textId="77777777" w:rsidR="009B3C21" w:rsidRDefault="009B3C21" w:rsidP="00F137C3"/>
                  </w:txbxContent>
                </v:textbox>
              </v:shape>
            </w:pict>
          </mc:Fallback>
        </mc:AlternateContent>
      </w:r>
      <w:bookmarkStart w:id="2343" w:name="_Toc72706474"/>
      <w:bookmarkStart w:id="2344" w:name="_Toc72741424"/>
      <w:bookmarkStart w:id="2345" w:name="_Toc72742222"/>
      <w:bookmarkStart w:id="2346" w:name="_Toc72743020"/>
      <w:bookmarkStart w:id="2347" w:name="_Toc72881373"/>
      <w:bookmarkStart w:id="2348" w:name="_Toc72881744"/>
      <w:bookmarkStart w:id="2349" w:name="_Toc72882826"/>
      <w:bookmarkStart w:id="2350" w:name="_Toc75606606"/>
      <w:bookmarkStart w:id="2351" w:name="_Toc75612090"/>
      <w:bookmarkStart w:id="2352" w:name="_Toc75612936"/>
      <w:bookmarkStart w:id="2353" w:name="_Toc75680087"/>
      <w:bookmarkStart w:id="2354" w:name="_Toc75702701"/>
    </w:p>
    <w:p w14:paraId="4EE39900" w14:textId="07640CCD" w:rsidR="00C82BCC" w:rsidRDefault="00D33E91" w:rsidP="00C23CE5">
      <w:pPr>
        <w:pStyle w:val="Ttulo1"/>
        <w:numPr>
          <w:ilvl w:val="0"/>
          <w:numId w:val="0"/>
        </w:numPr>
        <w:spacing w:after="0" w:line="240" w:lineRule="auto"/>
        <w:jc w:val="center"/>
        <w:rPr>
          <w:rFonts w:eastAsia="Calibri"/>
        </w:rPr>
      </w:pPr>
      <w:bookmarkStart w:id="2355" w:name="_Toc79313270"/>
      <w:bookmarkStart w:id="2356" w:name="_Toc80008494"/>
      <w:bookmarkStart w:id="2357" w:name="_Toc80312387"/>
      <w:r>
        <w:rPr>
          <w:rFonts w:eastAsia="Calibri"/>
        </w:rPr>
        <w:lastRenderedPageBreak/>
        <w:t xml:space="preserve">ANEXO N° 4 </w:t>
      </w:r>
      <w:bookmarkEnd w:id="2343"/>
      <w:bookmarkEnd w:id="2344"/>
      <w:bookmarkEnd w:id="2345"/>
      <w:bookmarkEnd w:id="2346"/>
      <w:bookmarkEnd w:id="2347"/>
      <w:bookmarkEnd w:id="2348"/>
      <w:bookmarkEnd w:id="2349"/>
      <w:bookmarkEnd w:id="2350"/>
      <w:bookmarkEnd w:id="2351"/>
      <w:bookmarkEnd w:id="2352"/>
      <w:bookmarkEnd w:id="2353"/>
      <w:bookmarkEnd w:id="2354"/>
      <w:r w:rsidR="00C23CE5">
        <w:rPr>
          <w:rFonts w:eastAsia="Calibri"/>
        </w:rPr>
        <w:t>Bases de Datos.</w:t>
      </w:r>
      <w:bookmarkEnd w:id="2355"/>
      <w:bookmarkEnd w:id="2356"/>
      <w:bookmarkEnd w:id="2357"/>
    </w:p>
    <w:p w14:paraId="35CFCCF7" w14:textId="66205E28" w:rsidR="00C23CE5" w:rsidRDefault="00C23CE5" w:rsidP="00C23CE5">
      <w:pPr>
        <w:spacing w:after="0" w:line="240" w:lineRule="auto"/>
        <w:rPr>
          <w:rFonts w:eastAsia="Calibri" w:cs="Times New Roman"/>
          <w:b/>
          <w:bCs/>
          <w:szCs w:val="24"/>
          <w:lang w:val="es-ES"/>
        </w:rPr>
      </w:pPr>
      <w:r>
        <w:rPr>
          <w:rFonts w:eastAsia="Calibri" w:cs="Times New Roman"/>
          <w:b/>
          <w:bCs/>
          <w:szCs w:val="24"/>
          <w:lang w:val="es-ES"/>
        </w:rPr>
        <w:t>Base de datos provincia Bolívar.</w:t>
      </w:r>
    </w:p>
    <w:p w14:paraId="0D324B5D" w14:textId="3B6D6F74" w:rsidR="00C23CE5" w:rsidRDefault="00C23CE5" w:rsidP="00C82BCC">
      <w:pPr>
        <w:spacing w:after="320" w:line="360" w:lineRule="auto"/>
        <w:rPr>
          <w:rFonts w:eastAsia="Calibri" w:cs="Times New Roman"/>
          <w:b/>
          <w:bCs/>
          <w:szCs w:val="24"/>
          <w:lang w:val="es-ES"/>
        </w:rPr>
      </w:pPr>
    </w:p>
    <w:p w14:paraId="4DAC9366" w14:textId="787CEFCF" w:rsidR="00C23CE5" w:rsidRDefault="00C23CE5" w:rsidP="00C82BCC">
      <w:pPr>
        <w:spacing w:after="320" w:line="360" w:lineRule="auto"/>
        <w:rPr>
          <w:rFonts w:eastAsia="Calibri" w:cs="Times New Roman"/>
          <w:b/>
          <w:bCs/>
          <w:szCs w:val="24"/>
          <w:lang w:val="es-ES"/>
        </w:rPr>
      </w:pPr>
      <w:r w:rsidRPr="00C23CE5">
        <w:rPr>
          <w:noProof/>
          <w:lang w:eastAsia="es-EC"/>
        </w:rPr>
        <w:drawing>
          <wp:inline distT="0" distB="0" distL="0" distR="0" wp14:anchorId="2ACA9D66" wp14:editId="6C321C3E">
            <wp:extent cx="8531860" cy="379095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531860" cy="3790950"/>
                    </a:xfrm>
                    <a:prstGeom prst="rect">
                      <a:avLst/>
                    </a:prstGeom>
                    <a:noFill/>
                    <a:ln>
                      <a:noFill/>
                    </a:ln>
                  </pic:spPr>
                </pic:pic>
              </a:graphicData>
            </a:graphic>
          </wp:inline>
        </w:drawing>
      </w:r>
    </w:p>
    <w:p w14:paraId="742A9ACE" w14:textId="77777777" w:rsidR="00C23CE5" w:rsidRDefault="00C23CE5">
      <w:pPr>
        <w:jc w:val="left"/>
        <w:rPr>
          <w:rFonts w:eastAsia="Calibri" w:cs="Times New Roman"/>
          <w:b/>
          <w:bCs/>
          <w:szCs w:val="24"/>
          <w:lang w:val="es-ES"/>
        </w:rPr>
      </w:pPr>
      <w:r w:rsidRPr="00C23CE5">
        <w:rPr>
          <w:noProof/>
          <w:lang w:eastAsia="es-EC"/>
        </w:rPr>
        <w:lastRenderedPageBreak/>
        <w:drawing>
          <wp:inline distT="0" distB="0" distL="0" distR="0" wp14:anchorId="0D714E77" wp14:editId="62278C41">
            <wp:extent cx="8531860" cy="4531995"/>
            <wp:effectExtent l="0" t="0" r="254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531860" cy="4531995"/>
                    </a:xfrm>
                    <a:prstGeom prst="rect">
                      <a:avLst/>
                    </a:prstGeom>
                    <a:noFill/>
                    <a:ln>
                      <a:noFill/>
                    </a:ln>
                  </pic:spPr>
                </pic:pic>
              </a:graphicData>
            </a:graphic>
          </wp:inline>
        </w:drawing>
      </w:r>
    </w:p>
    <w:p w14:paraId="0B0F6C0A" w14:textId="77777777" w:rsidR="00C23CE5" w:rsidRDefault="00C23CE5">
      <w:pPr>
        <w:jc w:val="left"/>
        <w:rPr>
          <w:rFonts w:eastAsia="Calibri" w:cs="Times New Roman"/>
          <w:b/>
          <w:bCs/>
          <w:szCs w:val="24"/>
          <w:lang w:val="es-ES"/>
        </w:rPr>
      </w:pPr>
      <w:r>
        <w:rPr>
          <w:rFonts w:eastAsia="Calibri" w:cs="Times New Roman"/>
          <w:b/>
          <w:bCs/>
          <w:szCs w:val="24"/>
          <w:lang w:val="es-ES"/>
        </w:rPr>
        <w:br w:type="page"/>
      </w:r>
    </w:p>
    <w:p w14:paraId="69B060F2" w14:textId="020C3529" w:rsidR="00C23CE5" w:rsidRDefault="00C23CE5" w:rsidP="00C23CE5">
      <w:pPr>
        <w:spacing w:after="0" w:line="240" w:lineRule="auto"/>
        <w:rPr>
          <w:rFonts w:eastAsia="Calibri" w:cs="Times New Roman"/>
          <w:b/>
          <w:bCs/>
          <w:szCs w:val="24"/>
          <w:lang w:val="es-ES"/>
        </w:rPr>
      </w:pPr>
      <w:r>
        <w:rPr>
          <w:rFonts w:eastAsia="Calibri" w:cs="Times New Roman"/>
          <w:b/>
          <w:bCs/>
          <w:szCs w:val="24"/>
          <w:lang w:val="es-ES"/>
        </w:rPr>
        <w:lastRenderedPageBreak/>
        <w:t>Base de datos provincia Chimborazo</w:t>
      </w:r>
    </w:p>
    <w:p w14:paraId="4100205F" w14:textId="77777777" w:rsidR="00C23CE5" w:rsidRDefault="00C23CE5" w:rsidP="00C23CE5">
      <w:pPr>
        <w:spacing w:after="0" w:line="240" w:lineRule="auto"/>
        <w:rPr>
          <w:rFonts w:eastAsia="Calibri" w:cs="Times New Roman"/>
          <w:b/>
          <w:bCs/>
          <w:szCs w:val="24"/>
          <w:lang w:val="es-ES"/>
        </w:rPr>
      </w:pPr>
    </w:p>
    <w:p w14:paraId="78649E15" w14:textId="77777777" w:rsidR="00C23CE5" w:rsidRDefault="00C23CE5">
      <w:pPr>
        <w:jc w:val="left"/>
        <w:rPr>
          <w:rFonts w:eastAsia="Calibri" w:cs="Times New Roman"/>
          <w:b/>
          <w:bCs/>
          <w:szCs w:val="24"/>
          <w:lang w:val="es-ES"/>
        </w:rPr>
      </w:pPr>
      <w:r w:rsidRPr="00C23CE5">
        <w:rPr>
          <w:noProof/>
          <w:lang w:eastAsia="es-EC"/>
        </w:rPr>
        <w:drawing>
          <wp:inline distT="0" distB="0" distL="0" distR="0" wp14:anchorId="15288F98" wp14:editId="7823DB78">
            <wp:extent cx="8531860" cy="4066540"/>
            <wp:effectExtent l="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531860" cy="4066540"/>
                    </a:xfrm>
                    <a:prstGeom prst="rect">
                      <a:avLst/>
                    </a:prstGeom>
                    <a:noFill/>
                    <a:ln>
                      <a:noFill/>
                    </a:ln>
                  </pic:spPr>
                </pic:pic>
              </a:graphicData>
            </a:graphic>
          </wp:inline>
        </w:drawing>
      </w:r>
    </w:p>
    <w:p w14:paraId="057C2F95" w14:textId="77777777" w:rsidR="00C23CE5" w:rsidRDefault="00C23CE5">
      <w:pPr>
        <w:jc w:val="left"/>
        <w:rPr>
          <w:rFonts w:eastAsia="Calibri" w:cs="Times New Roman"/>
          <w:b/>
          <w:bCs/>
          <w:szCs w:val="24"/>
          <w:lang w:val="es-ES"/>
        </w:rPr>
      </w:pPr>
      <w:r>
        <w:rPr>
          <w:rFonts w:eastAsia="Calibri" w:cs="Times New Roman"/>
          <w:b/>
          <w:bCs/>
          <w:szCs w:val="24"/>
          <w:lang w:val="es-ES"/>
        </w:rPr>
        <w:br w:type="page"/>
      </w:r>
    </w:p>
    <w:p w14:paraId="61D5F78F" w14:textId="77777777" w:rsidR="00C23CE5" w:rsidRDefault="00C23CE5">
      <w:pPr>
        <w:jc w:val="left"/>
        <w:rPr>
          <w:rFonts w:eastAsia="Calibri" w:cs="Times New Roman"/>
          <w:b/>
          <w:bCs/>
          <w:szCs w:val="24"/>
          <w:lang w:val="es-ES"/>
        </w:rPr>
      </w:pPr>
    </w:p>
    <w:p w14:paraId="1FF2C081" w14:textId="77777777" w:rsidR="00C23CE5" w:rsidRDefault="00C23CE5">
      <w:pPr>
        <w:jc w:val="left"/>
        <w:rPr>
          <w:rFonts w:eastAsia="Calibri" w:cs="Times New Roman"/>
          <w:b/>
          <w:bCs/>
          <w:szCs w:val="24"/>
          <w:lang w:val="es-ES"/>
        </w:rPr>
      </w:pPr>
    </w:p>
    <w:p w14:paraId="47588AD8" w14:textId="77777777" w:rsidR="00C23CE5" w:rsidRDefault="00C23CE5">
      <w:pPr>
        <w:jc w:val="left"/>
        <w:rPr>
          <w:rFonts w:eastAsia="Calibri" w:cs="Times New Roman"/>
          <w:b/>
          <w:bCs/>
          <w:szCs w:val="24"/>
          <w:lang w:val="es-ES"/>
        </w:rPr>
      </w:pPr>
      <w:r w:rsidRPr="00C23CE5">
        <w:rPr>
          <w:noProof/>
          <w:lang w:eastAsia="es-EC"/>
        </w:rPr>
        <w:drawing>
          <wp:inline distT="0" distB="0" distL="0" distR="0" wp14:anchorId="662566E1" wp14:editId="1F110780">
            <wp:extent cx="8531860" cy="1671320"/>
            <wp:effectExtent l="0" t="0" r="254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31860" cy="1671320"/>
                    </a:xfrm>
                    <a:prstGeom prst="rect">
                      <a:avLst/>
                    </a:prstGeom>
                    <a:noFill/>
                    <a:ln>
                      <a:noFill/>
                    </a:ln>
                  </pic:spPr>
                </pic:pic>
              </a:graphicData>
            </a:graphic>
          </wp:inline>
        </w:drawing>
      </w:r>
    </w:p>
    <w:p w14:paraId="089881BF" w14:textId="77777777" w:rsidR="00C23CE5" w:rsidRDefault="00C23CE5">
      <w:pPr>
        <w:jc w:val="left"/>
        <w:rPr>
          <w:rFonts w:eastAsia="Calibri" w:cs="Times New Roman"/>
          <w:b/>
          <w:bCs/>
          <w:szCs w:val="24"/>
          <w:lang w:val="es-ES"/>
        </w:rPr>
      </w:pPr>
      <w:r>
        <w:rPr>
          <w:rFonts w:eastAsia="Calibri" w:cs="Times New Roman"/>
          <w:b/>
          <w:bCs/>
          <w:szCs w:val="24"/>
          <w:lang w:val="es-ES"/>
        </w:rPr>
        <w:br w:type="page"/>
      </w:r>
    </w:p>
    <w:p w14:paraId="5DB63422" w14:textId="5DD27667" w:rsidR="00C23CE5" w:rsidRDefault="00C23CE5" w:rsidP="00C23CE5">
      <w:pPr>
        <w:spacing w:after="0" w:line="240" w:lineRule="auto"/>
        <w:rPr>
          <w:rFonts w:eastAsia="Calibri" w:cs="Times New Roman"/>
          <w:b/>
          <w:bCs/>
          <w:szCs w:val="24"/>
          <w:lang w:val="es-ES"/>
        </w:rPr>
      </w:pPr>
      <w:r>
        <w:rPr>
          <w:rFonts w:eastAsia="Calibri" w:cs="Times New Roman"/>
          <w:b/>
          <w:bCs/>
          <w:szCs w:val="24"/>
          <w:lang w:val="es-ES"/>
        </w:rPr>
        <w:lastRenderedPageBreak/>
        <w:t>Base de datos provincia Imbabura</w:t>
      </w:r>
    </w:p>
    <w:p w14:paraId="01285039" w14:textId="77777777" w:rsidR="001210B8" w:rsidRDefault="001210B8" w:rsidP="00C23CE5">
      <w:pPr>
        <w:spacing w:after="0" w:line="240" w:lineRule="auto"/>
        <w:rPr>
          <w:rFonts w:eastAsia="Calibri" w:cs="Times New Roman"/>
          <w:b/>
          <w:bCs/>
          <w:szCs w:val="24"/>
          <w:lang w:val="es-ES"/>
        </w:rPr>
      </w:pPr>
    </w:p>
    <w:p w14:paraId="6C08DDCB" w14:textId="68A841B2" w:rsidR="00442AEB" w:rsidRDefault="00C23CE5">
      <w:pPr>
        <w:jc w:val="left"/>
        <w:rPr>
          <w:rFonts w:eastAsia="Calibri" w:cs="Times New Roman"/>
          <w:b/>
          <w:bCs/>
          <w:szCs w:val="24"/>
          <w:lang w:val="es-ES"/>
        </w:rPr>
      </w:pPr>
      <w:r w:rsidRPr="00C23CE5">
        <w:rPr>
          <w:noProof/>
          <w:lang w:eastAsia="es-EC"/>
        </w:rPr>
        <w:drawing>
          <wp:inline distT="0" distB="0" distL="0" distR="0" wp14:anchorId="78C2D0F2" wp14:editId="6B83B714">
            <wp:extent cx="8531860" cy="3859530"/>
            <wp:effectExtent l="0" t="0" r="2540" b="762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31860" cy="3859530"/>
                    </a:xfrm>
                    <a:prstGeom prst="rect">
                      <a:avLst/>
                    </a:prstGeom>
                    <a:noFill/>
                    <a:ln>
                      <a:noFill/>
                    </a:ln>
                  </pic:spPr>
                </pic:pic>
              </a:graphicData>
            </a:graphic>
          </wp:inline>
        </w:drawing>
      </w:r>
    </w:p>
    <w:p w14:paraId="7FCFF99F" w14:textId="77B8C906" w:rsidR="00C23CE5" w:rsidRDefault="00442AEB">
      <w:pPr>
        <w:jc w:val="left"/>
        <w:rPr>
          <w:rFonts w:eastAsia="Calibri" w:cs="Times New Roman"/>
          <w:b/>
          <w:bCs/>
          <w:szCs w:val="24"/>
          <w:lang w:val="es-ES"/>
        </w:rPr>
      </w:pPr>
      <w:r>
        <w:rPr>
          <w:rFonts w:eastAsia="Calibri" w:cs="Times New Roman"/>
          <w:b/>
          <w:bCs/>
          <w:szCs w:val="24"/>
          <w:lang w:val="es-ES"/>
        </w:rPr>
        <w:br w:type="page"/>
      </w:r>
    </w:p>
    <w:p w14:paraId="16BD5545" w14:textId="77777777" w:rsidR="00C23CE5" w:rsidRDefault="00C23CE5" w:rsidP="00C82BCC">
      <w:pPr>
        <w:spacing w:after="320" w:line="360" w:lineRule="auto"/>
        <w:rPr>
          <w:rFonts w:eastAsia="Calibri" w:cs="Times New Roman"/>
          <w:b/>
          <w:bCs/>
          <w:szCs w:val="24"/>
          <w:lang w:val="es-ES"/>
        </w:rPr>
        <w:sectPr w:rsidR="00C23CE5" w:rsidSect="001379AC">
          <w:pgSz w:w="16838" w:h="11906" w:orient="landscape"/>
          <w:pgMar w:top="1701" w:right="1701" w:bottom="2268" w:left="1701" w:header="0" w:footer="567" w:gutter="0"/>
          <w:pgNumType w:start="3"/>
          <w:cols w:space="720"/>
        </w:sectPr>
      </w:pPr>
    </w:p>
    <w:p w14:paraId="0644567B" w14:textId="0CB22469" w:rsidR="00C82BCC" w:rsidRPr="00FC6E82" w:rsidRDefault="008838A5" w:rsidP="00FC6E82">
      <w:pPr>
        <w:spacing w:after="320" w:line="360" w:lineRule="auto"/>
        <w:rPr>
          <w:rFonts w:eastAsia="Calibri"/>
          <w:b/>
          <w:bCs/>
        </w:rPr>
      </w:pPr>
      <w:r>
        <w:rPr>
          <w:rFonts w:eastAsia="Calibri" w:cs="Times New Roman"/>
          <w:b/>
          <w:bCs/>
          <w:noProof/>
          <w:szCs w:val="24"/>
          <w:lang w:eastAsia="es-EC"/>
        </w:rPr>
        <w:lastRenderedPageBreak/>
        <mc:AlternateContent>
          <mc:Choice Requires="wps">
            <w:drawing>
              <wp:anchor distT="0" distB="0" distL="114300" distR="114300" simplePos="0" relativeHeight="251691008" behindDoc="0" locked="0" layoutInCell="1" allowOverlap="1" wp14:anchorId="106D7BC2" wp14:editId="20E2F8CB">
                <wp:simplePos x="0" y="0"/>
                <wp:positionH relativeFrom="column">
                  <wp:posOffset>4813402</wp:posOffset>
                </wp:positionH>
                <wp:positionV relativeFrom="paragraph">
                  <wp:posOffset>4718304</wp:posOffset>
                </wp:positionV>
                <wp:extent cx="446228" cy="241401"/>
                <wp:effectExtent l="0" t="0" r="11430" b="25400"/>
                <wp:wrapNone/>
                <wp:docPr id="73" name="Cuadro de texto 73"/>
                <wp:cNvGraphicFramePr/>
                <a:graphic xmlns:a="http://schemas.openxmlformats.org/drawingml/2006/main">
                  <a:graphicData uri="http://schemas.microsoft.com/office/word/2010/wordprocessingShape">
                    <wps:wsp>
                      <wps:cNvSpPr txBox="1"/>
                      <wps:spPr>
                        <a:xfrm>
                          <a:off x="0" y="0"/>
                          <a:ext cx="446228" cy="241401"/>
                        </a:xfrm>
                        <a:prstGeom prst="rect">
                          <a:avLst/>
                        </a:prstGeom>
                        <a:solidFill>
                          <a:schemeClr val="bg1"/>
                        </a:solidFill>
                        <a:ln w="6350">
                          <a:solidFill>
                            <a:schemeClr val="bg1"/>
                          </a:solidFill>
                        </a:ln>
                      </wps:spPr>
                      <wps:txbx>
                        <w:txbxContent>
                          <w:p w14:paraId="3559BDCC" w14:textId="77777777" w:rsidR="009B3C21" w:rsidRDefault="009B3C21" w:rsidP="00883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D7BC2" id="Cuadro de texto 73" o:spid="_x0000_s1029" type="#_x0000_t202" style="position:absolute;left:0;text-align:left;margin-left:379pt;margin-top:371.5pt;width:35.15pt;height:1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" fillcolor="white [3212]" strokecolor="white [3212]" strokeweight=".5pt">
                <v:textbox>
                  <w:txbxContent>
                    <w:p w14:paraId="3559BDCC" w14:textId="77777777" w:rsidR="009B3C21" w:rsidRDefault="009B3C21" w:rsidP="008838A5"/>
                  </w:txbxContent>
                </v:textbox>
              </v:shape>
            </w:pict>
          </mc:Fallback>
        </mc:AlternateContent>
      </w:r>
      <w:bookmarkStart w:id="2358" w:name="_Toc72706476"/>
      <w:bookmarkStart w:id="2359" w:name="_Toc72741426"/>
      <w:bookmarkStart w:id="2360" w:name="_Toc72742224"/>
      <w:bookmarkStart w:id="2361" w:name="_Toc72743022"/>
      <w:bookmarkStart w:id="2362" w:name="_Toc72881375"/>
      <w:bookmarkStart w:id="2363" w:name="_Toc72881746"/>
      <w:bookmarkStart w:id="2364" w:name="_Toc72882828"/>
      <w:bookmarkStart w:id="2365" w:name="_Toc75606608"/>
      <w:bookmarkStart w:id="2366" w:name="_Toc75612092"/>
      <w:bookmarkStart w:id="2367" w:name="_Toc75612938"/>
      <w:bookmarkStart w:id="2368" w:name="_Toc75680089"/>
      <w:bookmarkStart w:id="2369" w:name="_Toc75702703"/>
      <w:r w:rsidR="00D33E91" w:rsidRPr="00FC6E82">
        <w:rPr>
          <w:rFonts w:eastAsia="Calibri"/>
          <w:b/>
          <w:bCs/>
        </w:rPr>
        <w:t>ANEXO N° 6 G</w:t>
      </w:r>
      <w:r w:rsidR="00FC6E82" w:rsidRPr="00FC6E82">
        <w:rPr>
          <w:rFonts w:eastAsia="Calibri"/>
          <w:b/>
          <w:bCs/>
        </w:rPr>
        <w:t>losario de términos técnicos</w:t>
      </w:r>
      <w:bookmarkEnd w:id="2358"/>
      <w:bookmarkEnd w:id="2359"/>
      <w:bookmarkEnd w:id="2360"/>
      <w:bookmarkEnd w:id="2361"/>
      <w:bookmarkEnd w:id="2362"/>
      <w:bookmarkEnd w:id="2363"/>
      <w:bookmarkEnd w:id="2364"/>
      <w:bookmarkEnd w:id="2365"/>
      <w:bookmarkEnd w:id="2366"/>
      <w:bookmarkEnd w:id="2367"/>
      <w:bookmarkEnd w:id="2368"/>
      <w:bookmarkEnd w:id="2369"/>
    </w:p>
    <w:p w14:paraId="06B6688E"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t>Absorción. -</w:t>
      </w:r>
      <w:r>
        <w:rPr>
          <w:rFonts w:eastAsia="Calibri" w:cs="Times New Roman"/>
          <w:szCs w:val="24"/>
          <w:lang w:val="es-ES"/>
        </w:rPr>
        <w:t xml:space="preserve"> Acción de absorber, pérdida de la intensidad de una radiación al atravesar la materia. Ácidos nucléicos. Los ácidos nucléicos son biomoléculas orgánicas compuestas siempre por C, H, O, N, P. Son moléculas fibrilares (alargadas) gigantes no ramificadas, que desempeñan funciones biológicas de trascendental importancia en todos los seres vivos; contienen información genética. </w:t>
      </w:r>
    </w:p>
    <w:p w14:paraId="1ED5C816"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t>Adaptabilidad. -</w:t>
      </w:r>
      <w:r>
        <w:rPr>
          <w:rFonts w:eastAsia="Calibri" w:cs="Times New Roman"/>
          <w:szCs w:val="24"/>
          <w:lang w:val="es-ES"/>
        </w:rPr>
        <w:t xml:space="preserve"> Capacidad de acomodación de un elemento en un sistema nuevo y extraño. Es el potencial para la adaptación. </w:t>
      </w:r>
    </w:p>
    <w:p w14:paraId="0A69A5D3"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t>Adaptación. -</w:t>
      </w:r>
      <w:r>
        <w:rPr>
          <w:rFonts w:eastAsia="Calibri" w:cs="Times New Roman"/>
          <w:szCs w:val="24"/>
          <w:lang w:val="es-ES"/>
        </w:rPr>
        <w:t xml:space="preserve"> Proceso mediante el cual un organismo se modifica debido a un cambio en su estructura, forma o función, el cual le permite una mayor sobrevivencia en condiciones ambientales particulares. </w:t>
      </w:r>
    </w:p>
    <w:p w14:paraId="120B3B1D"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Autótrofos.</w:t>
      </w:r>
      <w:r>
        <w:rPr>
          <w:rFonts w:eastAsia="Calibri" w:cs="Times New Roman"/>
          <w:szCs w:val="24"/>
          <w:lang w:val="es-ES"/>
        </w:rPr>
        <w:t xml:space="preserve"> -  Es o</w:t>
      </w:r>
      <w:r>
        <w:rPr>
          <w:rFonts w:eastAsia="Calibri" w:cs="Times New Roman"/>
          <w:color w:val="333333"/>
          <w:szCs w:val="24"/>
          <w:shd w:val="clear" w:color="auto" w:fill="FFFFFF"/>
          <w:lang w:val="es-ES"/>
        </w:rPr>
        <w:t>rganismos son capaces de tomar distintos elementos del medio en el que se desarrollan, elementos que pueden clasificarse como inorgánicos, y que a través de distintos procesos internos los recomponen de modo tal en que pueden ser incorporados como alimento. </w:t>
      </w:r>
    </w:p>
    <w:p w14:paraId="53E7887F"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t>Biodiversidad. -</w:t>
      </w:r>
      <w:r>
        <w:rPr>
          <w:rFonts w:eastAsia="Calibri" w:cs="Times New Roman"/>
          <w:szCs w:val="24"/>
          <w:lang w:val="es-ES"/>
        </w:rPr>
        <w:t xml:space="preserve"> La totalidad de genes, de especies y de ecosistemas de cualquier área del planeta.</w:t>
      </w:r>
    </w:p>
    <w:p w14:paraId="746C5C7B"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Cariópside.</w:t>
      </w:r>
      <w:r>
        <w:rPr>
          <w:rFonts w:eastAsia="Calibri" w:cs="Times New Roman"/>
          <w:szCs w:val="24"/>
          <w:lang w:val="es-ES"/>
        </w:rPr>
        <w:t xml:space="preserve"> - </w:t>
      </w:r>
      <w:r>
        <w:rPr>
          <w:rFonts w:eastAsia="Calibri" w:cs="Times New Roman"/>
          <w:color w:val="222222"/>
          <w:szCs w:val="24"/>
          <w:shd w:val="clear" w:color="auto" w:fill="FFFFFF"/>
          <w:lang w:val="es-ES"/>
        </w:rPr>
        <w:t>Es un tipo de fruto simple, similar al aquenio, formado a partir de un único carpelo, seco e indehiscente. En ella el integumento y el pericarpio se han fusionado, formando una piel protectora.</w:t>
      </w:r>
    </w:p>
    <w:p w14:paraId="7C24CD8C"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Compactación.</w:t>
      </w:r>
      <w:r>
        <w:rPr>
          <w:rFonts w:eastAsia="Calibri" w:cs="Times New Roman"/>
          <w:szCs w:val="24"/>
          <w:lang w:val="es-ES"/>
        </w:rPr>
        <w:t xml:space="preserve"> - Incremento en densidad y disminución de macro-porosidad en el suelo que perjudica las funciones del mismo e impide la penetración de las raíces y el agua y el intercambio gaseoso.</w:t>
      </w:r>
    </w:p>
    <w:p w14:paraId="2AEE5F3C" w14:textId="72179E11" w:rsidR="00C82BCC" w:rsidRDefault="008838A5" w:rsidP="00C82BCC">
      <w:pPr>
        <w:spacing w:after="320" w:line="360" w:lineRule="auto"/>
        <w:rPr>
          <w:rFonts w:eastAsia="Calibri" w:cs="Times New Roman"/>
          <w:szCs w:val="24"/>
          <w:lang w:val="es-ES"/>
        </w:rPr>
      </w:pPr>
      <w:r>
        <w:rPr>
          <w:rFonts w:eastAsia="Calibri" w:cs="Times New Roman"/>
          <w:b/>
          <w:bCs/>
          <w:noProof/>
          <w:szCs w:val="24"/>
          <w:lang w:eastAsia="es-EC"/>
        </w:rPr>
        <mc:AlternateContent>
          <mc:Choice Requires="wps">
            <w:drawing>
              <wp:anchor distT="0" distB="0" distL="114300" distR="114300" simplePos="0" relativeHeight="251695104" behindDoc="0" locked="0" layoutInCell="1" allowOverlap="1" wp14:anchorId="5C49B0B8" wp14:editId="0F17F47B">
                <wp:simplePos x="0" y="0"/>
                <wp:positionH relativeFrom="column">
                  <wp:posOffset>4849977</wp:posOffset>
                </wp:positionH>
                <wp:positionV relativeFrom="paragraph">
                  <wp:posOffset>1353312</wp:posOffset>
                </wp:positionV>
                <wp:extent cx="446228" cy="241401"/>
                <wp:effectExtent l="0" t="0" r="11430" b="25400"/>
                <wp:wrapNone/>
                <wp:docPr id="77" name="Cuadro de texto 77"/>
                <wp:cNvGraphicFramePr/>
                <a:graphic xmlns:a="http://schemas.openxmlformats.org/drawingml/2006/main">
                  <a:graphicData uri="http://schemas.microsoft.com/office/word/2010/wordprocessingShape">
                    <wps:wsp>
                      <wps:cNvSpPr txBox="1"/>
                      <wps:spPr>
                        <a:xfrm>
                          <a:off x="0" y="0"/>
                          <a:ext cx="446228" cy="241401"/>
                        </a:xfrm>
                        <a:prstGeom prst="rect">
                          <a:avLst/>
                        </a:prstGeom>
                        <a:solidFill>
                          <a:schemeClr val="bg1"/>
                        </a:solidFill>
                        <a:ln w="6350">
                          <a:solidFill>
                            <a:schemeClr val="bg1"/>
                          </a:solidFill>
                        </a:ln>
                      </wps:spPr>
                      <wps:txbx>
                        <w:txbxContent>
                          <w:p w14:paraId="602E2446" w14:textId="77777777" w:rsidR="009B3C21" w:rsidRDefault="009B3C21" w:rsidP="00883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9B0B8" id="Cuadro de texto 77" o:spid="_x0000_s1030" type="#_x0000_t202" style="position:absolute;left:0;text-align:left;margin-left:381.9pt;margin-top:106.55pt;width:35.15pt;height:1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" fillcolor="white [3212]" strokecolor="white [3212]" strokeweight=".5pt">
                <v:textbox>
                  <w:txbxContent>
                    <w:p w14:paraId="602E2446" w14:textId="77777777" w:rsidR="009B3C21" w:rsidRDefault="009B3C21" w:rsidP="008838A5"/>
                  </w:txbxContent>
                </v:textbox>
              </v:shape>
            </w:pict>
          </mc:Fallback>
        </mc:AlternateContent>
      </w:r>
      <w:r w:rsidR="00C82BCC">
        <w:rPr>
          <w:rFonts w:eastAsia="Calibri" w:cs="Times New Roman"/>
          <w:b/>
          <w:bCs/>
          <w:szCs w:val="24"/>
          <w:lang w:val="es-ES"/>
        </w:rPr>
        <w:t>Deficiencia. -</w:t>
      </w:r>
      <w:r w:rsidR="00C82BCC">
        <w:rPr>
          <w:rFonts w:eastAsia="Calibri" w:cs="Times New Roman"/>
          <w:szCs w:val="24"/>
          <w:lang w:val="es-ES"/>
        </w:rPr>
        <w:t xml:space="preserve"> Funcionamiento inferior a lo normal que se manifiesta desde la siembra y está asociado a desajustes en el comportamiento. </w:t>
      </w:r>
    </w:p>
    <w:p w14:paraId="15C83F84"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lastRenderedPageBreak/>
        <w:t>Densidad. -</w:t>
      </w:r>
      <w:r>
        <w:rPr>
          <w:rFonts w:eastAsia="Calibri" w:cs="Times New Roman"/>
          <w:szCs w:val="24"/>
          <w:lang w:val="es-ES"/>
        </w:rPr>
        <w:t xml:space="preserve"> Parámetro que implica el número de elementos por unidad de superficie o volumen en un momento dado. </w:t>
      </w:r>
    </w:p>
    <w:p w14:paraId="3E395FB4"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t>Desnitrificación. -</w:t>
      </w:r>
      <w:r>
        <w:rPr>
          <w:rFonts w:eastAsia="Calibri" w:cs="Times New Roman"/>
          <w:szCs w:val="24"/>
          <w:lang w:val="es-ES"/>
        </w:rPr>
        <w:t xml:space="preserve"> Cantidad de Nitrógeno a través de procesos microbiológicos y es favorecido fundamentalmente por excesos de humedad y altas temperaturas. </w:t>
      </w:r>
    </w:p>
    <w:p w14:paraId="3A19516F"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t>Eficiencia agronómica del nitrógeno. -</w:t>
      </w:r>
      <w:r>
        <w:rPr>
          <w:rFonts w:eastAsia="Calibri" w:cs="Times New Roman"/>
          <w:szCs w:val="24"/>
          <w:lang w:val="es-ES"/>
        </w:rPr>
        <w:t xml:space="preserve"> La eficiencia agronómica del nitrógeno aplicado en los cultivos se puede optimizar coordinando la aplicación del fertilizante con el requerimiento real del cultivo. Una estrategia es la aplicación fraccionada de nitrógeno basada en el monitoreo del estado de N en la planta y el suelo.</w:t>
      </w:r>
    </w:p>
    <w:p w14:paraId="7855EF61"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t>Eficiencia. -</w:t>
      </w:r>
      <w:r>
        <w:rPr>
          <w:rFonts w:eastAsia="Calibri" w:cs="Times New Roman"/>
          <w:szCs w:val="24"/>
          <w:lang w:val="es-ES"/>
        </w:rPr>
        <w:t xml:space="preserve"> Es la óptima utilización de los recursos disponibles para la obtención de resultados deseados. </w:t>
      </w:r>
    </w:p>
    <w:p w14:paraId="13CD5733"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Endospermo.</w:t>
      </w:r>
      <w:r>
        <w:rPr>
          <w:rFonts w:eastAsia="Calibri" w:cs="Times New Roman"/>
          <w:szCs w:val="24"/>
          <w:lang w:val="es-ES"/>
        </w:rPr>
        <w:t xml:space="preserve"> - </w:t>
      </w:r>
      <w:r>
        <w:rPr>
          <w:rFonts w:eastAsia="Calibri" w:cs="Times New Roman"/>
          <w:color w:val="222222"/>
          <w:szCs w:val="24"/>
          <w:shd w:val="clear" w:color="auto" w:fill="FFFFFF"/>
          <w:lang w:val="es-ES"/>
        </w:rPr>
        <w:t>Son capas de células largas paralelas, sin ramificaciones en la mayoría de las variedades del maíz representa el aproximadamente 80-82% del total del peso del grano seco y es la fuente de almidón y proteína para la semilla que va a germinar.</w:t>
      </w:r>
    </w:p>
    <w:p w14:paraId="4796F5DA" w14:textId="77777777" w:rsidR="00C82BCC" w:rsidRDefault="00C82BCC" w:rsidP="00C82BCC">
      <w:pPr>
        <w:shd w:val="clear" w:color="auto" w:fill="FFFFFF"/>
        <w:spacing w:line="360" w:lineRule="auto"/>
        <w:rPr>
          <w:rFonts w:eastAsia="Times New Roman" w:cs="Times New Roman"/>
          <w:color w:val="222222"/>
          <w:szCs w:val="24"/>
          <w:lang w:eastAsia="es-EC"/>
        </w:rPr>
      </w:pPr>
      <w:r>
        <w:rPr>
          <w:rFonts w:eastAsia="Calibri" w:cs="Times New Roman"/>
          <w:b/>
          <w:bCs/>
          <w:szCs w:val="24"/>
          <w:lang w:val="es-ES"/>
        </w:rPr>
        <w:t>Herbicidas.</w:t>
      </w:r>
      <w:r>
        <w:rPr>
          <w:rFonts w:eastAsia="Calibri" w:cs="Times New Roman"/>
          <w:szCs w:val="24"/>
          <w:lang w:val="es-ES"/>
        </w:rPr>
        <w:t xml:space="preserve"> - </w:t>
      </w:r>
      <w:r>
        <w:rPr>
          <w:rFonts w:eastAsia="Times New Roman" w:cs="Times New Roman"/>
          <w:color w:val="222222"/>
          <w:szCs w:val="24"/>
          <w:lang w:eastAsia="es-EC"/>
        </w:rPr>
        <w:t>Producto químico que impide el desarrollo de las hierbas perjudiciales que crecen en un terreno.</w:t>
      </w:r>
    </w:p>
    <w:p w14:paraId="05627A20"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Labranza convencional. -</w:t>
      </w:r>
      <w:r>
        <w:rPr>
          <w:rFonts w:eastAsia="Calibri" w:cs="Times New Roman"/>
          <w:szCs w:val="24"/>
          <w:lang w:val="es-ES"/>
        </w:rPr>
        <w:t xml:space="preserve"> Involucra la inversión del suelo, normalmente con el arado de vertedera o el arado de discos como labranza primaria, seguida por labranzas secundarias con la rastra de discos.</w:t>
      </w:r>
    </w:p>
    <w:p w14:paraId="2DF3CD81"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Labranza mínima. -</w:t>
      </w:r>
      <w:r>
        <w:rPr>
          <w:rFonts w:eastAsia="Calibri" w:cs="Times New Roman"/>
          <w:szCs w:val="24"/>
          <w:lang w:val="es-ES"/>
        </w:rPr>
        <w:t xml:space="preserve"> Práctica de manejo de suelo que consiste en arar lo menos posible. </w:t>
      </w:r>
    </w:p>
    <w:p w14:paraId="7D1FAA52" w14:textId="0D435BF3" w:rsidR="00C82BCC" w:rsidRDefault="008838A5" w:rsidP="00C82BCC">
      <w:pPr>
        <w:spacing w:line="360" w:lineRule="auto"/>
        <w:rPr>
          <w:rFonts w:eastAsia="Calibri" w:cs="Times New Roman"/>
          <w:szCs w:val="24"/>
          <w:lang w:val="es-ES"/>
        </w:rPr>
      </w:pPr>
      <w:r>
        <w:rPr>
          <w:rFonts w:eastAsia="Calibri" w:cs="Times New Roman"/>
          <w:b/>
          <w:bCs/>
          <w:noProof/>
          <w:szCs w:val="24"/>
          <w:lang w:eastAsia="es-EC"/>
        </w:rPr>
        <mc:AlternateContent>
          <mc:Choice Requires="wps">
            <w:drawing>
              <wp:anchor distT="0" distB="0" distL="114300" distR="114300" simplePos="0" relativeHeight="251697152" behindDoc="0" locked="0" layoutInCell="1" allowOverlap="1" wp14:anchorId="43BD819B" wp14:editId="7F8EFBB9">
                <wp:simplePos x="0" y="0"/>
                <wp:positionH relativeFrom="column">
                  <wp:posOffset>4784141</wp:posOffset>
                </wp:positionH>
                <wp:positionV relativeFrom="paragraph">
                  <wp:posOffset>1645920</wp:posOffset>
                </wp:positionV>
                <wp:extent cx="446228" cy="241401"/>
                <wp:effectExtent l="0" t="0" r="11430" b="25400"/>
                <wp:wrapNone/>
                <wp:docPr id="79" name="Cuadro de texto 79"/>
                <wp:cNvGraphicFramePr/>
                <a:graphic xmlns:a="http://schemas.openxmlformats.org/drawingml/2006/main">
                  <a:graphicData uri="http://schemas.microsoft.com/office/word/2010/wordprocessingShape">
                    <wps:wsp>
                      <wps:cNvSpPr txBox="1"/>
                      <wps:spPr>
                        <a:xfrm>
                          <a:off x="0" y="0"/>
                          <a:ext cx="446228" cy="241401"/>
                        </a:xfrm>
                        <a:prstGeom prst="rect">
                          <a:avLst/>
                        </a:prstGeom>
                        <a:solidFill>
                          <a:schemeClr val="bg1"/>
                        </a:solidFill>
                        <a:ln w="6350">
                          <a:solidFill>
                            <a:schemeClr val="bg1"/>
                          </a:solidFill>
                        </a:ln>
                      </wps:spPr>
                      <wps:txbx>
                        <w:txbxContent>
                          <w:p w14:paraId="250AD84B" w14:textId="77777777" w:rsidR="009B3C21" w:rsidRDefault="009B3C21" w:rsidP="00883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D819B" id="Cuadro de texto 79" o:spid="_x0000_s1031" type="#_x0000_t202" style="position:absolute;left:0;text-align:left;margin-left:376.7pt;margin-top:129.6pt;width:35.15pt;height:1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" fillcolor="white [3212]" strokecolor="white [3212]" strokeweight=".5pt">
                <v:textbox>
                  <w:txbxContent>
                    <w:p w14:paraId="250AD84B" w14:textId="77777777" w:rsidR="009B3C21" w:rsidRDefault="009B3C21" w:rsidP="008838A5"/>
                  </w:txbxContent>
                </v:textbox>
              </v:shape>
            </w:pict>
          </mc:Fallback>
        </mc:AlternateContent>
      </w:r>
      <w:r w:rsidR="00C82BCC">
        <w:rPr>
          <w:rFonts w:eastAsia="Calibri" w:cs="Times New Roman"/>
          <w:b/>
          <w:bCs/>
          <w:szCs w:val="24"/>
          <w:lang w:val="es-ES"/>
        </w:rPr>
        <w:t>Lixiviación. -</w:t>
      </w:r>
      <w:r w:rsidR="00C82BCC">
        <w:rPr>
          <w:rFonts w:eastAsia="Calibri" w:cs="Times New Roman"/>
          <w:szCs w:val="24"/>
          <w:lang w:val="es-ES"/>
        </w:rPr>
        <w:t xml:space="preserve"> Se llama así al fenómeno de desplazamiento de sustancias solubles o dispersables (arcilla, sales, hierro, humus) causado por el movimiento de agua en el suelo, y es, por lo tanto, característico de climas húmedos. Esto provoca que algunas capas del suelo pierdan sus compuestos nutritivos, se vuelvan más ácidas y a veces, también se origine toxicidad. Por lixiviación pueden perderse grandes </w:t>
      </w:r>
      <w:r w:rsidR="00C82BCC">
        <w:rPr>
          <w:rFonts w:eastAsia="Calibri" w:cs="Times New Roman"/>
          <w:szCs w:val="24"/>
          <w:lang w:val="es-ES"/>
        </w:rPr>
        <w:lastRenderedPageBreak/>
        <w:t>cantidades de fertilizantes porque descienden a los horizontes inferiores del suelo, 114 adonde no llegan las raíces de los cultivos. En climas muy húmedos la vegetación natural, sobre todo la forestal, sirve de protección contra lixiviación. Cuando el hombre la destruye, este proceso se acelera considerablemente y la retención de nutrientes en la zona radical se interrumpe</w:t>
      </w:r>
      <w:r w:rsidR="00981190">
        <w:rPr>
          <w:rFonts w:eastAsia="Calibri" w:cs="Times New Roman"/>
          <w:szCs w:val="24"/>
          <w:lang w:val="es-ES"/>
        </w:rPr>
        <w:t>.</w:t>
      </w:r>
    </w:p>
    <w:p w14:paraId="42D61189"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Nitrificación. -</w:t>
      </w:r>
      <w:r>
        <w:rPr>
          <w:rFonts w:eastAsia="Calibri" w:cs="Times New Roman"/>
          <w:szCs w:val="24"/>
          <w:lang w:val="es-ES"/>
        </w:rPr>
        <w:t xml:space="preserve"> La nitrificación es el proceso a través del cual las bacterias nitrificantes transforman el amonio en nitrato.</w:t>
      </w:r>
    </w:p>
    <w:p w14:paraId="296B9774" w14:textId="464E63A8" w:rsidR="00C82BCC" w:rsidRDefault="00BF6553" w:rsidP="00C82BCC">
      <w:pPr>
        <w:spacing w:line="360" w:lineRule="auto"/>
        <w:rPr>
          <w:rFonts w:eastAsia="Calibri" w:cs="Times New Roman"/>
          <w:szCs w:val="24"/>
          <w:lang w:val="es-ES"/>
        </w:rPr>
      </w:pPr>
      <w:r>
        <w:rPr>
          <w:rFonts w:eastAsia="Calibri" w:cs="Times New Roman"/>
          <w:b/>
          <w:bCs/>
          <w:szCs w:val="24"/>
          <w:lang w:val="es-ES"/>
        </w:rPr>
        <w:t>Nitrito. -</w:t>
      </w:r>
      <w:r w:rsidR="00C82BCC">
        <w:rPr>
          <w:rFonts w:eastAsia="Calibri" w:cs="Times New Roman"/>
          <w:szCs w:val="24"/>
          <w:lang w:val="es-ES"/>
        </w:rPr>
        <w:t xml:space="preserve"> Son sales o ésteres del ácido nitroso (HNO2). En la naturaleza los nitritos se forman por oxidación biológica de las aminas y del amoníaco, o por reducción del nitrato en condiciones anaeróbicas.</w:t>
      </w:r>
    </w:p>
    <w:p w14:paraId="1F9DF916" w14:textId="187598EF" w:rsidR="00C82BCC" w:rsidRDefault="00C82BCC" w:rsidP="00C82BCC">
      <w:pPr>
        <w:spacing w:line="360" w:lineRule="auto"/>
        <w:rPr>
          <w:rFonts w:eastAsia="Calibri" w:cs="Times New Roman"/>
          <w:szCs w:val="24"/>
          <w:lang w:val="es-ES"/>
        </w:rPr>
      </w:pPr>
      <w:r>
        <w:rPr>
          <w:rFonts w:eastAsia="Calibri" w:cs="Times New Roman"/>
          <w:b/>
          <w:bCs/>
          <w:szCs w:val="24"/>
          <w:lang w:val="es-ES"/>
        </w:rPr>
        <w:t xml:space="preserve"> </w:t>
      </w:r>
      <w:r w:rsidR="00BF6553">
        <w:rPr>
          <w:rFonts w:eastAsia="Calibri" w:cs="Times New Roman"/>
          <w:b/>
          <w:bCs/>
          <w:szCs w:val="24"/>
          <w:lang w:val="es-ES"/>
        </w:rPr>
        <w:t>Nitrosococcus. -</w:t>
      </w:r>
      <w:r>
        <w:rPr>
          <w:rFonts w:eastAsia="Calibri" w:cs="Times New Roman"/>
          <w:szCs w:val="24"/>
          <w:lang w:val="es-ES"/>
        </w:rPr>
        <w:t xml:space="preserve"> Es un género microbiológico comprendiendo bacterias elipsoidales del suelo. Son importantes en el ciclo del nitrógeno por transformar amonio (tóxico) a nitrito</w:t>
      </w:r>
      <w:r>
        <w:rPr>
          <w:rFonts w:ascii="Calibri" w:eastAsia="Calibri" w:hAnsi="Calibri" w:cs="Times New Roman"/>
          <w:lang w:val="es-ES"/>
        </w:rPr>
        <w:t>.</w:t>
      </w:r>
    </w:p>
    <w:p w14:paraId="0A698076"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Nitrosomonas.-</w:t>
      </w:r>
      <w:r>
        <w:rPr>
          <w:rFonts w:eastAsia="Calibri" w:cs="Times New Roman"/>
          <w:szCs w:val="24"/>
          <w:lang w:val="es-ES"/>
        </w:rPr>
        <w:t xml:space="preserve"> Es un género de bacterias elipsoidales del suelo.</w:t>
      </w:r>
    </w:p>
    <w:p w14:paraId="0C71DC94" w14:textId="77777777" w:rsidR="00C82BCC" w:rsidRDefault="00C82BCC" w:rsidP="00C82BCC">
      <w:pPr>
        <w:spacing w:after="320" w:line="360" w:lineRule="auto"/>
        <w:rPr>
          <w:rFonts w:eastAsia="Calibri" w:cs="Times New Roman"/>
          <w:szCs w:val="24"/>
          <w:lang w:val="es-ES"/>
        </w:rPr>
      </w:pPr>
      <w:r>
        <w:rPr>
          <w:rFonts w:eastAsia="Calibri" w:cs="Times New Roman"/>
          <w:b/>
          <w:bCs/>
          <w:szCs w:val="24"/>
          <w:lang w:val="es-ES"/>
        </w:rPr>
        <w:t>Nutrientes. -</w:t>
      </w:r>
      <w:r>
        <w:rPr>
          <w:rFonts w:eastAsia="Calibri" w:cs="Times New Roman"/>
          <w:szCs w:val="24"/>
          <w:lang w:val="es-ES"/>
        </w:rPr>
        <w:t xml:space="preserve"> Cualquier sustancia que provee energía para los procesos fisiológicos y promueve el crecimiento.</w:t>
      </w:r>
    </w:p>
    <w:p w14:paraId="0727C59A"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Panoja.</w:t>
      </w:r>
      <w:r>
        <w:rPr>
          <w:rFonts w:eastAsia="Calibri" w:cs="Times New Roman"/>
          <w:szCs w:val="24"/>
          <w:lang w:val="es-ES"/>
        </w:rPr>
        <w:t xml:space="preserve"> - </w:t>
      </w:r>
      <w:r>
        <w:rPr>
          <w:rFonts w:eastAsia="Calibri" w:cs="Times New Roman"/>
          <w:color w:val="222222"/>
          <w:szCs w:val="24"/>
          <w:shd w:val="clear" w:color="auto" w:fill="FFFFFF"/>
          <w:lang w:val="es-ES"/>
        </w:rPr>
        <w:t>Inflorescencia compuesta formada por un racimo cuyos ejes laterales se ramifican de nuevo en forma de racimo o a veces de espiga.</w:t>
      </w:r>
    </w:p>
    <w:p w14:paraId="1BD46264"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Pericarpio.</w:t>
      </w:r>
      <w:r>
        <w:rPr>
          <w:rFonts w:eastAsia="Calibri" w:cs="Times New Roman"/>
          <w:szCs w:val="24"/>
          <w:lang w:val="es-ES"/>
        </w:rPr>
        <w:t xml:space="preserve"> - </w:t>
      </w:r>
      <w:r>
        <w:rPr>
          <w:rFonts w:eastAsia="Calibri" w:cs="Times New Roman"/>
          <w:color w:val="222222"/>
          <w:szCs w:val="24"/>
          <w:shd w:val="clear" w:color="auto" w:fill="FFFFFF"/>
          <w:lang w:val="es-ES"/>
        </w:rPr>
        <w:t>Parte exterior del fruto de las plantas que envuelve las semillas</w:t>
      </w:r>
    </w:p>
    <w:p w14:paraId="3DCF47B5" w14:textId="77777777" w:rsidR="00C82BCC" w:rsidRDefault="00C82BCC" w:rsidP="00C82BCC">
      <w:pPr>
        <w:spacing w:line="360" w:lineRule="auto"/>
        <w:rPr>
          <w:rFonts w:eastAsia="Calibri" w:cs="Times New Roman"/>
          <w:szCs w:val="24"/>
          <w:lang w:val="es-ES"/>
        </w:rPr>
      </w:pPr>
      <w:r>
        <w:rPr>
          <w:rFonts w:eastAsia="Calibri" w:cs="Times New Roman"/>
          <w:b/>
          <w:bCs/>
          <w:szCs w:val="24"/>
          <w:lang w:val="es-ES"/>
        </w:rPr>
        <w:t>Suelo. -</w:t>
      </w:r>
      <w:r>
        <w:rPr>
          <w:rFonts w:eastAsia="Calibri" w:cs="Times New Roman"/>
          <w:szCs w:val="24"/>
          <w:lang w:val="es-ES"/>
        </w:rPr>
        <w:t xml:space="preserve"> Es un recurso natural renovable de importancia básica para la vida sóbrenla tierra. Es la fuente de vida de las plantas, animales y la especie humana.</w:t>
      </w:r>
    </w:p>
    <w:p w14:paraId="53FEB921" w14:textId="77777777" w:rsidR="00C82BCC" w:rsidRDefault="00C82BCC" w:rsidP="00C82BCC">
      <w:pPr>
        <w:spacing w:line="360" w:lineRule="auto"/>
        <w:rPr>
          <w:rFonts w:eastAsia="Calibri" w:cs="Times New Roman"/>
          <w:szCs w:val="24"/>
          <w:lang w:val="es-ES"/>
        </w:rPr>
      </w:pPr>
    </w:p>
    <w:p w14:paraId="6E1100AD" w14:textId="77777777" w:rsidR="00C82BCC" w:rsidRDefault="00C82BCC" w:rsidP="00C82BCC">
      <w:pPr>
        <w:spacing w:line="360" w:lineRule="auto"/>
        <w:rPr>
          <w:rFonts w:eastAsia="Calibri" w:cs="Times New Roman"/>
          <w:szCs w:val="24"/>
          <w:lang w:val="es-ES"/>
        </w:rPr>
      </w:pPr>
    </w:p>
    <w:p w14:paraId="1D53D6F3" w14:textId="77777777" w:rsidR="00C82BCC" w:rsidRDefault="00C82BCC" w:rsidP="00C82BCC">
      <w:pPr>
        <w:spacing w:line="360" w:lineRule="auto"/>
        <w:rPr>
          <w:rFonts w:eastAsia="Calibri" w:cs="Times New Roman"/>
          <w:szCs w:val="24"/>
          <w:lang w:val="es-ES"/>
        </w:rPr>
      </w:pPr>
    </w:p>
    <w:p w14:paraId="3469E38C" w14:textId="713A1AF9" w:rsidR="00C82BCC" w:rsidRDefault="00C82BCC" w:rsidP="00C82BCC">
      <w:pPr>
        <w:rPr>
          <w:rFonts w:cs="Times New Roman"/>
          <w:szCs w:val="24"/>
          <w:lang w:val="es-ES"/>
        </w:rPr>
      </w:pPr>
    </w:p>
    <w:p w14:paraId="0D7A1253" w14:textId="5D29C79A" w:rsidR="00C82BCC" w:rsidRPr="007E253F" w:rsidRDefault="008838A5" w:rsidP="000E2B3A">
      <w:pPr>
        <w:spacing w:line="360" w:lineRule="auto"/>
        <w:rPr>
          <w:rFonts w:cs="Times New Roman"/>
          <w:szCs w:val="24"/>
        </w:rPr>
      </w:pPr>
      <w:r>
        <w:rPr>
          <w:rFonts w:eastAsia="Calibri" w:cs="Times New Roman"/>
          <w:b/>
          <w:bCs/>
          <w:noProof/>
          <w:szCs w:val="24"/>
          <w:lang w:eastAsia="es-EC"/>
        </w:rPr>
        <mc:AlternateContent>
          <mc:Choice Requires="wps">
            <w:drawing>
              <wp:anchor distT="0" distB="0" distL="114300" distR="114300" simplePos="0" relativeHeight="251699200" behindDoc="0" locked="0" layoutInCell="1" allowOverlap="1" wp14:anchorId="155CEB7B" wp14:editId="47457209">
                <wp:simplePos x="0" y="0"/>
                <wp:positionH relativeFrom="column">
                  <wp:posOffset>4813300</wp:posOffset>
                </wp:positionH>
                <wp:positionV relativeFrom="paragraph">
                  <wp:posOffset>523570</wp:posOffset>
                </wp:positionV>
                <wp:extent cx="446228" cy="241401"/>
                <wp:effectExtent l="0" t="0" r="11430" b="25400"/>
                <wp:wrapNone/>
                <wp:docPr id="80" name="Cuadro de texto 80"/>
                <wp:cNvGraphicFramePr/>
                <a:graphic xmlns:a="http://schemas.openxmlformats.org/drawingml/2006/main">
                  <a:graphicData uri="http://schemas.microsoft.com/office/word/2010/wordprocessingShape">
                    <wps:wsp>
                      <wps:cNvSpPr txBox="1"/>
                      <wps:spPr>
                        <a:xfrm>
                          <a:off x="0" y="0"/>
                          <a:ext cx="446228" cy="241401"/>
                        </a:xfrm>
                        <a:prstGeom prst="rect">
                          <a:avLst/>
                        </a:prstGeom>
                        <a:solidFill>
                          <a:schemeClr val="bg1"/>
                        </a:solidFill>
                        <a:ln w="6350">
                          <a:solidFill>
                            <a:schemeClr val="bg1"/>
                          </a:solidFill>
                        </a:ln>
                      </wps:spPr>
                      <wps:txbx>
                        <w:txbxContent>
                          <w:p w14:paraId="2B5BE770" w14:textId="77777777" w:rsidR="009B3C21" w:rsidRDefault="009B3C21" w:rsidP="00883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CEB7B" id="Cuadro de texto 80" o:spid="_x0000_s1032" type="#_x0000_t202" style="position:absolute;left:0;text-align:left;margin-left:379pt;margin-top:41.25pt;width:35.15pt;height:1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" fillcolor="white [3212]" strokecolor="white [3212]" strokeweight=".5pt">
                <v:textbox>
                  <w:txbxContent>
                    <w:p w14:paraId="2B5BE770" w14:textId="77777777" w:rsidR="009B3C21" w:rsidRDefault="009B3C21" w:rsidP="008838A5"/>
                  </w:txbxContent>
                </v:textbox>
              </v:shape>
            </w:pict>
          </mc:Fallback>
        </mc:AlternateContent>
      </w:r>
    </w:p>
    <w:sectPr w:rsidR="00C82BCC" w:rsidRPr="007E253F" w:rsidSect="009C353D">
      <w:footerReference w:type="default" r:id="rId103"/>
      <w:pgSz w:w="11906" w:h="16838"/>
      <w:pgMar w:top="1701" w:right="1701" w:bottom="1701" w:left="2268" w:header="0" w:footer="397"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7F039" w14:textId="77777777" w:rsidR="00D23EF3" w:rsidRDefault="00D23EF3" w:rsidP="00B3787A">
      <w:pPr>
        <w:spacing w:after="0" w:line="240" w:lineRule="auto"/>
      </w:pPr>
      <w:r>
        <w:separator/>
      </w:r>
    </w:p>
  </w:endnote>
  <w:endnote w:type="continuationSeparator" w:id="0">
    <w:p w14:paraId="594E545A" w14:textId="77777777" w:rsidR="00D23EF3" w:rsidRDefault="00D23EF3" w:rsidP="00B37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5858" w14:textId="4A4DF591" w:rsidR="006033D5" w:rsidRDefault="006033D5">
    <w:pPr>
      <w:pStyle w:val="Piedepgina"/>
      <w:jc w:val="right"/>
    </w:pPr>
  </w:p>
  <w:p w14:paraId="4CC1EE01" w14:textId="77777777" w:rsidR="009B3C21" w:rsidRDefault="009B3C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182107"/>
      <w:docPartObj>
        <w:docPartGallery w:val="Page Numbers (Bottom of Page)"/>
        <w:docPartUnique/>
      </w:docPartObj>
    </w:sdtPr>
    <w:sdtContent>
      <w:p w14:paraId="5A242BA3" w14:textId="77777777" w:rsidR="006033D5" w:rsidRDefault="006033D5">
        <w:pPr>
          <w:pStyle w:val="Piedepgina"/>
          <w:jc w:val="right"/>
        </w:pPr>
        <w:r>
          <w:fldChar w:fldCharType="begin"/>
        </w:r>
        <w:r>
          <w:instrText>PAGE   \* MERGEFORMAT</w:instrText>
        </w:r>
        <w:r>
          <w:fldChar w:fldCharType="separate"/>
        </w:r>
        <w:r>
          <w:rPr>
            <w:lang w:val="es-ES"/>
          </w:rPr>
          <w:t>2</w:t>
        </w:r>
        <w:r>
          <w:fldChar w:fldCharType="end"/>
        </w:r>
      </w:p>
    </w:sdtContent>
  </w:sdt>
  <w:p w14:paraId="38AAFB42" w14:textId="77777777" w:rsidR="006033D5" w:rsidRDefault="006033D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D5FB" w14:textId="77777777" w:rsidR="001379AC" w:rsidRDefault="001379A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66661"/>
      <w:docPartObj>
        <w:docPartGallery w:val="Page Numbers (Bottom of Page)"/>
        <w:docPartUnique/>
      </w:docPartObj>
    </w:sdtPr>
    <w:sdtEndPr/>
    <w:sdtContent>
      <w:p w14:paraId="62F22577" w14:textId="14F254F4" w:rsidR="009C353D" w:rsidRDefault="009C353D">
        <w:pPr>
          <w:pStyle w:val="Piedepgina"/>
          <w:jc w:val="right"/>
        </w:pPr>
        <w:r>
          <w:fldChar w:fldCharType="begin"/>
        </w:r>
        <w:r>
          <w:instrText>PAGE   \* MERGEFORMAT</w:instrText>
        </w:r>
        <w:r>
          <w:fldChar w:fldCharType="separate"/>
        </w:r>
        <w:r>
          <w:rPr>
            <w:lang w:val="es-ES"/>
          </w:rPr>
          <w:t>2</w:t>
        </w:r>
        <w:r>
          <w:fldChar w:fldCharType="end"/>
        </w:r>
      </w:p>
    </w:sdtContent>
  </w:sdt>
  <w:p w14:paraId="33C07E37" w14:textId="77777777" w:rsidR="009C353D" w:rsidRDefault="009C35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2972D" w14:textId="77777777" w:rsidR="00D23EF3" w:rsidRDefault="00D23EF3" w:rsidP="00B3787A">
      <w:pPr>
        <w:spacing w:after="0" w:line="240" w:lineRule="auto"/>
      </w:pPr>
      <w:r>
        <w:separator/>
      </w:r>
    </w:p>
  </w:footnote>
  <w:footnote w:type="continuationSeparator" w:id="0">
    <w:p w14:paraId="7C8EA5C8" w14:textId="77777777" w:rsidR="00D23EF3" w:rsidRDefault="00D23EF3" w:rsidP="00B37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8D1E" w14:textId="77777777" w:rsidR="002D5926" w:rsidRDefault="002D59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19C"/>
    <w:multiLevelType w:val="hybridMultilevel"/>
    <w:tmpl w:val="EF46D8B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041A0A3E"/>
    <w:multiLevelType w:val="hybridMultilevel"/>
    <w:tmpl w:val="4BD0C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1B27E6"/>
    <w:multiLevelType w:val="hybridMultilevel"/>
    <w:tmpl w:val="0EAAD21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15:restartNumberingAfterBreak="0">
    <w:nsid w:val="0E0053C0"/>
    <w:multiLevelType w:val="hybridMultilevel"/>
    <w:tmpl w:val="EB048610"/>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0FF32059"/>
    <w:multiLevelType w:val="hybridMultilevel"/>
    <w:tmpl w:val="F822C19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90B64B8"/>
    <w:multiLevelType w:val="hybridMultilevel"/>
    <w:tmpl w:val="6FCEA6C6"/>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BD73473"/>
    <w:multiLevelType w:val="hybridMultilevel"/>
    <w:tmpl w:val="1934430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1D450EF6"/>
    <w:multiLevelType w:val="hybridMultilevel"/>
    <w:tmpl w:val="7D3A9A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63659F"/>
    <w:multiLevelType w:val="hybridMultilevel"/>
    <w:tmpl w:val="CF101328"/>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879C6"/>
    <w:multiLevelType w:val="multilevel"/>
    <w:tmpl w:val="F8D82D7C"/>
    <w:lvl w:ilvl="0">
      <w:start w:val="3"/>
      <w:numFmt w:val="decimal"/>
      <w:lvlText w:val="%1."/>
      <w:lvlJc w:val="left"/>
      <w:pPr>
        <w:ind w:left="360" w:hanging="360"/>
      </w:pPr>
      <w:rPr>
        <w:rFonts w:hint="default"/>
      </w:rPr>
    </w:lvl>
    <w:lvl w:ilvl="1">
      <w:start w:val="1"/>
      <w:numFmt w:val="decimal"/>
      <w:pStyle w:val="Estilo2"/>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4BC0144"/>
    <w:multiLevelType w:val="hybridMultilevel"/>
    <w:tmpl w:val="D08E6E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4D95F38"/>
    <w:multiLevelType w:val="hybridMultilevel"/>
    <w:tmpl w:val="AE8473A6"/>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15:restartNumberingAfterBreak="0">
    <w:nsid w:val="28283CC3"/>
    <w:multiLevelType w:val="hybridMultilevel"/>
    <w:tmpl w:val="88DCD8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B726BB9"/>
    <w:multiLevelType w:val="hybridMultilevel"/>
    <w:tmpl w:val="3DBE20A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2C6A15FF"/>
    <w:multiLevelType w:val="hybridMultilevel"/>
    <w:tmpl w:val="315E4B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D804770"/>
    <w:multiLevelType w:val="hybridMultilevel"/>
    <w:tmpl w:val="328EC3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411DD1"/>
    <w:multiLevelType w:val="hybridMultilevel"/>
    <w:tmpl w:val="B0C85BC8"/>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39520A8"/>
    <w:multiLevelType w:val="multilevel"/>
    <w:tmpl w:val="B0BEE27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3555"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320D8B"/>
    <w:multiLevelType w:val="multilevel"/>
    <w:tmpl w:val="1A7450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644"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B46E92"/>
    <w:multiLevelType w:val="hybridMultilevel"/>
    <w:tmpl w:val="72F22CC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 w15:restartNumberingAfterBreak="0">
    <w:nsid w:val="36550CE0"/>
    <w:multiLevelType w:val="hybridMultilevel"/>
    <w:tmpl w:val="328EC3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DE18FC"/>
    <w:multiLevelType w:val="hybridMultilevel"/>
    <w:tmpl w:val="716465F6"/>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15:restartNumberingAfterBreak="0">
    <w:nsid w:val="3785385B"/>
    <w:multiLevelType w:val="hybridMultilevel"/>
    <w:tmpl w:val="77AEDC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7A27BC8"/>
    <w:multiLevelType w:val="multilevel"/>
    <w:tmpl w:val="B0BEE27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3555"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BD22B5D"/>
    <w:multiLevelType w:val="hybridMultilevel"/>
    <w:tmpl w:val="80D280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DCD322E"/>
    <w:multiLevelType w:val="hybridMultilevel"/>
    <w:tmpl w:val="917CA40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0D270FF"/>
    <w:multiLevelType w:val="hybridMultilevel"/>
    <w:tmpl w:val="70C0029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7" w15:restartNumberingAfterBreak="0">
    <w:nsid w:val="47862CE0"/>
    <w:multiLevelType w:val="hybridMultilevel"/>
    <w:tmpl w:val="956E0A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7AF4401"/>
    <w:multiLevelType w:val="multilevel"/>
    <w:tmpl w:val="B0BEE27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3555"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9602559"/>
    <w:multiLevelType w:val="hybridMultilevel"/>
    <w:tmpl w:val="D8FA9E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C5E73C9"/>
    <w:multiLevelType w:val="hybridMultilevel"/>
    <w:tmpl w:val="6FCEA6C6"/>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15:restartNumberingAfterBreak="0">
    <w:nsid w:val="51614299"/>
    <w:multiLevelType w:val="hybridMultilevel"/>
    <w:tmpl w:val="BF80491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2" w15:restartNumberingAfterBreak="0">
    <w:nsid w:val="52DF77DF"/>
    <w:multiLevelType w:val="hybridMultilevel"/>
    <w:tmpl w:val="9CAA9B7E"/>
    <w:lvl w:ilvl="0" w:tplc="4E18425C">
      <w:start w:val="1"/>
      <w:numFmt w:val="upperRoman"/>
      <w:pStyle w:val="Estilo1"/>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2E44191"/>
    <w:multiLevelType w:val="hybridMultilevel"/>
    <w:tmpl w:val="0D6E8250"/>
    <w:lvl w:ilvl="0" w:tplc="BD76ED6E">
      <w:start w:val="1"/>
      <w:numFmt w:val="bullet"/>
      <w:lvlText w:val=""/>
      <w:lvlJc w:val="left"/>
      <w:pPr>
        <w:tabs>
          <w:tab w:val="num" w:pos="720"/>
        </w:tabs>
        <w:ind w:left="720" w:hanging="360"/>
      </w:pPr>
      <w:rPr>
        <w:rFonts w:ascii="Symbol" w:hAnsi="Symbol" w:hint="default"/>
      </w:rPr>
    </w:lvl>
    <w:lvl w:ilvl="1" w:tplc="2F9869A8" w:tentative="1">
      <w:start w:val="1"/>
      <w:numFmt w:val="bullet"/>
      <w:lvlText w:val=""/>
      <w:lvlJc w:val="left"/>
      <w:pPr>
        <w:tabs>
          <w:tab w:val="num" w:pos="1440"/>
        </w:tabs>
        <w:ind w:left="1440" w:hanging="360"/>
      </w:pPr>
      <w:rPr>
        <w:rFonts w:ascii="Symbol" w:hAnsi="Symbol" w:hint="default"/>
      </w:rPr>
    </w:lvl>
    <w:lvl w:ilvl="2" w:tplc="CAE89DEA" w:tentative="1">
      <w:start w:val="1"/>
      <w:numFmt w:val="bullet"/>
      <w:lvlText w:val=""/>
      <w:lvlJc w:val="left"/>
      <w:pPr>
        <w:tabs>
          <w:tab w:val="num" w:pos="2160"/>
        </w:tabs>
        <w:ind w:left="2160" w:hanging="360"/>
      </w:pPr>
      <w:rPr>
        <w:rFonts w:ascii="Symbol" w:hAnsi="Symbol" w:hint="default"/>
      </w:rPr>
    </w:lvl>
    <w:lvl w:ilvl="3" w:tplc="AAC264B6" w:tentative="1">
      <w:start w:val="1"/>
      <w:numFmt w:val="bullet"/>
      <w:lvlText w:val=""/>
      <w:lvlJc w:val="left"/>
      <w:pPr>
        <w:tabs>
          <w:tab w:val="num" w:pos="2880"/>
        </w:tabs>
        <w:ind w:left="2880" w:hanging="360"/>
      </w:pPr>
      <w:rPr>
        <w:rFonts w:ascii="Symbol" w:hAnsi="Symbol" w:hint="default"/>
      </w:rPr>
    </w:lvl>
    <w:lvl w:ilvl="4" w:tplc="08BA269E" w:tentative="1">
      <w:start w:val="1"/>
      <w:numFmt w:val="bullet"/>
      <w:lvlText w:val=""/>
      <w:lvlJc w:val="left"/>
      <w:pPr>
        <w:tabs>
          <w:tab w:val="num" w:pos="3600"/>
        </w:tabs>
        <w:ind w:left="3600" w:hanging="360"/>
      </w:pPr>
      <w:rPr>
        <w:rFonts w:ascii="Symbol" w:hAnsi="Symbol" w:hint="default"/>
      </w:rPr>
    </w:lvl>
    <w:lvl w:ilvl="5" w:tplc="C046C712" w:tentative="1">
      <w:start w:val="1"/>
      <w:numFmt w:val="bullet"/>
      <w:lvlText w:val=""/>
      <w:lvlJc w:val="left"/>
      <w:pPr>
        <w:tabs>
          <w:tab w:val="num" w:pos="4320"/>
        </w:tabs>
        <w:ind w:left="4320" w:hanging="360"/>
      </w:pPr>
      <w:rPr>
        <w:rFonts w:ascii="Symbol" w:hAnsi="Symbol" w:hint="default"/>
      </w:rPr>
    </w:lvl>
    <w:lvl w:ilvl="6" w:tplc="93A47498" w:tentative="1">
      <w:start w:val="1"/>
      <w:numFmt w:val="bullet"/>
      <w:lvlText w:val=""/>
      <w:lvlJc w:val="left"/>
      <w:pPr>
        <w:tabs>
          <w:tab w:val="num" w:pos="5040"/>
        </w:tabs>
        <w:ind w:left="5040" w:hanging="360"/>
      </w:pPr>
      <w:rPr>
        <w:rFonts w:ascii="Symbol" w:hAnsi="Symbol" w:hint="default"/>
      </w:rPr>
    </w:lvl>
    <w:lvl w:ilvl="7" w:tplc="7BD04A30" w:tentative="1">
      <w:start w:val="1"/>
      <w:numFmt w:val="bullet"/>
      <w:lvlText w:val=""/>
      <w:lvlJc w:val="left"/>
      <w:pPr>
        <w:tabs>
          <w:tab w:val="num" w:pos="5760"/>
        </w:tabs>
        <w:ind w:left="5760" w:hanging="360"/>
      </w:pPr>
      <w:rPr>
        <w:rFonts w:ascii="Symbol" w:hAnsi="Symbol" w:hint="default"/>
      </w:rPr>
    </w:lvl>
    <w:lvl w:ilvl="8" w:tplc="957C579E"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375725B"/>
    <w:multiLevelType w:val="hybridMultilevel"/>
    <w:tmpl w:val="99027C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71D4EB4"/>
    <w:multiLevelType w:val="hybridMultilevel"/>
    <w:tmpl w:val="A026775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6" w15:restartNumberingAfterBreak="0">
    <w:nsid w:val="57936FCD"/>
    <w:multiLevelType w:val="hybridMultilevel"/>
    <w:tmpl w:val="70C0029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7" w15:restartNumberingAfterBreak="0">
    <w:nsid w:val="626874A2"/>
    <w:multiLevelType w:val="hybridMultilevel"/>
    <w:tmpl w:val="852A0C6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8" w15:restartNumberingAfterBreak="0">
    <w:nsid w:val="656F10E1"/>
    <w:multiLevelType w:val="multilevel"/>
    <w:tmpl w:val="1BDC0CBA"/>
    <w:lvl w:ilvl="0">
      <w:start w:val="1"/>
      <w:numFmt w:val="upperRoman"/>
      <w:pStyle w:val="Ttulo1"/>
      <w:lvlText w:val="%1."/>
      <w:lvlJc w:val="right"/>
      <w:pPr>
        <w:ind w:left="36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C303122"/>
    <w:multiLevelType w:val="hybridMultilevel"/>
    <w:tmpl w:val="1E74C592"/>
    <w:lvl w:ilvl="0" w:tplc="16C04324">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AA20CB"/>
    <w:multiLevelType w:val="hybridMultilevel"/>
    <w:tmpl w:val="6B90EC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6143CA4"/>
    <w:multiLevelType w:val="hybridMultilevel"/>
    <w:tmpl w:val="7876B816"/>
    <w:lvl w:ilvl="0" w:tplc="16FC2C5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7666277"/>
    <w:multiLevelType w:val="hybridMultilevel"/>
    <w:tmpl w:val="1C0424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D2154E"/>
    <w:multiLevelType w:val="hybridMultilevel"/>
    <w:tmpl w:val="E7F2E0E6"/>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8AD4BCD"/>
    <w:multiLevelType w:val="hybridMultilevel"/>
    <w:tmpl w:val="AAD05B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9"/>
  </w:num>
  <w:num w:numId="3">
    <w:abstractNumId w:val="38"/>
  </w:num>
  <w:num w:numId="4">
    <w:abstractNumId w:val="1"/>
  </w:num>
  <w:num w:numId="5">
    <w:abstractNumId w:val="16"/>
  </w:num>
  <w:num w:numId="6">
    <w:abstractNumId w:val="18"/>
  </w:num>
  <w:num w:numId="7">
    <w:abstractNumId w:val="28"/>
  </w:num>
  <w:num w:numId="8">
    <w:abstractNumId w:val="22"/>
  </w:num>
  <w:num w:numId="9">
    <w:abstractNumId w:val="24"/>
  </w:num>
  <w:num w:numId="10">
    <w:abstractNumId w:val="43"/>
  </w:num>
  <w:num w:numId="11">
    <w:abstractNumId w:val="29"/>
  </w:num>
  <w:num w:numId="12">
    <w:abstractNumId w:val="23"/>
  </w:num>
  <w:num w:numId="13">
    <w:abstractNumId w:val="17"/>
  </w:num>
  <w:num w:numId="14">
    <w:abstractNumId w:val="40"/>
  </w:num>
  <w:num w:numId="15">
    <w:abstractNumId w:val="34"/>
  </w:num>
  <w:num w:numId="16">
    <w:abstractNumId w:val="39"/>
  </w:num>
  <w:num w:numId="17">
    <w:abstractNumId w:val="44"/>
  </w:num>
  <w:num w:numId="18">
    <w:abstractNumId w:val="15"/>
  </w:num>
  <w:num w:numId="19">
    <w:abstractNumId w:val="7"/>
  </w:num>
  <w:num w:numId="20">
    <w:abstractNumId w:val="42"/>
  </w:num>
  <w:num w:numId="21">
    <w:abstractNumId w:val="8"/>
  </w:num>
  <w:num w:numId="22">
    <w:abstractNumId w:val="31"/>
  </w:num>
  <w:num w:numId="23">
    <w:abstractNumId w:val="30"/>
  </w:num>
  <w:num w:numId="24">
    <w:abstractNumId w:val="19"/>
  </w:num>
  <w:num w:numId="25">
    <w:abstractNumId w:val="6"/>
  </w:num>
  <w:num w:numId="26">
    <w:abstractNumId w:val="4"/>
  </w:num>
  <w:num w:numId="27">
    <w:abstractNumId w:val="11"/>
  </w:num>
  <w:num w:numId="28">
    <w:abstractNumId w:val="36"/>
  </w:num>
  <w:num w:numId="29">
    <w:abstractNumId w:val="0"/>
  </w:num>
  <w:num w:numId="30">
    <w:abstractNumId w:val="21"/>
  </w:num>
  <w:num w:numId="31">
    <w:abstractNumId w:val="13"/>
  </w:num>
  <w:num w:numId="32">
    <w:abstractNumId w:val="3"/>
  </w:num>
  <w:num w:numId="33">
    <w:abstractNumId w:val="2"/>
  </w:num>
  <w:num w:numId="34">
    <w:abstractNumId w:val="35"/>
  </w:num>
  <w:num w:numId="35">
    <w:abstractNumId w:val="5"/>
  </w:num>
  <w:num w:numId="36">
    <w:abstractNumId w:val="37"/>
  </w:num>
  <w:num w:numId="37">
    <w:abstractNumId w:val="26"/>
  </w:num>
  <w:num w:numId="38">
    <w:abstractNumId w:val="20"/>
  </w:num>
  <w:num w:numId="39">
    <w:abstractNumId w:val="41"/>
  </w:num>
  <w:num w:numId="40">
    <w:abstractNumId w:val="38"/>
  </w:num>
  <w:num w:numId="41">
    <w:abstractNumId w:val="38"/>
    <w:lvlOverride w:ilvl="0">
      <w:startOverride w:val="3"/>
    </w:lvlOverride>
    <w:lvlOverride w:ilvl="1">
      <w:startOverride w:val="1"/>
    </w:lvlOverride>
    <w:lvlOverride w:ilvl="2">
      <w:startOverride w:val="6"/>
    </w:lvlOverride>
    <w:lvlOverride w:ilvl="3">
      <w:startOverride w:val="4"/>
    </w:lvlOverride>
  </w:num>
  <w:num w:numId="42">
    <w:abstractNumId w:val="10"/>
  </w:num>
  <w:num w:numId="43">
    <w:abstractNumId w:val="38"/>
    <w:lvlOverride w:ilvl="0">
      <w:startOverride w:val="3"/>
    </w:lvlOverride>
    <w:lvlOverride w:ilvl="1">
      <w:startOverride w:val="2"/>
    </w:lvlOverride>
    <w:lvlOverride w:ilvl="2">
      <w:startOverride w:val="1"/>
    </w:lvlOverride>
    <w:lvlOverride w:ilvl="3">
      <w:startOverride w:val="5"/>
    </w:lvlOverride>
  </w:num>
  <w:num w:numId="44">
    <w:abstractNumId w:val="38"/>
  </w:num>
  <w:num w:numId="45">
    <w:abstractNumId w:val="38"/>
    <w:lvlOverride w:ilvl="0">
      <w:startOverride w:val="3"/>
    </w:lvlOverride>
    <w:lvlOverride w:ilvl="1">
      <w:startOverride w:val="3"/>
    </w:lvlOverride>
    <w:lvlOverride w:ilvl="2">
      <w:startOverride w:val="5"/>
    </w:lvlOverride>
  </w:num>
  <w:num w:numId="46">
    <w:abstractNumId w:val="38"/>
  </w:num>
  <w:num w:numId="47">
    <w:abstractNumId w:val="38"/>
    <w:lvlOverride w:ilvl="0">
      <w:startOverride w:val="3"/>
    </w:lvlOverride>
    <w:lvlOverride w:ilvl="1">
      <w:startOverride w:val="5"/>
    </w:lvlOverride>
    <w:lvlOverride w:ilvl="2">
      <w:startOverride w:val="1"/>
    </w:lvlOverride>
  </w:num>
  <w:num w:numId="48">
    <w:abstractNumId w:val="27"/>
  </w:num>
  <w:num w:numId="49">
    <w:abstractNumId w:val="25"/>
  </w:num>
  <w:num w:numId="50">
    <w:abstractNumId w:val="38"/>
    <w:lvlOverride w:ilvl="0">
      <w:startOverride w:val="5"/>
    </w:lvlOverride>
    <w:lvlOverride w:ilvl="1">
      <w:startOverride w:val="3"/>
    </w:lvlOverride>
    <w:lvlOverride w:ilvl="2">
      <w:startOverride w:val="5"/>
    </w:lvlOverride>
  </w:num>
  <w:num w:numId="51">
    <w:abstractNumId w:val="38"/>
    <w:lvlOverride w:ilvl="0">
      <w:startOverride w:val="5"/>
    </w:lvlOverride>
    <w:lvlOverride w:ilvl="1">
      <w:startOverride w:val="4"/>
    </w:lvlOverride>
    <w:lvlOverride w:ilvl="2">
      <w:startOverride w:val="3"/>
    </w:lvlOverride>
  </w:num>
  <w:num w:numId="52">
    <w:abstractNumId w:val="38"/>
    <w:lvlOverride w:ilvl="0">
      <w:startOverride w:val="5"/>
    </w:lvlOverride>
    <w:lvlOverride w:ilvl="1">
      <w:startOverride w:val="4"/>
    </w:lvlOverride>
    <w:lvlOverride w:ilvl="2">
      <w:startOverride w:val="6"/>
    </w:lvlOverride>
  </w:num>
  <w:num w:numId="53">
    <w:abstractNumId w:val="33"/>
  </w:num>
  <w:num w:numId="54">
    <w:abstractNumId w:val="12"/>
  </w:num>
  <w:num w:numId="55">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35D"/>
    <w:rsid w:val="000029E1"/>
    <w:rsid w:val="00016E81"/>
    <w:rsid w:val="000178B2"/>
    <w:rsid w:val="0002046D"/>
    <w:rsid w:val="000228F0"/>
    <w:rsid w:val="00023192"/>
    <w:rsid w:val="000257C0"/>
    <w:rsid w:val="000265F1"/>
    <w:rsid w:val="0003615A"/>
    <w:rsid w:val="0004180A"/>
    <w:rsid w:val="00045156"/>
    <w:rsid w:val="000516BC"/>
    <w:rsid w:val="000517E3"/>
    <w:rsid w:val="0005222C"/>
    <w:rsid w:val="00056824"/>
    <w:rsid w:val="0006048E"/>
    <w:rsid w:val="00062720"/>
    <w:rsid w:val="000628CB"/>
    <w:rsid w:val="0006304D"/>
    <w:rsid w:val="000639DD"/>
    <w:rsid w:val="000716CE"/>
    <w:rsid w:val="00073E81"/>
    <w:rsid w:val="0007408D"/>
    <w:rsid w:val="00076B4A"/>
    <w:rsid w:val="00077513"/>
    <w:rsid w:val="00080C66"/>
    <w:rsid w:val="000A27AF"/>
    <w:rsid w:val="000A5FEE"/>
    <w:rsid w:val="000A7E85"/>
    <w:rsid w:val="000B1998"/>
    <w:rsid w:val="000B1E77"/>
    <w:rsid w:val="000C71EE"/>
    <w:rsid w:val="000C7F1A"/>
    <w:rsid w:val="000D0117"/>
    <w:rsid w:val="000D1088"/>
    <w:rsid w:val="000D1754"/>
    <w:rsid w:val="000D1A0C"/>
    <w:rsid w:val="000D1F55"/>
    <w:rsid w:val="000D2446"/>
    <w:rsid w:val="000D2D1F"/>
    <w:rsid w:val="000D57FD"/>
    <w:rsid w:val="000D6A3C"/>
    <w:rsid w:val="000E2AE7"/>
    <w:rsid w:val="000E2B3A"/>
    <w:rsid w:val="000E59DD"/>
    <w:rsid w:val="000E7387"/>
    <w:rsid w:val="000F0519"/>
    <w:rsid w:val="000F09D2"/>
    <w:rsid w:val="000F2120"/>
    <w:rsid w:val="0010261A"/>
    <w:rsid w:val="00105652"/>
    <w:rsid w:val="00105C3A"/>
    <w:rsid w:val="0011325E"/>
    <w:rsid w:val="00113FE1"/>
    <w:rsid w:val="001147A7"/>
    <w:rsid w:val="001210B8"/>
    <w:rsid w:val="00123F9C"/>
    <w:rsid w:val="00134BE0"/>
    <w:rsid w:val="001351CF"/>
    <w:rsid w:val="00135DE8"/>
    <w:rsid w:val="001379AC"/>
    <w:rsid w:val="00137A27"/>
    <w:rsid w:val="0014051E"/>
    <w:rsid w:val="001419C4"/>
    <w:rsid w:val="00144C23"/>
    <w:rsid w:val="00145014"/>
    <w:rsid w:val="00145CD8"/>
    <w:rsid w:val="00146EAD"/>
    <w:rsid w:val="00150C77"/>
    <w:rsid w:val="0015106F"/>
    <w:rsid w:val="001517BA"/>
    <w:rsid w:val="00161F63"/>
    <w:rsid w:val="00164D94"/>
    <w:rsid w:val="0016654D"/>
    <w:rsid w:val="00171CEE"/>
    <w:rsid w:val="00173851"/>
    <w:rsid w:val="0017595D"/>
    <w:rsid w:val="00177ABD"/>
    <w:rsid w:val="00180B04"/>
    <w:rsid w:val="00182FCF"/>
    <w:rsid w:val="001838ED"/>
    <w:rsid w:val="00183E96"/>
    <w:rsid w:val="00185396"/>
    <w:rsid w:val="00185D16"/>
    <w:rsid w:val="00186931"/>
    <w:rsid w:val="00187241"/>
    <w:rsid w:val="001A3E5A"/>
    <w:rsid w:val="001A42EE"/>
    <w:rsid w:val="001B453E"/>
    <w:rsid w:val="001B4E97"/>
    <w:rsid w:val="001B6288"/>
    <w:rsid w:val="001B6327"/>
    <w:rsid w:val="001C5119"/>
    <w:rsid w:val="001D4637"/>
    <w:rsid w:val="001D4970"/>
    <w:rsid w:val="001D78E6"/>
    <w:rsid w:val="001E1A85"/>
    <w:rsid w:val="001E31C1"/>
    <w:rsid w:val="001E7468"/>
    <w:rsid w:val="001F0F13"/>
    <w:rsid w:val="001F2BCC"/>
    <w:rsid w:val="001F47F7"/>
    <w:rsid w:val="001F480B"/>
    <w:rsid w:val="001F514F"/>
    <w:rsid w:val="001F5B33"/>
    <w:rsid w:val="001F710B"/>
    <w:rsid w:val="00207ECA"/>
    <w:rsid w:val="002111F0"/>
    <w:rsid w:val="00220873"/>
    <w:rsid w:val="00220A73"/>
    <w:rsid w:val="00226C45"/>
    <w:rsid w:val="002339A2"/>
    <w:rsid w:val="00236944"/>
    <w:rsid w:val="00241B4C"/>
    <w:rsid w:val="00241DAA"/>
    <w:rsid w:val="00250162"/>
    <w:rsid w:val="00253EF4"/>
    <w:rsid w:val="002559D9"/>
    <w:rsid w:val="0026663B"/>
    <w:rsid w:val="00271A39"/>
    <w:rsid w:val="00271C86"/>
    <w:rsid w:val="00273C68"/>
    <w:rsid w:val="00276387"/>
    <w:rsid w:val="00276893"/>
    <w:rsid w:val="00277974"/>
    <w:rsid w:val="002849D0"/>
    <w:rsid w:val="00284BE8"/>
    <w:rsid w:val="00285B02"/>
    <w:rsid w:val="00285C59"/>
    <w:rsid w:val="0029697E"/>
    <w:rsid w:val="002A1F27"/>
    <w:rsid w:val="002A5DAC"/>
    <w:rsid w:val="002A67E9"/>
    <w:rsid w:val="002A7774"/>
    <w:rsid w:val="002B0698"/>
    <w:rsid w:val="002B0869"/>
    <w:rsid w:val="002B1E6E"/>
    <w:rsid w:val="002B5A2F"/>
    <w:rsid w:val="002B5EF4"/>
    <w:rsid w:val="002C2C34"/>
    <w:rsid w:val="002C656F"/>
    <w:rsid w:val="002D1501"/>
    <w:rsid w:val="002D15CE"/>
    <w:rsid w:val="002D1686"/>
    <w:rsid w:val="002D5926"/>
    <w:rsid w:val="002E19D2"/>
    <w:rsid w:val="002E4F4A"/>
    <w:rsid w:val="002E7393"/>
    <w:rsid w:val="002F2624"/>
    <w:rsid w:val="002F5515"/>
    <w:rsid w:val="002F5DDD"/>
    <w:rsid w:val="002F6F2F"/>
    <w:rsid w:val="0030048E"/>
    <w:rsid w:val="00306EB1"/>
    <w:rsid w:val="00313B1A"/>
    <w:rsid w:val="0032161F"/>
    <w:rsid w:val="00321857"/>
    <w:rsid w:val="003262EC"/>
    <w:rsid w:val="00326314"/>
    <w:rsid w:val="00330C29"/>
    <w:rsid w:val="00330E8C"/>
    <w:rsid w:val="00331821"/>
    <w:rsid w:val="00331DB7"/>
    <w:rsid w:val="00342A45"/>
    <w:rsid w:val="00346A15"/>
    <w:rsid w:val="0034739F"/>
    <w:rsid w:val="00350AD6"/>
    <w:rsid w:val="00351209"/>
    <w:rsid w:val="003516C9"/>
    <w:rsid w:val="0035721D"/>
    <w:rsid w:val="00364967"/>
    <w:rsid w:val="003663EF"/>
    <w:rsid w:val="0036640B"/>
    <w:rsid w:val="00371049"/>
    <w:rsid w:val="00372F0A"/>
    <w:rsid w:val="00380191"/>
    <w:rsid w:val="00381373"/>
    <w:rsid w:val="00383121"/>
    <w:rsid w:val="003914E1"/>
    <w:rsid w:val="00392FBC"/>
    <w:rsid w:val="0039325D"/>
    <w:rsid w:val="00397BAA"/>
    <w:rsid w:val="003A1DB6"/>
    <w:rsid w:val="003A1E83"/>
    <w:rsid w:val="003A28E2"/>
    <w:rsid w:val="003A4FF6"/>
    <w:rsid w:val="003B2F1C"/>
    <w:rsid w:val="003B3C1B"/>
    <w:rsid w:val="003C21AF"/>
    <w:rsid w:val="003C4417"/>
    <w:rsid w:val="003D266E"/>
    <w:rsid w:val="003D2B31"/>
    <w:rsid w:val="003D75C6"/>
    <w:rsid w:val="003E0504"/>
    <w:rsid w:val="003E244D"/>
    <w:rsid w:val="003E2A1E"/>
    <w:rsid w:val="003F06B8"/>
    <w:rsid w:val="003F60CB"/>
    <w:rsid w:val="003F6A4D"/>
    <w:rsid w:val="00402A83"/>
    <w:rsid w:val="00403D2F"/>
    <w:rsid w:val="00403DF9"/>
    <w:rsid w:val="0040473E"/>
    <w:rsid w:val="00404A09"/>
    <w:rsid w:val="00406C2B"/>
    <w:rsid w:val="004074E6"/>
    <w:rsid w:val="00412D04"/>
    <w:rsid w:val="004175F6"/>
    <w:rsid w:val="0042155E"/>
    <w:rsid w:val="00424C0C"/>
    <w:rsid w:val="00425537"/>
    <w:rsid w:val="00426516"/>
    <w:rsid w:val="004276F7"/>
    <w:rsid w:val="00432BA1"/>
    <w:rsid w:val="0043408D"/>
    <w:rsid w:val="00442AEB"/>
    <w:rsid w:val="00443319"/>
    <w:rsid w:val="004455F1"/>
    <w:rsid w:val="004472C2"/>
    <w:rsid w:val="00450B85"/>
    <w:rsid w:val="0046289F"/>
    <w:rsid w:val="004645E2"/>
    <w:rsid w:val="00474937"/>
    <w:rsid w:val="004768AE"/>
    <w:rsid w:val="00483C70"/>
    <w:rsid w:val="00486A09"/>
    <w:rsid w:val="00487E00"/>
    <w:rsid w:val="00487E40"/>
    <w:rsid w:val="0049095E"/>
    <w:rsid w:val="00492A27"/>
    <w:rsid w:val="004A05F2"/>
    <w:rsid w:val="004A61DF"/>
    <w:rsid w:val="004A639F"/>
    <w:rsid w:val="004B1300"/>
    <w:rsid w:val="004B33B7"/>
    <w:rsid w:val="004B45E8"/>
    <w:rsid w:val="004B66F2"/>
    <w:rsid w:val="004B7B8A"/>
    <w:rsid w:val="004C00F1"/>
    <w:rsid w:val="004C1A4D"/>
    <w:rsid w:val="004C6FDC"/>
    <w:rsid w:val="004C7216"/>
    <w:rsid w:val="004C7521"/>
    <w:rsid w:val="004D588C"/>
    <w:rsid w:val="004D5CB3"/>
    <w:rsid w:val="004D7030"/>
    <w:rsid w:val="004D7A24"/>
    <w:rsid w:val="004E0344"/>
    <w:rsid w:val="004F095C"/>
    <w:rsid w:val="004F3D86"/>
    <w:rsid w:val="004F6920"/>
    <w:rsid w:val="00501D82"/>
    <w:rsid w:val="00504C91"/>
    <w:rsid w:val="005106B9"/>
    <w:rsid w:val="0051305B"/>
    <w:rsid w:val="00515E28"/>
    <w:rsid w:val="00524119"/>
    <w:rsid w:val="005247BF"/>
    <w:rsid w:val="005306C1"/>
    <w:rsid w:val="005367D2"/>
    <w:rsid w:val="005443DD"/>
    <w:rsid w:val="00545003"/>
    <w:rsid w:val="00551C66"/>
    <w:rsid w:val="00557714"/>
    <w:rsid w:val="00560E55"/>
    <w:rsid w:val="00561ED9"/>
    <w:rsid w:val="00561F9D"/>
    <w:rsid w:val="00562112"/>
    <w:rsid w:val="00563582"/>
    <w:rsid w:val="005657E2"/>
    <w:rsid w:val="005678CC"/>
    <w:rsid w:val="00577365"/>
    <w:rsid w:val="00584717"/>
    <w:rsid w:val="00586033"/>
    <w:rsid w:val="005907B5"/>
    <w:rsid w:val="00590F00"/>
    <w:rsid w:val="0059104B"/>
    <w:rsid w:val="005963F4"/>
    <w:rsid w:val="005A2897"/>
    <w:rsid w:val="005A484F"/>
    <w:rsid w:val="005A49B7"/>
    <w:rsid w:val="005A6120"/>
    <w:rsid w:val="005B3D7C"/>
    <w:rsid w:val="005B7BDE"/>
    <w:rsid w:val="005C3DBE"/>
    <w:rsid w:val="005C4A8C"/>
    <w:rsid w:val="005C5EF9"/>
    <w:rsid w:val="005C6603"/>
    <w:rsid w:val="005C7110"/>
    <w:rsid w:val="005C759E"/>
    <w:rsid w:val="005D1792"/>
    <w:rsid w:val="005D2391"/>
    <w:rsid w:val="005E1F24"/>
    <w:rsid w:val="005E2D30"/>
    <w:rsid w:val="005E3DE9"/>
    <w:rsid w:val="005E3F98"/>
    <w:rsid w:val="005E6573"/>
    <w:rsid w:val="005E79B0"/>
    <w:rsid w:val="005F0254"/>
    <w:rsid w:val="005F083E"/>
    <w:rsid w:val="005F2217"/>
    <w:rsid w:val="005F2242"/>
    <w:rsid w:val="005F2CA6"/>
    <w:rsid w:val="0060170E"/>
    <w:rsid w:val="006033D5"/>
    <w:rsid w:val="00607F84"/>
    <w:rsid w:val="00611207"/>
    <w:rsid w:val="00613CC6"/>
    <w:rsid w:val="00617E99"/>
    <w:rsid w:val="00621C2D"/>
    <w:rsid w:val="006227BB"/>
    <w:rsid w:val="006229C8"/>
    <w:rsid w:val="006247D1"/>
    <w:rsid w:val="00630648"/>
    <w:rsid w:val="0063774F"/>
    <w:rsid w:val="0064026A"/>
    <w:rsid w:val="006461C3"/>
    <w:rsid w:val="0065080E"/>
    <w:rsid w:val="00652401"/>
    <w:rsid w:val="00654B12"/>
    <w:rsid w:val="00663DC6"/>
    <w:rsid w:val="006641CA"/>
    <w:rsid w:val="00664C92"/>
    <w:rsid w:val="00665432"/>
    <w:rsid w:val="00670039"/>
    <w:rsid w:val="00671BD9"/>
    <w:rsid w:val="00672AE2"/>
    <w:rsid w:val="00675399"/>
    <w:rsid w:val="006757B1"/>
    <w:rsid w:val="006760D1"/>
    <w:rsid w:val="00676678"/>
    <w:rsid w:val="00682351"/>
    <w:rsid w:val="00697442"/>
    <w:rsid w:val="006A1315"/>
    <w:rsid w:val="006A3F60"/>
    <w:rsid w:val="006A4468"/>
    <w:rsid w:val="006B2851"/>
    <w:rsid w:val="006B387C"/>
    <w:rsid w:val="006B5443"/>
    <w:rsid w:val="006B5661"/>
    <w:rsid w:val="006B5CA5"/>
    <w:rsid w:val="006B6141"/>
    <w:rsid w:val="006C3F27"/>
    <w:rsid w:val="006C4A75"/>
    <w:rsid w:val="006C7313"/>
    <w:rsid w:val="006D24F2"/>
    <w:rsid w:val="006D3049"/>
    <w:rsid w:val="006D666B"/>
    <w:rsid w:val="006E0BEC"/>
    <w:rsid w:val="006E2C72"/>
    <w:rsid w:val="006E5162"/>
    <w:rsid w:val="006E6865"/>
    <w:rsid w:val="006E6B2E"/>
    <w:rsid w:val="006F1622"/>
    <w:rsid w:val="006F24F1"/>
    <w:rsid w:val="006F2DFF"/>
    <w:rsid w:val="006F445B"/>
    <w:rsid w:val="006F57BE"/>
    <w:rsid w:val="006F6D10"/>
    <w:rsid w:val="00702ED6"/>
    <w:rsid w:val="007123F5"/>
    <w:rsid w:val="00713CDC"/>
    <w:rsid w:val="007149F1"/>
    <w:rsid w:val="00715E8E"/>
    <w:rsid w:val="0072752C"/>
    <w:rsid w:val="00732356"/>
    <w:rsid w:val="00732357"/>
    <w:rsid w:val="0073644C"/>
    <w:rsid w:val="007365A4"/>
    <w:rsid w:val="00736DA4"/>
    <w:rsid w:val="0073741F"/>
    <w:rsid w:val="00741F60"/>
    <w:rsid w:val="00742F16"/>
    <w:rsid w:val="0074674B"/>
    <w:rsid w:val="0075461A"/>
    <w:rsid w:val="0076518E"/>
    <w:rsid w:val="0077235D"/>
    <w:rsid w:val="00777192"/>
    <w:rsid w:val="00780F2A"/>
    <w:rsid w:val="0078179D"/>
    <w:rsid w:val="00781BB9"/>
    <w:rsid w:val="007962E4"/>
    <w:rsid w:val="00796E58"/>
    <w:rsid w:val="00797AE2"/>
    <w:rsid w:val="007A0321"/>
    <w:rsid w:val="007A4D93"/>
    <w:rsid w:val="007A6629"/>
    <w:rsid w:val="007A6B4B"/>
    <w:rsid w:val="007B061D"/>
    <w:rsid w:val="007B54AE"/>
    <w:rsid w:val="007C56AB"/>
    <w:rsid w:val="007C65DE"/>
    <w:rsid w:val="007D04BA"/>
    <w:rsid w:val="007E1E5B"/>
    <w:rsid w:val="007E253F"/>
    <w:rsid w:val="007E28BA"/>
    <w:rsid w:val="007E3FEF"/>
    <w:rsid w:val="007E78AA"/>
    <w:rsid w:val="008104EC"/>
    <w:rsid w:val="0081738D"/>
    <w:rsid w:val="0082107F"/>
    <w:rsid w:val="00821A4D"/>
    <w:rsid w:val="008324F5"/>
    <w:rsid w:val="00832EC6"/>
    <w:rsid w:val="00834B5C"/>
    <w:rsid w:val="00846087"/>
    <w:rsid w:val="008534FF"/>
    <w:rsid w:val="00857830"/>
    <w:rsid w:val="00862D8F"/>
    <w:rsid w:val="00864CA8"/>
    <w:rsid w:val="008655F5"/>
    <w:rsid w:val="00873BE4"/>
    <w:rsid w:val="008764C6"/>
    <w:rsid w:val="008838A5"/>
    <w:rsid w:val="008838D2"/>
    <w:rsid w:val="008862B7"/>
    <w:rsid w:val="0088637D"/>
    <w:rsid w:val="00887604"/>
    <w:rsid w:val="00891A5D"/>
    <w:rsid w:val="0089298E"/>
    <w:rsid w:val="008971CA"/>
    <w:rsid w:val="00897618"/>
    <w:rsid w:val="008A0CEB"/>
    <w:rsid w:val="008A1EC1"/>
    <w:rsid w:val="008A3454"/>
    <w:rsid w:val="008A3AD8"/>
    <w:rsid w:val="008A3AF1"/>
    <w:rsid w:val="008A49A0"/>
    <w:rsid w:val="008A4A9F"/>
    <w:rsid w:val="008A5D62"/>
    <w:rsid w:val="008A63F5"/>
    <w:rsid w:val="008A6AF7"/>
    <w:rsid w:val="008B5DE4"/>
    <w:rsid w:val="008C465B"/>
    <w:rsid w:val="008D2374"/>
    <w:rsid w:val="008D43CA"/>
    <w:rsid w:val="008D6DA0"/>
    <w:rsid w:val="008E1214"/>
    <w:rsid w:val="008E62D8"/>
    <w:rsid w:val="008F0A22"/>
    <w:rsid w:val="008F17CC"/>
    <w:rsid w:val="008F3940"/>
    <w:rsid w:val="008F5BFA"/>
    <w:rsid w:val="009071C2"/>
    <w:rsid w:val="00912B23"/>
    <w:rsid w:val="009226C1"/>
    <w:rsid w:val="00926B98"/>
    <w:rsid w:val="009324B5"/>
    <w:rsid w:val="00934ADD"/>
    <w:rsid w:val="00942799"/>
    <w:rsid w:val="00947501"/>
    <w:rsid w:val="00951858"/>
    <w:rsid w:val="00954763"/>
    <w:rsid w:val="00954C1A"/>
    <w:rsid w:val="0095783F"/>
    <w:rsid w:val="0096286B"/>
    <w:rsid w:val="00962A31"/>
    <w:rsid w:val="009635E7"/>
    <w:rsid w:val="00966BE6"/>
    <w:rsid w:val="0097544C"/>
    <w:rsid w:val="00975D91"/>
    <w:rsid w:val="00981190"/>
    <w:rsid w:val="00984A5E"/>
    <w:rsid w:val="00990026"/>
    <w:rsid w:val="009914CC"/>
    <w:rsid w:val="00992D02"/>
    <w:rsid w:val="009A0B8F"/>
    <w:rsid w:val="009A1A52"/>
    <w:rsid w:val="009A274A"/>
    <w:rsid w:val="009A4D5D"/>
    <w:rsid w:val="009A4D68"/>
    <w:rsid w:val="009B183E"/>
    <w:rsid w:val="009B18E1"/>
    <w:rsid w:val="009B3022"/>
    <w:rsid w:val="009B3B4E"/>
    <w:rsid w:val="009B3C21"/>
    <w:rsid w:val="009C353D"/>
    <w:rsid w:val="009C44A4"/>
    <w:rsid w:val="009D3420"/>
    <w:rsid w:val="009D513A"/>
    <w:rsid w:val="009D6115"/>
    <w:rsid w:val="009E259D"/>
    <w:rsid w:val="009E2CC4"/>
    <w:rsid w:val="009F043C"/>
    <w:rsid w:val="009F439A"/>
    <w:rsid w:val="009F4ACC"/>
    <w:rsid w:val="009F4CC8"/>
    <w:rsid w:val="009F799C"/>
    <w:rsid w:val="00A0152F"/>
    <w:rsid w:val="00A019F0"/>
    <w:rsid w:val="00A01B20"/>
    <w:rsid w:val="00A03F9E"/>
    <w:rsid w:val="00A05F3F"/>
    <w:rsid w:val="00A06686"/>
    <w:rsid w:val="00A11074"/>
    <w:rsid w:val="00A1364F"/>
    <w:rsid w:val="00A23EA6"/>
    <w:rsid w:val="00A25BD1"/>
    <w:rsid w:val="00A26DE1"/>
    <w:rsid w:val="00A3262E"/>
    <w:rsid w:val="00A350F9"/>
    <w:rsid w:val="00A434EA"/>
    <w:rsid w:val="00A44776"/>
    <w:rsid w:val="00A45C74"/>
    <w:rsid w:val="00A46E7F"/>
    <w:rsid w:val="00A55D62"/>
    <w:rsid w:val="00A6175D"/>
    <w:rsid w:val="00A734A7"/>
    <w:rsid w:val="00A83411"/>
    <w:rsid w:val="00A84755"/>
    <w:rsid w:val="00A85B22"/>
    <w:rsid w:val="00A925A9"/>
    <w:rsid w:val="00A93AE8"/>
    <w:rsid w:val="00A97679"/>
    <w:rsid w:val="00AA4042"/>
    <w:rsid w:val="00AA6060"/>
    <w:rsid w:val="00AA6B0A"/>
    <w:rsid w:val="00AB2D0F"/>
    <w:rsid w:val="00AB3BAB"/>
    <w:rsid w:val="00AB5941"/>
    <w:rsid w:val="00AB62CB"/>
    <w:rsid w:val="00AC561B"/>
    <w:rsid w:val="00AE177A"/>
    <w:rsid w:val="00AE32F2"/>
    <w:rsid w:val="00AF1CEF"/>
    <w:rsid w:val="00AF22F4"/>
    <w:rsid w:val="00AF3E51"/>
    <w:rsid w:val="00AF47D9"/>
    <w:rsid w:val="00AF4FA9"/>
    <w:rsid w:val="00B006A2"/>
    <w:rsid w:val="00B01FDE"/>
    <w:rsid w:val="00B02E4A"/>
    <w:rsid w:val="00B05008"/>
    <w:rsid w:val="00B06991"/>
    <w:rsid w:val="00B15514"/>
    <w:rsid w:val="00B232D2"/>
    <w:rsid w:val="00B24798"/>
    <w:rsid w:val="00B33A13"/>
    <w:rsid w:val="00B3787A"/>
    <w:rsid w:val="00B569CF"/>
    <w:rsid w:val="00B7337E"/>
    <w:rsid w:val="00B7395A"/>
    <w:rsid w:val="00B7433E"/>
    <w:rsid w:val="00B7710D"/>
    <w:rsid w:val="00B81476"/>
    <w:rsid w:val="00B8250D"/>
    <w:rsid w:val="00B8467E"/>
    <w:rsid w:val="00B84691"/>
    <w:rsid w:val="00B846A2"/>
    <w:rsid w:val="00B94B9C"/>
    <w:rsid w:val="00B96EF7"/>
    <w:rsid w:val="00B97A09"/>
    <w:rsid w:val="00BA248F"/>
    <w:rsid w:val="00BA4C64"/>
    <w:rsid w:val="00BA4EAD"/>
    <w:rsid w:val="00BB211F"/>
    <w:rsid w:val="00BB48E8"/>
    <w:rsid w:val="00BB612D"/>
    <w:rsid w:val="00BC127C"/>
    <w:rsid w:val="00BC7320"/>
    <w:rsid w:val="00BD38E1"/>
    <w:rsid w:val="00BD4224"/>
    <w:rsid w:val="00BD4EA8"/>
    <w:rsid w:val="00BD7360"/>
    <w:rsid w:val="00BE2114"/>
    <w:rsid w:val="00BE4378"/>
    <w:rsid w:val="00BE7B2E"/>
    <w:rsid w:val="00BF2629"/>
    <w:rsid w:val="00BF53F3"/>
    <w:rsid w:val="00BF6553"/>
    <w:rsid w:val="00BF6D8E"/>
    <w:rsid w:val="00C00522"/>
    <w:rsid w:val="00C0270A"/>
    <w:rsid w:val="00C07CEF"/>
    <w:rsid w:val="00C15E81"/>
    <w:rsid w:val="00C15FB9"/>
    <w:rsid w:val="00C20C81"/>
    <w:rsid w:val="00C21A60"/>
    <w:rsid w:val="00C232B9"/>
    <w:rsid w:val="00C23CE5"/>
    <w:rsid w:val="00C24850"/>
    <w:rsid w:val="00C255F3"/>
    <w:rsid w:val="00C26AF2"/>
    <w:rsid w:val="00C330A8"/>
    <w:rsid w:val="00C33927"/>
    <w:rsid w:val="00C33E4E"/>
    <w:rsid w:val="00C35AC8"/>
    <w:rsid w:val="00C416FD"/>
    <w:rsid w:val="00C41A0D"/>
    <w:rsid w:val="00C476CB"/>
    <w:rsid w:val="00C54E9A"/>
    <w:rsid w:val="00C563F5"/>
    <w:rsid w:val="00C5768F"/>
    <w:rsid w:val="00C61BDB"/>
    <w:rsid w:val="00C656A2"/>
    <w:rsid w:val="00C65C5B"/>
    <w:rsid w:val="00C667C9"/>
    <w:rsid w:val="00C6771F"/>
    <w:rsid w:val="00C7798C"/>
    <w:rsid w:val="00C82BCC"/>
    <w:rsid w:val="00C859BE"/>
    <w:rsid w:val="00C93020"/>
    <w:rsid w:val="00C958D7"/>
    <w:rsid w:val="00C95BCA"/>
    <w:rsid w:val="00CA2A9A"/>
    <w:rsid w:val="00CB38E8"/>
    <w:rsid w:val="00CB3A25"/>
    <w:rsid w:val="00CB6919"/>
    <w:rsid w:val="00CC04E3"/>
    <w:rsid w:val="00CC2B0F"/>
    <w:rsid w:val="00CC2CFA"/>
    <w:rsid w:val="00CC712A"/>
    <w:rsid w:val="00CD0D7C"/>
    <w:rsid w:val="00CD1D58"/>
    <w:rsid w:val="00CD40B8"/>
    <w:rsid w:val="00CD725A"/>
    <w:rsid w:val="00CE1A6F"/>
    <w:rsid w:val="00CE3882"/>
    <w:rsid w:val="00CE436F"/>
    <w:rsid w:val="00CF01FF"/>
    <w:rsid w:val="00CF340C"/>
    <w:rsid w:val="00D10571"/>
    <w:rsid w:val="00D1186F"/>
    <w:rsid w:val="00D14059"/>
    <w:rsid w:val="00D16203"/>
    <w:rsid w:val="00D20464"/>
    <w:rsid w:val="00D23EF3"/>
    <w:rsid w:val="00D255AC"/>
    <w:rsid w:val="00D263F0"/>
    <w:rsid w:val="00D271FC"/>
    <w:rsid w:val="00D278D6"/>
    <w:rsid w:val="00D30CE0"/>
    <w:rsid w:val="00D337C1"/>
    <w:rsid w:val="00D33E91"/>
    <w:rsid w:val="00D33FBB"/>
    <w:rsid w:val="00D34399"/>
    <w:rsid w:val="00D35FEF"/>
    <w:rsid w:val="00D41D56"/>
    <w:rsid w:val="00D44506"/>
    <w:rsid w:val="00D44F3A"/>
    <w:rsid w:val="00D46C4B"/>
    <w:rsid w:val="00D50442"/>
    <w:rsid w:val="00D51476"/>
    <w:rsid w:val="00D52579"/>
    <w:rsid w:val="00D565A7"/>
    <w:rsid w:val="00D62C7B"/>
    <w:rsid w:val="00D652EE"/>
    <w:rsid w:val="00D66484"/>
    <w:rsid w:val="00D67640"/>
    <w:rsid w:val="00D71069"/>
    <w:rsid w:val="00D72F1D"/>
    <w:rsid w:val="00D7380C"/>
    <w:rsid w:val="00D758C1"/>
    <w:rsid w:val="00D77EB4"/>
    <w:rsid w:val="00D83D75"/>
    <w:rsid w:val="00D86B9C"/>
    <w:rsid w:val="00DA5875"/>
    <w:rsid w:val="00DB02D7"/>
    <w:rsid w:val="00DB0D02"/>
    <w:rsid w:val="00DB7BFF"/>
    <w:rsid w:val="00DC0851"/>
    <w:rsid w:val="00DC4FC3"/>
    <w:rsid w:val="00DC7712"/>
    <w:rsid w:val="00DD1392"/>
    <w:rsid w:val="00DD1AA3"/>
    <w:rsid w:val="00DD798F"/>
    <w:rsid w:val="00DE09C7"/>
    <w:rsid w:val="00DE1219"/>
    <w:rsid w:val="00DE3747"/>
    <w:rsid w:val="00DE3875"/>
    <w:rsid w:val="00DF0761"/>
    <w:rsid w:val="00DF2451"/>
    <w:rsid w:val="00DF5912"/>
    <w:rsid w:val="00DF6104"/>
    <w:rsid w:val="00E05BB6"/>
    <w:rsid w:val="00E07785"/>
    <w:rsid w:val="00E23348"/>
    <w:rsid w:val="00E25DF1"/>
    <w:rsid w:val="00E312A5"/>
    <w:rsid w:val="00E35C99"/>
    <w:rsid w:val="00E36FC3"/>
    <w:rsid w:val="00E37710"/>
    <w:rsid w:val="00E44165"/>
    <w:rsid w:val="00E5062A"/>
    <w:rsid w:val="00E57002"/>
    <w:rsid w:val="00E619F8"/>
    <w:rsid w:val="00E63BAB"/>
    <w:rsid w:val="00E670AC"/>
    <w:rsid w:val="00E67480"/>
    <w:rsid w:val="00E70495"/>
    <w:rsid w:val="00E8119F"/>
    <w:rsid w:val="00E83AF8"/>
    <w:rsid w:val="00E90A4B"/>
    <w:rsid w:val="00E94A7C"/>
    <w:rsid w:val="00E965A5"/>
    <w:rsid w:val="00E9796E"/>
    <w:rsid w:val="00EA0317"/>
    <w:rsid w:val="00EA0D3B"/>
    <w:rsid w:val="00EA3391"/>
    <w:rsid w:val="00EA500B"/>
    <w:rsid w:val="00EB1C94"/>
    <w:rsid w:val="00EB21B5"/>
    <w:rsid w:val="00EB2864"/>
    <w:rsid w:val="00EB7590"/>
    <w:rsid w:val="00EC1F6D"/>
    <w:rsid w:val="00EC41C6"/>
    <w:rsid w:val="00EC679F"/>
    <w:rsid w:val="00ED2254"/>
    <w:rsid w:val="00ED2520"/>
    <w:rsid w:val="00ED2CDA"/>
    <w:rsid w:val="00ED521C"/>
    <w:rsid w:val="00EE220B"/>
    <w:rsid w:val="00EE4469"/>
    <w:rsid w:val="00EE702A"/>
    <w:rsid w:val="00EE77A0"/>
    <w:rsid w:val="00EF2178"/>
    <w:rsid w:val="00EF250A"/>
    <w:rsid w:val="00EF3330"/>
    <w:rsid w:val="00F06D1D"/>
    <w:rsid w:val="00F07489"/>
    <w:rsid w:val="00F137C3"/>
    <w:rsid w:val="00F14492"/>
    <w:rsid w:val="00F14DE5"/>
    <w:rsid w:val="00F25CE6"/>
    <w:rsid w:val="00F3075E"/>
    <w:rsid w:val="00F34FEE"/>
    <w:rsid w:val="00F3684E"/>
    <w:rsid w:val="00F36E89"/>
    <w:rsid w:val="00F37524"/>
    <w:rsid w:val="00F37731"/>
    <w:rsid w:val="00F4378D"/>
    <w:rsid w:val="00F44036"/>
    <w:rsid w:val="00F4599F"/>
    <w:rsid w:val="00F4724C"/>
    <w:rsid w:val="00F47E24"/>
    <w:rsid w:val="00F53A87"/>
    <w:rsid w:val="00F53C9D"/>
    <w:rsid w:val="00F54028"/>
    <w:rsid w:val="00F619ED"/>
    <w:rsid w:val="00F63637"/>
    <w:rsid w:val="00F65D2E"/>
    <w:rsid w:val="00F67B88"/>
    <w:rsid w:val="00F71C74"/>
    <w:rsid w:val="00F81D6B"/>
    <w:rsid w:val="00F837D8"/>
    <w:rsid w:val="00F846F0"/>
    <w:rsid w:val="00F8680D"/>
    <w:rsid w:val="00F86CC2"/>
    <w:rsid w:val="00F87ECF"/>
    <w:rsid w:val="00F92103"/>
    <w:rsid w:val="00F93754"/>
    <w:rsid w:val="00F963D4"/>
    <w:rsid w:val="00FA3C23"/>
    <w:rsid w:val="00FA6594"/>
    <w:rsid w:val="00FA69C7"/>
    <w:rsid w:val="00FB60B2"/>
    <w:rsid w:val="00FB7078"/>
    <w:rsid w:val="00FB7AFA"/>
    <w:rsid w:val="00FC06FD"/>
    <w:rsid w:val="00FC0E55"/>
    <w:rsid w:val="00FC2031"/>
    <w:rsid w:val="00FC22A8"/>
    <w:rsid w:val="00FC2B98"/>
    <w:rsid w:val="00FC3955"/>
    <w:rsid w:val="00FC53D5"/>
    <w:rsid w:val="00FC55F9"/>
    <w:rsid w:val="00FC569D"/>
    <w:rsid w:val="00FC6E82"/>
    <w:rsid w:val="00FD3DED"/>
    <w:rsid w:val="00FD64B8"/>
    <w:rsid w:val="00FE2571"/>
    <w:rsid w:val="00FE48A0"/>
    <w:rsid w:val="00FE7EEF"/>
    <w:rsid w:val="00FF490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B631F"/>
  <w15:docId w15:val="{EC17898C-786C-469F-ACDA-93E13354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9C7"/>
    <w:pPr>
      <w:jc w:val="both"/>
    </w:pPr>
    <w:rPr>
      <w:rFonts w:ascii="Times New Roman" w:hAnsi="Times New Roman"/>
      <w:sz w:val="24"/>
    </w:rPr>
  </w:style>
  <w:style w:type="paragraph" w:styleId="Ttulo1">
    <w:name w:val="heading 1"/>
    <w:basedOn w:val="Normal"/>
    <w:next w:val="Normal"/>
    <w:link w:val="Ttulo1Car"/>
    <w:uiPriority w:val="9"/>
    <w:qFormat/>
    <w:rsid w:val="00330C29"/>
    <w:pPr>
      <w:keepNext/>
      <w:keepLines/>
      <w:numPr>
        <w:numId w:val="3"/>
      </w:numPr>
      <w:spacing w:after="320" w:line="360" w:lineRule="auto"/>
      <w:ind w:left="720"/>
      <w:outlineLvl w:val="0"/>
    </w:pPr>
    <w:rPr>
      <w:rFonts w:eastAsiaTheme="majorEastAsia" w:cs="Times New Roman"/>
      <w:b/>
      <w:bCs/>
      <w:szCs w:val="28"/>
      <w:lang w:val="es-ES"/>
    </w:rPr>
  </w:style>
  <w:style w:type="paragraph" w:styleId="Ttulo2">
    <w:name w:val="heading 2"/>
    <w:basedOn w:val="Normal"/>
    <w:next w:val="Normal"/>
    <w:link w:val="Ttulo2Car"/>
    <w:uiPriority w:val="9"/>
    <w:unhideWhenUsed/>
    <w:qFormat/>
    <w:rsid w:val="0077235D"/>
    <w:pPr>
      <w:keepNext/>
      <w:keepLines/>
      <w:numPr>
        <w:ilvl w:val="1"/>
        <w:numId w:val="3"/>
      </w:numPr>
      <w:spacing w:after="320" w:line="360" w:lineRule="auto"/>
      <w:outlineLvl w:val="1"/>
    </w:pPr>
    <w:rPr>
      <w:rFonts w:eastAsiaTheme="majorEastAsia" w:cs="Times New Roman"/>
      <w:b/>
      <w:bCs/>
      <w:szCs w:val="24"/>
      <w:lang w:val="es-ES"/>
    </w:rPr>
  </w:style>
  <w:style w:type="paragraph" w:styleId="Ttulo3">
    <w:name w:val="heading 3"/>
    <w:basedOn w:val="Normal"/>
    <w:next w:val="Normal"/>
    <w:link w:val="Ttulo3Car"/>
    <w:uiPriority w:val="9"/>
    <w:unhideWhenUsed/>
    <w:qFormat/>
    <w:rsid w:val="0077235D"/>
    <w:pPr>
      <w:keepNext/>
      <w:keepLines/>
      <w:numPr>
        <w:ilvl w:val="2"/>
        <w:numId w:val="3"/>
      </w:numPr>
      <w:spacing w:after="320" w:line="360" w:lineRule="auto"/>
      <w:outlineLvl w:val="2"/>
    </w:pPr>
    <w:rPr>
      <w:rFonts w:eastAsiaTheme="majorEastAsia" w:cs="Times New Roman"/>
      <w:b/>
      <w:bCs/>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7235D"/>
    <w:pPr>
      <w:spacing w:after="0" w:line="240" w:lineRule="auto"/>
    </w:pPr>
    <w:rPr>
      <w:lang w:val="es-ES"/>
    </w:rPr>
  </w:style>
  <w:style w:type="character" w:customStyle="1" w:styleId="Ttulo1Car">
    <w:name w:val="Título 1 Car"/>
    <w:basedOn w:val="Fuentedeprrafopredeter"/>
    <w:link w:val="Ttulo1"/>
    <w:uiPriority w:val="9"/>
    <w:rsid w:val="00330C29"/>
    <w:rPr>
      <w:rFonts w:ascii="Times New Roman" w:eastAsiaTheme="majorEastAsia" w:hAnsi="Times New Roman" w:cs="Times New Roman"/>
      <w:b/>
      <w:bCs/>
      <w:sz w:val="24"/>
      <w:szCs w:val="28"/>
      <w:lang w:val="es-ES"/>
    </w:rPr>
  </w:style>
  <w:style w:type="character" w:customStyle="1" w:styleId="Ttulo2Car">
    <w:name w:val="Título 2 Car"/>
    <w:basedOn w:val="Fuentedeprrafopredeter"/>
    <w:link w:val="Ttulo2"/>
    <w:uiPriority w:val="9"/>
    <w:rsid w:val="0077235D"/>
    <w:rPr>
      <w:rFonts w:ascii="Times New Roman" w:eastAsiaTheme="majorEastAsia" w:hAnsi="Times New Roman" w:cs="Times New Roman"/>
      <w:b/>
      <w:bCs/>
      <w:sz w:val="24"/>
      <w:szCs w:val="24"/>
      <w:lang w:val="es-ES"/>
    </w:rPr>
  </w:style>
  <w:style w:type="character" w:customStyle="1" w:styleId="Ttulo3Car">
    <w:name w:val="Título 3 Car"/>
    <w:basedOn w:val="Fuentedeprrafopredeter"/>
    <w:link w:val="Ttulo3"/>
    <w:uiPriority w:val="9"/>
    <w:rsid w:val="0077235D"/>
    <w:rPr>
      <w:rFonts w:ascii="Times New Roman" w:eastAsiaTheme="majorEastAsia" w:hAnsi="Times New Roman" w:cs="Times New Roman"/>
      <w:b/>
      <w:bCs/>
      <w:sz w:val="24"/>
      <w:szCs w:val="24"/>
      <w:lang w:val="es-ES"/>
    </w:rPr>
  </w:style>
  <w:style w:type="table" w:styleId="Tablaconcuadrcula">
    <w:name w:val="Table Grid"/>
    <w:basedOn w:val="Tablanormal"/>
    <w:uiPriority w:val="39"/>
    <w:rsid w:val="00772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235D"/>
    <w:rPr>
      <w:sz w:val="16"/>
      <w:szCs w:val="16"/>
    </w:rPr>
  </w:style>
  <w:style w:type="paragraph" w:styleId="Textocomentario">
    <w:name w:val="annotation text"/>
    <w:basedOn w:val="Normal"/>
    <w:link w:val="TextocomentarioCar"/>
    <w:uiPriority w:val="99"/>
    <w:semiHidden/>
    <w:unhideWhenUsed/>
    <w:rsid w:val="0077235D"/>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77235D"/>
    <w:rPr>
      <w:sz w:val="20"/>
      <w:szCs w:val="20"/>
    </w:rPr>
  </w:style>
  <w:style w:type="paragraph" w:styleId="Asuntodelcomentario">
    <w:name w:val="annotation subject"/>
    <w:basedOn w:val="Textocomentario"/>
    <w:next w:val="Textocomentario"/>
    <w:link w:val="AsuntodelcomentarioCar"/>
    <w:uiPriority w:val="99"/>
    <w:semiHidden/>
    <w:unhideWhenUsed/>
    <w:rsid w:val="0077235D"/>
    <w:rPr>
      <w:b/>
      <w:bCs/>
    </w:rPr>
  </w:style>
  <w:style w:type="character" w:customStyle="1" w:styleId="AsuntodelcomentarioCar">
    <w:name w:val="Asunto del comentario Car"/>
    <w:basedOn w:val="TextocomentarioCar"/>
    <w:link w:val="Asuntodelcomentario"/>
    <w:uiPriority w:val="99"/>
    <w:semiHidden/>
    <w:rsid w:val="0077235D"/>
    <w:rPr>
      <w:b/>
      <w:bCs/>
      <w:sz w:val="20"/>
      <w:szCs w:val="20"/>
    </w:rPr>
  </w:style>
  <w:style w:type="paragraph" w:styleId="Textodeglobo">
    <w:name w:val="Balloon Text"/>
    <w:basedOn w:val="Normal"/>
    <w:link w:val="TextodegloboCar"/>
    <w:uiPriority w:val="99"/>
    <w:semiHidden/>
    <w:unhideWhenUsed/>
    <w:rsid w:val="00772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35D"/>
    <w:rPr>
      <w:rFonts w:ascii="Segoe UI" w:hAnsi="Segoe UI" w:cs="Segoe UI"/>
      <w:sz w:val="18"/>
      <w:szCs w:val="18"/>
    </w:rPr>
  </w:style>
  <w:style w:type="paragraph" w:styleId="Prrafodelista">
    <w:name w:val="List Paragraph"/>
    <w:basedOn w:val="Normal"/>
    <w:link w:val="PrrafodelistaCar"/>
    <w:uiPriority w:val="34"/>
    <w:qFormat/>
    <w:rsid w:val="0077235D"/>
    <w:pPr>
      <w:spacing w:after="160" w:line="259" w:lineRule="auto"/>
      <w:ind w:left="720"/>
      <w:contextualSpacing/>
    </w:pPr>
  </w:style>
  <w:style w:type="paragraph" w:styleId="Encabezado">
    <w:name w:val="header"/>
    <w:basedOn w:val="Normal"/>
    <w:link w:val="EncabezadoCar"/>
    <w:uiPriority w:val="99"/>
    <w:unhideWhenUsed/>
    <w:rsid w:val="007723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235D"/>
  </w:style>
  <w:style w:type="paragraph" w:styleId="Piedepgina">
    <w:name w:val="footer"/>
    <w:basedOn w:val="Normal"/>
    <w:link w:val="PiedepginaCar"/>
    <w:uiPriority w:val="99"/>
    <w:unhideWhenUsed/>
    <w:rsid w:val="007723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235D"/>
  </w:style>
  <w:style w:type="character" w:customStyle="1" w:styleId="PrrafodelistaCar">
    <w:name w:val="Párrafo de lista Car"/>
    <w:basedOn w:val="Fuentedeprrafopredeter"/>
    <w:link w:val="Prrafodelista"/>
    <w:uiPriority w:val="34"/>
    <w:rsid w:val="0077235D"/>
  </w:style>
  <w:style w:type="paragraph" w:customStyle="1" w:styleId="Estilo1">
    <w:name w:val="Estilo1"/>
    <w:basedOn w:val="Prrafodelista"/>
    <w:link w:val="Estilo1Car"/>
    <w:qFormat/>
    <w:rsid w:val="0077235D"/>
    <w:pPr>
      <w:numPr>
        <w:numId w:val="1"/>
      </w:numPr>
      <w:spacing w:after="320" w:line="240" w:lineRule="auto"/>
    </w:pPr>
    <w:rPr>
      <w:rFonts w:eastAsia="Times New Roman" w:cs="Times New Roman"/>
      <w:b/>
      <w:sz w:val="28"/>
      <w:szCs w:val="36"/>
      <w:lang w:val="es-ES" w:eastAsia="es-ES"/>
    </w:rPr>
  </w:style>
  <w:style w:type="character" w:customStyle="1" w:styleId="Estilo1Car">
    <w:name w:val="Estilo1 Car"/>
    <w:basedOn w:val="PrrafodelistaCar"/>
    <w:link w:val="Estilo1"/>
    <w:rsid w:val="0077235D"/>
    <w:rPr>
      <w:rFonts w:ascii="Times New Roman" w:eastAsia="Times New Roman" w:hAnsi="Times New Roman" w:cs="Times New Roman"/>
      <w:b/>
      <w:sz w:val="28"/>
      <w:szCs w:val="36"/>
      <w:lang w:val="es-ES" w:eastAsia="es-ES"/>
    </w:rPr>
  </w:style>
  <w:style w:type="paragraph" w:customStyle="1" w:styleId="Estilo2">
    <w:name w:val="Estilo2"/>
    <w:basedOn w:val="Prrafodelista"/>
    <w:link w:val="Estilo2Car"/>
    <w:qFormat/>
    <w:rsid w:val="0077235D"/>
    <w:pPr>
      <w:numPr>
        <w:ilvl w:val="1"/>
        <w:numId w:val="2"/>
      </w:numPr>
      <w:spacing w:after="320" w:line="360" w:lineRule="auto"/>
      <w:contextualSpacing w:val="0"/>
    </w:pPr>
    <w:rPr>
      <w:rFonts w:eastAsia="Times New Roman" w:cs="Times New Roman"/>
      <w:b/>
      <w:szCs w:val="36"/>
      <w:lang w:val="es-ES" w:eastAsia="es-ES"/>
    </w:rPr>
  </w:style>
  <w:style w:type="character" w:customStyle="1" w:styleId="Estilo2Car">
    <w:name w:val="Estilo2 Car"/>
    <w:basedOn w:val="PrrafodelistaCar"/>
    <w:link w:val="Estilo2"/>
    <w:rsid w:val="0077235D"/>
    <w:rPr>
      <w:rFonts w:ascii="Times New Roman" w:eastAsia="Times New Roman" w:hAnsi="Times New Roman" w:cs="Times New Roman"/>
      <w:b/>
      <w:sz w:val="24"/>
      <w:szCs w:val="36"/>
      <w:lang w:val="es-ES" w:eastAsia="es-ES"/>
    </w:rPr>
  </w:style>
  <w:style w:type="character" w:styleId="Hipervnculo">
    <w:name w:val="Hyperlink"/>
    <w:basedOn w:val="Fuentedeprrafopredeter"/>
    <w:uiPriority w:val="99"/>
    <w:unhideWhenUsed/>
    <w:rsid w:val="0077235D"/>
    <w:rPr>
      <w:color w:val="0000FF"/>
      <w:u w:val="single"/>
    </w:rPr>
  </w:style>
  <w:style w:type="character" w:customStyle="1" w:styleId="Mencinsinresolver1">
    <w:name w:val="Mención sin resolver1"/>
    <w:basedOn w:val="Fuentedeprrafopredeter"/>
    <w:uiPriority w:val="99"/>
    <w:semiHidden/>
    <w:unhideWhenUsed/>
    <w:rsid w:val="0077235D"/>
    <w:rPr>
      <w:color w:val="605E5C"/>
      <w:shd w:val="clear" w:color="auto" w:fill="E1DFDD"/>
    </w:rPr>
  </w:style>
  <w:style w:type="paragraph" w:styleId="TtuloTDC">
    <w:name w:val="TOC Heading"/>
    <w:basedOn w:val="Ttulo1"/>
    <w:next w:val="Normal"/>
    <w:uiPriority w:val="39"/>
    <w:unhideWhenUsed/>
    <w:qFormat/>
    <w:rsid w:val="0077235D"/>
    <w:pPr>
      <w:numPr>
        <w:numId w:val="0"/>
      </w:numPr>
      <w:spacing w:before="240" w:after="0" w:line="259" w:lineRule="auto"/>
      <w:outlineLvl w:val="9"/>
    </w:pPr>
    <w:rPr>
      <w:rFonts w:asciiTheme="majorHAnsi" w:hAnsiTheme="majorHAnsi" w:cstheme="majorBidi"/>
      <w:b w:val="0"/>
      <w:bCs w:val="0"/>
      <w:color w:val="365F91" w:themeColor="accent1" w:themeShade="BF"/>
      <w:sz w:val="32"/>
      <w:szCs w:val="32"/>
      <w:lang w:eastAsia="es-ES"/>
    </w:rPr>
  </w:style>
  <w:style w:type="paragraph" w:styleId="TDC1">
    <w:name w:val="toc 1"/>
    <w:basedOn w:val="Normal"/>
    <w:next w:val="Normal"/>
    <w:autoRedefine/>
    <w:uiPriority w:val="39"/>
    <w:unhideWhenUsed/>
    <w:rsid w:val="00123F9C"/>
    <w:pPr>
      <w:tabs>
        <w:tab w:val="left" w:pos="1100"/>
        <w:tab w:val="right" w:leader="dot" w:pos="8222"/>
      </w:tabs>
      <w:spacing w:after="100" w:line="259" w:lineRule="auto"/>
      <w:ind w:left="113"/>
      <w:jc w:val="left"/>
    </w:pPr>
    <w:rPr>
      <w:lang w:val="es-ES"/>
    </w:rPr>
  </w:style>
  <w:style w:type="paragraph" w:styleId="TDC2">
    <w:name w:val="toc 2"/>
    <w:basedOn w:val="Normal"/>
    <w:next w:val="Normal"/>
    <w:autoRedefine/>
    <w:uiPriority w:val="39"/>
    <w:unhideWhenUsed/>
    <w:rsid w:val="006229C8"/>
    <w:pPr>
      <w:tabs>
        <w:tab w:val="left" w:pos="880"/>
        <w:tab w:val="right" w:leader="dot" w:pos="8222"/>
      </w:tabs>
      <w:spacing w:after="100" w:line="259" w:lineRule="auto"/>
      <w:ind w:left="284"/>
    </w:pPr>
    <w:rPr>
      <w:lang w:val="es-ES"/>
    </w:rPr>
  </w:style>
  <w:style w:type="paragraph" w:styleId="TDC3">
    <w:name w:val="toc 3"/>
    <w:basedOn w:val="Normal"/>
    <w:next w:val="Normal"/>
    <w:autoRedefine/>
    <w:uiPriority w:val="39"/>
    <w:unhideWhenUsed/>
    <w:rsid w:val="00123F9C"/>
    <w:pPr>
      <w:tabs>
        <w:tab w:val="left" w:pos="1320"/>
        <w:tab w:val="right" w:leader="dot" w:pos="8222"/>
      </w:tabs>
      <w:spacing w:after="100" w:line="259" w:lineRule="auto"/>
      <w:ind w:left="567"/>
    </w:pPr>
    <w:rPr>
      <w:lang w:val="es-ES"/>
    </w:rPr>
  </w:style>
  <w:style w:type="character" w:styleId="Hipervnculovisitado">
    <w:name w:val="FollowedHyperlink"/>
    <w:basedOn w:val="Fuentedeprrafopredeter"/>
    <w:uiPriority w:val="99"/>
    <w:semiHidden/>
    <w:unhideWhenUsed/>
    <w:rsid w:val="0077235D"/>
    <w:rPr>
      <w:color w:val="800080" w:themeColor="followedHyperlink"/>
      <w:u w:val="single"/>
    </w:rPr>
  </w:style>
  <w:style w:type="paragraph" w:styleId="Bibliografa">
    <w:name w:val="Bibliography"/>
    <w:basedOn w:val="Normal"/>
    <w:next w:val="Normal"/>
    <w:uiPriority w:val="37"/>
    <w:unhideWhenUsed/>
    <w:rsid w:val="0077235D"/>
  </w:style>
  <w:style w:type="paragraph" w:styleId="Descripcin">
    <w:name w:val="caption"/>
    <w:basedOn w:val="Normal"/>
    <w:next w:val="Normal"/>
    <w:uiPriority w:val="35"/>
    <w:unhideWhenUsed/>
    <w:qFormat/>
    <w:rsid w:val="0077235D"/>
    <w:pPr>
      <w:spacing w:after="0" w:line="360" w:lineRule="auto"/>
    </w:pPr>
    <w:rPr>
      <w:i/>
      <w:iCs/>
      <w:color w:val="1F497D" w:themeColor="text2"/>
      <w:sz w:val="18"/>
      <w:szCs w:val="18"/>
      <w:lang w:eastAsia="es-ES"/>
    </w:rPr>
  </w:style>
  <w:style w:type="table" w:styleId="Sombreadoclaro-nfasis3">
    <w:name w:val="Light Shading Accent 3"/>
    <w:basedOn w:val="Tablanormal"/>
    <w:uiPriority w:val="60"/>
    <w:rsid w:val="0077235D"/>
    <w:pPr>
      <w:spacing w:after="0" w:line="240" w:lineRule="auto"/>
    </w:pPr>
    <w:rPr>
      <w:color w:val="76923C" w:themeColor="accent3" w:themeShade="BF"/>
      <w:lang w:val="es-E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DC4">
    <w:name w:val="toc 4"/>
    <w:basedOn w:val="Normal"/>
    <w:next w:val="Normal"/>
    <w:autoRedefine/>
    <w:uiPriority w:val="39"/>
    <w:unhideWhenUsed/>
    <w:rsid w:val="0077235D"/>
    <w:pPr>
      <w:spacing w:after="100" w:line="259" w:lineRule="auto"/>
      <w:ind w:left="660"/>
    </w:pPr>
    <w:rPr>
      <w:rFonts w:eastAsiaTheme="minorEastAsia"/>
      <w:lang w:eastAsia="es-EC"/>
    </w:rPr>
  </w:style>
  <w:style w:type="paragraph" w:styleId="TDC5">
    <w:name w:val="toc 5"/>
    <w:basedOn w:val="Normal"/>
    <w:next w:val="Normal"/>
    <w:autoRedefine/>
    <w:uiPriority w:val="39"/>
    <w:unhideWhenUsed/>
    <w:rsid w:val="0077235D"/>
    <w:pPr>
      <w:spacing w:after="100" w:line="259" w:lineRule="auto"/>
      <w:ind w:left="880"/>
    </w:pPr>
    <w:rPr>
      <w:rFonts w:eastAsiaTheme="minorEastAsia"/>
      <w:lang w:eastAsia="es-EC"/>
    </w:rPr>
  </w:style>
  <w:style w:type="paragraph" w:styleId="TDC6">
    <w:name w:val="toc 6"/>
    <w:basedOn w:val="Normal"/>
    <w:next w:val="Normal"/>
    <w:autoRedefine/>
    <w:uiPriority w:val="39"/>
    <w:unhideWhenUsed/>
    <w:rsid w:val="0077235D"/>
    <w:pPr>
      <w:spacing w:after="100" w:line="259" w:lineRule="auto"/>
      <w:ind w:left="1100"/>
    </w:pPr>
    <w:rPr>
      <w:rFonts w:eastAsiaTheme="minorEastAsia"/>
      <w:lang w:eastAsia="es-EC"/>
    </w:rPr>
  </w:style>
  <w:style w:type="paragraph" w:styleId="TDC7">
    <w:name w:val="toc 7"/>
    <w:basedOn w:val="Normal"/>
    <w:next w:val="Normal"/>
    <w:autoRedefine/>
    <w:uiPriority w:val="39"/>
    <w:unhideWhenUsed/>
    <w:rsid w:val="0077235D"/>
    <w:pPr>
      <w:spacing w:after="100" w:line="259" w:lineRule="auto"/>
      <w:ind w:left="1320"/>
    </w:pPr>
    <w:rPr>
      <w:rFonts w:eastAsiaTheme="minorEastAsia"/>
      <w:lang w:eastAsia="es-EC"/>
    </w:rPr>
  </w:style>
  <w:style w:type="paragraph" w:styleId="TDC8">
    <w:name w:val="toc 8"/>
    <w:basedOn w:val="Normal"/>
    <w:next w:val="Normal"/>
    <w:autoRedefine/>
    <w:uiPriority w:val="39"/>
    <w:unhideWhenUsed/>
    <w:rsid w:val="0077235D"/>
    <w:pPr>
      <w:spacing w:after="100" w:line="259" w:lineRule="auto"/>
      <w:ind w:left="1540"/>
    </w:pPr>
    <w:rPr>
      <w:rFonts w:eastAsiaTheme="minorEastAsia"/>
      <w:lang w:eastAsia="es-EC"/>
    </w:rPr>
  </w:style>
  <w:style w:type="paragraph" w:styleId="TDC9">
    <w:name w:val="toc 9"/>
    <w:basedOn w:val="Normal"/>
    <w:next w:val="Normal"/>
    <w:autoRedefine/>
    <w:uiPriority w:val="39"/>
    <w:unhideWhenUsed/>
    <w:rsid w:val="0077235D"/>
    <w:pPr>
      <w:spacing w:after="100" w:line="259" w:lineRule="auto"/>
      <w:ind w:left="1760"/>
    </w:pPr>
    <w:rPr>
      <w:rFonts w:eastAsiaTheme="minorEastAsia"/>
      <w:lang w:eastAsia="es-EC"/>
    </w:rPr>
  </w:style>
  <w:style w:type="table" w:customStyle="1" w:styleId="Tablaconcuadrculaclara1">
    <w:name w:val="Tabla con cuadrícula clara1"/>
    <w:basedOn w:val="Tablanormal"/>
    <w:uiPriority w:val="40"/>
    <w:rsid w:val="0077235D"/>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
    <w:name w:val="Sin lista1"/>
    <w:next w:val="Sinlista"/>
    <w:uiPriority w:val="99"/>
    <w:semiHidden/>
    <w:unhideWhenUsed/>
    <w:rsid w:val="0077235D"/>
  </w:style>
  <w:style w:type="table" w:customStyle="1" w:styleId="Tablaconcuadrcula1">
    <w:name w:val="Tabla con cuadrícula1"/>
    <w:basedOn w:val="Tablanormal"/>
    <w:next w:val="Tablaconcuadrcula"/>
    <w:uiPriority w:val="59"/>
    <w:rsid w:val="0077235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
    <w:name w:val="Sombreado claro - Énfasis 31"/>
    <w:basedOn w:val="Tablanormal"/>
    <w:next w:val="Sombreadoclaro-nfasis3"/>
    <w:uiPriority w:val="60"/>
    <w:rsid w:val="0077235D"/>
    <w:pPr>
      <w:spacing w:after="0" w:line="240" w:lineRule="auto"/>
    </w:pPr>
    <w:rPr>
      <w:color w:val="7B7B7B"/>
      <w:lang w:val="es-E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Tablaconcuadrculaclara11">
    <w:name w:val="Tabla con cuadrícula clara11"/>
    <w:basedOn w:val="Tablanormal"/>
    <w:next w:val="Tablaconcuadrculaclara1"/>
    <w:uiPriority w:val="40"/>
    <w:rsid w:val="0077235D"/>
    <w:pPr>
      <w:spacing w:after="0" w:line="240" w:lineRule="auto"/>
    </w:pPr>
    <w:rPr>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we-math-mathml-inline">
    <w:name w:val="mwe-math-mathml-inline"/>
    <w:basedOn w:val="Fuentedeprrafopredeter"/>
    <w:rsid w:val="0077235D"/>
  </w:style>
  <w:style w:type="table" w:customStyle="1" w:styleId="Tablaconcuadrcula4-nfasis11">
    <w:name w:val="Tabla con cuadrícula 4 - Énfasis 11"/>
    <w:basedOn w:val="Tablanormal"/>
    <w:uiPriority w:val="49"/>
    <w:rsid w:val="0077235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clara2">
    <w:name w:val="Tabla con cuadrícula clara2"/>
    <w:basedOn w:val="Tablanormal"/>
    <w:uiPriority w:val="40"/>
    <w:rsid w:val="007E253F"/>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4-nfasis12">
    <w:name w:val="Tabla con cuadrícula 4 - Énfasis 12"/>
    <w:basedOn w:val="Tablanormal"/>
    <w:uiPriority w:val="49"/>
    <w:rsid w:val="007E253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5C5EF9"/>
    <w:pPr>
      <w:spacing w:before="100" w:beforeAutospacing="1" w:after="100" w:afterAutospacing="1" w:line="240" w:lineRule="auto"/>
    </w:pPr>
    <w:rPr>
      <w:rFonts w:eastAsia="Times New Roman" w:cs="Times New Roman"/>
      <w:szCs w:val="24"/>
      <w:lang w:eastAsia="es-EC"/>
    </w:rPr>
  </w:style>
  <w:style w:type="paragraph" w:customStyle="1" w:styleId="msonormal0">
    <w:name w:val="msonormal"/>
    <w:basedOn w:val="Normal"/>
    <w:rsid w:val="00F4724C"/>
    <w:pPr>
      <w:spacing w:before="100" w:beforeAutospacing="1" w:after="100" w:afterAutospacing="1" w:line="240" w:lineRule="auto"/>
    </w:pPr>
    <w:rPr>
      <w:rFonts w:eastAsia="Times New Roman" w:cs="Times New Roman"/>
      <w:szCs w:val="24"/>
      <w:lang w:eastAsia="es-EC"/>
    </w:rPr>
  </w:style>
  <w:style w:type="character" w:customStyle="1" w:styleId="Mencinsinresolver2">
    <w:name w:val="Mención sin resolver2"/>
    <w:basedOn w:val="Fuentedeprrafopredeter"/>
    <w:uiPriority w:val="99"/>
    <w:semiHidden/>
    <w:unhideWhenUsed/>
    <w:rsid w:val="0097544C"/>
    <w:rPr>
      <w:color w:val="605E5C"/>
      <w:shd w:val="clear" w:color="auto" w:fill="E1DFDD"/>
    </w:rPr>
  </w:style>
  <w:style w:type="character" w:customStyle="1" w:styleId="Mencinsinresolver3">
    <w:name w:val="Mención sin resolver3"/>
    <w:basedOn w:val="Fuentedeprrafopredeter"/>
    <w:uiPriority w:val="99"/>
    <w:semiHidden/>
    <w:unhideWhenUsed/>
    <w:rsid w:val="00A84755"/>
    <w:rPr>
      <w:color w:val="605E5C"/>
      <w:shd w:val="clear" w:color="auto" w:fill="E1DFDD"/>
    </w:rPr>
  </w:style>
  <w:style w:type="paragraph" w:styleId="Tabladeilustraciones">
    <w:name w:val="table of figures"/>
    <w:basedOn w:val="Normal"/>
    <w:next w:val="Normal"/>
    <w:uiPriority w:val="99"/>
    <w:unhideWhenUsed/>
    <w:rsid w:val="00171CEE"/>
    <w:pPr>
      <w:spacing w:after="0"/>
    </w:pPr>
  </w:style>
  <w:style w:type="character" w:customStyle="1" w:styleId="Mencinsinresolver4">
    <w:name w:val="Mención sin resolver4"/>
    <w:basedOn w:val="Fuentedeprrafopredeter"/>
    <w:uiPriority w:val="99"/>
    <w:semiHidden/>
    <w:unhideWhenUsed/>
    <w:rsid w:val="001D78E6"/>
    <w:rPr>
      <w:color w:val="605E5C"/>
      <w:shd w:val="clear" w:color="auto" w:fill="E1DFDD"/>
    </w:rPr>
  </w:style>
  <w:style w:type="character" w:customStyle="1" w:styleId="Mencinsinresolver5">
    <w:name w:val="Mención sin resolver5"/>
    <w:basedOn w:val="Fuentedeprrafopredeter"/>
    <w:uiPriority w:val="99"/>
    <w:semiHidden/>
    <w:unhideWhenUsed/>
    <w:rsid w:val="00492A27"/>
    <w:rPr>
      <w:color w:val="605E5C"/>
      <w:shd w:val="clear" w:color="auto" w:fill="E1DFDD"/>
    </w:rPr>
  </w:style>
  <w:style w:type="character" w:styleId="Mencinsinresolver">
    <w:name w:val="Unresolved Mention"/>
    <w:basedOn w:val="Fuentedeprrafopredeter"/>
    <w:uiPriority w:val="99"/>
    <w:semiHidden/>
    <w:unhideWhenUsed/>
    <w:rsid w:val="00185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980">
      <w:bodyDiv w:val="1"/>
      <w:marLeft w:val="0"/>
      <w:marRight w:val="0"/>
      <w:marTop w:val="0"/>
      <w:marBottom w:val="0"/>
      <w:divBdr>
        <w:top w:val="none" w:sz="0" w:space="0" w:color="auto"/>
        <w:left w:val="none" w:sz="0" w:space="0" w:color="auto"/>
        <w:bottom w:val="none" w:sz="0" w:space="0" w:color="auto"/>
        <w:right w:val="none" w:sz="0" w:space="0" w:color="auto"/>
      </w:divBdr>
    </w:div>
    <w:div w:id="6297179">
      <w:bodyDiv w:val="1"/>
      <w:marLeft w:val="0"/>
      <w:marRight w:val="0"/>
      <w:marTop w:val="0"/>
      <w:marBottom w:val="0"/>
      <w:divBdr>
        <w:top w:val="none" w:sz="0" w:space="0" w:color="auto"/>
        <w:left w:val="none" w:sz="0" w:space="0" w:color="auto"/>
        <w:bottom w:val="none" w:sz="0" w:space="0" w:color="auto"/>
        <w:right w:val="none" w:sz="0" w:space="0" w:color="auto"/>
      </w:divBdr>
    </w:div>
    <w:div w:id="13073503">
      <w:bodyDiv w:val="1"/>
      <w:marLeft w:val="0"/>
      <w:marRight w:val="0"/>
      <w:marTop w:val="0"/>
      <w:marBottom w:val="0"/>
      <w:divBdr>
        <w:top w:val="none" w:sz="0" w:space="0" w:color="auto"/>
        <w:left w:val="none" w:sz="0" w:space="0" w:color="auto"/>
        <w:bottom w:val="none" w:sz="0" w:space="0" w:color="auto"/>
        <w:right w:val="none" w:sz="0" w:space="0" w:color="auto"/>
      </w:divBdr>
    </w:div>
    <w:div w:id="19358118">
      <w:bodyDiv w:val="1"/>
      <w:marLeft w:val="0"/>
      <w:marRight w:val="0"/>
      <w:marTop w:val="0"/>
      <w:marBottom w:val="0"/>
      <w:divBdr>
        <w:top w:val="none" w:sz="0" w:space="0" w:color="auto"/>
        <w:left w:val="none" w:sz="0" w:space="0" w:color="auto"/>
        <w:bottom w:val="none" w:sz="0" w:space="0" w:color="auto"/>
        <w:right w:val="none" w:sz="0" w:space="0" w:color="auto"/>
      </w:divBdr>
    </w:div>
    <w:div w:id="20517443">
      <w:bodyDiv w:val="1"/>
      <w:marLeft w:val="0"/>
      <w:marRight w:val="0"/>
      <w:marTop w:val="0"/>
      <w:marBottom w:val="0"/>
      <w:divBdr>
        <w:top w:val="none" w:sz="0" w:space="0" w:color="auto"/>
        <w:left w:val="none" w:sz="0" w:space="0" w:color="auto"/>
        <w:bottom w:val="none" w:sz="0" w:space="0" w:color="auto"/>
        <w:right w:val="none" w:sz="0" w:space="0" w:color="auto"/>
      </w:divBdr>
    </w:div>
    <w:div w:id="26608361">
      <w:bodyDiv w:val="1"/>
      <w:marLeft w:val="0"/>
      <w:marRight w:val="0"/>
      <w:marTop w:val="0"/>
      <w:marBottom w:val="0"/>
      <w:divBdr>
        <w:top w:val="none" w:sz="0" w:space="0" w:color="auto"/>
        <w:left w:val="none" w:sz="0" w:space="0" w:color="auto"/>
        <w:bottom w:val="none" w:sz="0" w:space="0" w:color="auto"/>
        <w:right w:val="none" w:sz="0" w:space="0" w:color="auto"/>
      </w:divBdr>
    </w:div>
    <w:div w:id="26687958">
      <w:bodyDiv w:val="1"/>
      <w:marLeft w:val="0"/>
      <w:marRight w:val="0"/>
      <w:marTop w:val="0"/>
      <w:marBottom w:val="0"/>
      <w:divBdr>
        <w:top w:val="none" w:sz="0" w:space="0" w:color="auto"/>
        <w:left w:val="none" w:sz="0" w:space="0" w:color="auto"/>
        <w:bottom w:val="none" w:sz="0" w:space="0" w:color="auto"/>
        <w:right w:val="none" w:sz="0" w:space="0" w:color="auto"/>
      </w:divBdr>
    </w:div>
    <w:div w:id="28386483">
      <w:bodyDiv w:val="1"/>
      <w:marLeft w:val="0"/>
      <w:marRight w:val="0"/>
      <w:marTop w:val="0"/>
      <w:marBottom w:val="0"/>
      <w:divBdr>
        <w:top w:val="none" w:sz="0" w:space="0" w:color="auto"/>
        <w:left w:val="none" w:sz="0" w:space="0" w:color="auto"/>
        <w:bottom w:val="none" w:sz="0" w:space="0" w:color="auto"/>
        <w:right w:val="none" w:sz="0" w:space="0" w:color="auto"/>
      </w:divBdr>
    </w:div>
    <w:div w:id="30343564">
      <w:bodyDiv w:val="1"/>
      <w:marLeft w:val="0"/>
      <w:marRight w:val="0"/>
      <w:marTop w:val="0"/>
      <w:marBottom w:val="0"/>
      <w:divBdr>
        <w:top w:val="none" w:sz="0" w:space="0" w:color="auto"/>
        <w:left w:val="none" w:sz="0" w:space="0" w:color="auto"/>
        <w:bottom w:val="none" w:sz="0" w:space="0" w:color="auto"/>
        <w:right w:val="none" w:sz="0" w:space="0" w:color="auto"/>
      </w:divBdr>
    </w:div>
    <w:div w:id="34545366">
      <w:bodyDiv w:val="1"/>
      <w:marLeft w:val="0"/>
      <w:marRight w:val="0"/>
      <w:marTop w:val="0"/>
      <w:marBottom w:val="0"/>
      <w:divBdr>
        <w:top w:val="none" w:sz="0" w:space="0" w:color="auto"/>
        <w:left w:val="none" w:sz="0" w:space="0" w:color="auto"/>
        <w:bottom w:val="none" w:sz="0" w:space="0" w:color="auto"/>
        <w:right w:val="none" w:sz="0" w:space="0" w:color="auto"/>
      </w:divBdr>
    </w:div>
    <w:div w:id="38406955">
      <w:bodyDiv w:val="1"/>
      <w:marLeft w:val="0"/>
      <w:marRight w:val="0"/>
      <w:marTop w:val="0"/>
      <w:marBottom w:val="0"/>
      <w:divBdr>
        <w:top w:val="none" w:sz="0" w:space="0" w:color="auto"/>
        <w:left w:val="none" w:sz="0" w:space="0" w:color="auto"/>
        <w:bottom w:val="none" w:sz="0" w:space="0" w:color="auto"/>
        <w:right w:val="none" w:sz="0" w:space="0" w:color="auto"/>
      </w:divBdr>
    </w:div>
    <w:div w:id="38828197">
      <w:bodyDiv w:val="1"/>
      <w:marLeft w:val="0"/>
      <w:marRight w:val="0"/>
      <w:marTop w:val="0"/>
      <w:marBottom w:val="0"/>
      <w:divBdr>
        <w:top w:val="none" w:sz="0" w:space="0" w:color="auto"/>
        <w:left w:val="none" w:sz="0" w:space="0" w:color="auto"/>
        <w:bottom w:val="none" w:sz="0" w:space="0" w:color="auto"/>
        <w:right w:val="none" w:sz="0" w:space="0" w:color="auto"/>
      </w:divBdr>
    </w:div>
    <w:div w:id="44456155">
      <w:bodyDiv w:val="1"/>
      <w:marLeft w:val="0"/>
      <w:marRight w:val="0"/>
      <w:marTop w:val="0"/>
      <w:marBottom w:val="0"/>
      <w:divBdr>
        <w:top w:val="none" w:sz="0" w:space="0" w:color="auto"/>
        <w:left w:val="none" w:sz="0" w:space="0" w:color="auto"/>
        <w:bottom w:val="none" w:sz="0" w:space="0" w:color="auto"/>
        <w:right w:val="none" w:sz="0" w:space="0" w:color="auto"/>
      </w:divBdr>
    </w:div>
    <w:div w:id="46875119">
      <w:bodyDiv w:val="1"/>
      <w:marLeft w:val="0"/>
      <w:marRight w:val="0"/>
      <w:marTop w:val="0"/>
      <w:marBottom w:val="0"/>
      <w:divBdr>
        <w:top w:val="none" w:sz="0" w:space="0" w:color="auto"/>
        <w:left w:val="none" w:sz="0" w:space="0" w:color="auto"/>
        <w:bottom w:val="none" w:sz="0" w:space="0" w:color="auto"/>
        <w:right w:val="none" w:sz="0" w:space="0" w:color="auto"/>
      </w:divBdr>
    </w:div>
    <w:div w:id="58865725">
      <w:bodyDiv w:val="1"/>
      <w:marLeft w:val="0"/>
      <w:marRight w:val="0"/>
      <w:marTop w:val="0"/>
      <w:marBottom w:val="0"/>
      <w:divBdr>
        <w:top w:val="none" w:sz="0" w:space="0" w:color="auto"/>
        <w:left w:val="none" w:sz="0" w:space="0" w:color="auto"/>
        <w:bottom w:val="none" w:sz="0" w:space="0" w:color="auto"/>
        <w:right w:val="none" w:sz="0" w:space="0" w:color="auto"/>
      </w:divBdr>
    </w:div>
    <w:div w:id="64302818">
      <w:bodyDiv w:val="1"/>
      <w:marLeft w:val="0"/>
      <w:marRight w:val="0"/>
      <w:marTop w:val="0"/>
      <w:marBottom w:val="0"/>
      <w:divBdr>
        <w:top w:val="none" w:sz="0" w:space="0" w:color="auto"/>
        <w:left w:val="none" w:sz="0" w:space="0" w:color="auto"/>
        <w:bottom w:val="none" w:sz="0" w:space="0" w:color="auto"/>
        <w:right w:val="none" w:sz="0" w:space="0" w:color="auto"/>
      </w:divBdr>
    </w:div>
    <w:div w:id="69931140">
      <w:bodyDiv w:val="1"/>
      <w:marLeft w:val="0"/>
      <w:marRight w:val="0"/>
      <w:marTop w:val="0"/>
      <w:marBottom w:val="0"/>
      <w:divBdr>
        <w:top w:val="none" w:sz="0" w:space="0" w:color="auto"/>
        <w:left w:val="none" w:sz="0" w:space="0" w:color="auto"/>
        <w:bottom w:val="none" w:sz="0" w:space="0" w:color="auto"/>
        <w:right w:val="none" w:sz="0" w:space="0" w:color="auto"/>
      </w:divBdr>
    </w:div>
    <w:div w:id="70352585">
      <w:bodyDiv w:val="1"/>
      <w:marLeft w:val="0"/>
      <w:marRight w:val="0"/>
      <w:marTop w:val="0"/>
      <w:marBottom w:val="0"/>
      <w:divBdr>
        <w:top w:val="none" w:sz="0" w:space="0" w:color="auto"/>
        <w:left w:val="none" w:sz="0" w:space="0" w:color="auto"/>
        <w:bottom w:val="none" w:sz="0" w:space="0" w:color="auto"/>
        <w:right w:val="none" w:sz="0" w:space="0" w:color="auto"/>
      </w:divBdr>
    </w:div>
    <w:div w:id="71583419">
      <w:bodyDiv w:val="1"/>
      <w:marLeft w:val="0"/>
      <w:marRight w:val="0"/>
      <w:marTop w:val="0"/>
      <w:marBottom w:val="0"/>
      <w:divBdr>
        <w:top w:val="none" w:sz="0" w:space="0" w:color="auto"/>
        <w:left w:val="none" w:sz="0" w:space="0" w:color="auto"/>
        <w:bottom w:val="none" w:sz="0" w:space="0" w:color="auto"/>
        <w:right w:val="none" w:sz="0" w:space="0" w:color="auto"/>
      </w:divBdr>
    </w:div>
    <w:div w:id="80878650">
      <w:bodyDiv w:val="1"/>
      <w:marLeft w:val="0"/>
      <w:marRight w:val="0"/>
      <w:marTop w:val="0"/>
      <w:marBottom w:val="0"/>
      <w:divBdr>
        <w:top w:val="none" w:sz="0" w:space="0" w:color="auto"/>
        <w:left w:val="none" w:sz="0" w:space="0" w:color="auto"/>
        <w:bottom w:val="none" w:sz="0" w:space="0" w:color="auto"/>
        <w:right w:val="none" w:sz="0" w:space="0" w:color="auto"/>
      </w:divBdr>
    </w:div>
    <w:div w:id="89936045">
      <w:bodyDiv w:val="1"/>
      <w:marLeft w:val="0"/>
      <w:marRight w:val="0"/>
      <w:marTop w:val="0"/>
      <w:marBottom w:val="0"/>
      <w:divBdr>
        <w:top w:val="none" w:sz="0" w:space="0" w:color="auto"/>
        <w:left w:val="none" w:sz="0" w:space="0" w:color="auto"/>
        <w:bottom w:val="none" w:sz="0" w:space="0" w:color="auto"/>
        <w:right w:val="none" w:sz="0" w:space="0" w:color="auto"/>
      </w:divBdr>
    </w:div>
    <w:div w:id="96605133">
      <w:bodyDiv w:val="1"/>
      <w:marLeft w:val="0"/>
      <w:marRight w:val="0"/>
      <w:marTop w:val="0"/>
      <w:marBottom w:val="0"/>
      <w:divBdr>
        <w:top w:val="none" w:sz="0" w:space="0" w:color="auto"/>
        <w:left w:val="none" w:sz="0" w:space="0" w:color="auto"/>
        <w:bottom w:val="none" w:sz="0" w:space="0" w:color="auto"/>
        <w:right w:val="none" w:sz="0" w:space="0" w:color="auto"/>
      </w:divBdr>
    </w:div>
    <w:div w:id="104346594">
      <w:bodyDiv w:val="1"/>
      <w:marLeft w:val="0"/>
      <w:marRight w:val="0"/>
      <w:marTop w:val="0"/>
      <w:marBottom w:val="0"/>
      <w:divBdr>
        <w:top w:val="none" w:sz="0" w:space="0" w:color="auto"/>
        <w:left w:val="none" w:sz="0" w:space="0" w:color="auto"/>
        <w:bottom w:val="none" w:sz="0" w:space="0" w:color="auto"/>
        <w:right w:val="none" w:sz="0" w:space="0" w:color="auto"/>
      </w:divBdr>
    </w:div>
    <w:div w:id="113332858">
      <w:bodyDiv w:val="1"/>
      <w:marLeft w:val="0"/>
      <w:marRight w:val="0"/>
      <w:marTop w:val="0"/>
      <w:marBottom w:val="0"/>
      <w:divBdr>
        <w:top w:val="none" w:sz="0" w:space="0" w:color="auto"/>
        <w:left w:val="none" w:sz="0" w:space="0" w:color="auto"/>
        <w:bottom w:val="none" w:sz="0" w:space="0" w:color="auto"/>
        <w:right w:val="none" w:sz="0" w:space="0" w:color="auto"/>
      </w:divBdr>
    </w:div>
    <w:div w:id="114175996">
      <w:bodyDiv w:val="1"/>
      <w:marLeft w:val="0"/>
      <w:marRight w:val="0"/>
      <w:marTop w:val="0"/>
      <w:marBottom w:val="0"/>
      <w:divBdr>
        <w:top w:val="none" w:sz="0" w:space="0" w:color="auto"/>
        <w:left w:val="none" w:sz="0" w:space="0" w:color="auto"/>
        <w:bottom w:val="none" w:sz="0" w:space="0" w:color="auto"/>
        <w:right w:val="none" w:sz="0" w:space="0" w:color="auto"/>
      </w:divBdr>
    </w:div>
    <w:div w:id="114300909">
      <w:bodyDiv w:val="1"/>
      <w:marLeft w:val="0"/>
      <w:marRight w:val="0"/>
      <w:marTop w:val="0"/>
      <w:marBottom w:val="0"/>
      <w:divBdr>
        <w:top w:val="none" w:sz="0" w:space="0" w:color="auto"/>
        <w:left w:val="none" w:sz="0" w:space="0" w:color="auto"/>
        <w:bottom w:val="none" w:sz="0" w:space="0" w:color="auto"/>
        <w:right w:val="none" w:sz="0" w:space="0" w:color="auto"/>
      </w:divBdr>
    </w:div>
    <w:div w:id="115881095">
      <w:bodyDiv w:val="1"/>
      <w:marLeft w:val="0"/>
      <w:marRight w:val="0"/>
      <w:marTop w:val="0"/>
      <w:marBottom w:val="0"/>
      <w:divBdr>
        <w:top w:val="none" w:sz="0" w:space="0" w:color="auto"/>
        <w:left w:val="none" w:sz="0" w:space="0" w:color="auto"/>
        <w:bottom w:val="none" w:sz="0" w:space="0" w:color="auto"/>
        <w:right w:val="none" w:sz="0" w:space="0" w:color="auto"/>
      </w:divBdr>
    </w:div>
    <w:div w:id="121462312">
      <w:bodyDiv w:val="1"/>
      <w:marLeft w:val="0"/>
      <w:marRight w:val="0"/>
      <w:marTop w:val="0"/>
      <w:marBottom w:val="0"/>
      <w:divBdr>
        <w:top w:val="none" w:sz="0" w:space="0" w:color="auto"/>
        <w:left w:val="none" w:sz="0" w:space="0" w:color="auto"/>
        <w:bottom w:val="none" w:sz="0" w:space="0" w:color="auto"/>
        <w:right w:val="none" w:sz="0" w:space="0" w:color="auto"/>
      </w:divBdr>
    </w:div>
    <w:div w:id="121920928">
      <w:bodyDiv w:val="1"/>
      <w:marLeft w:val="0"/>
      <w:marRight w:val="0"/>
      <w:marTop w:val="0"/>
      <w:marBottom w:val="0"/>
      <w:divBdr>
        <w:top w:val="none" w:sz="0" w:space="0" w:color="auto"/>
        <w:left w:val="none" w:sz="0" w:space="0" w:color="auto"/>
        <w:bottom w:val="none" w:sz="0" w:space="0" w:color="auto"/>
        <w:right w:val="none" w:sz="0" w:space="0" w:color="auto"/>
      </w:divBdr>
    </w:div>
    <w:div w:id="124543907">
      <w:bodyDiv w:val="1"/>
      <w:marLeft w:val="0"/>
      <w:marRight w:val="0"/>
      <w:marTop w:val="0"/>
      <w:marBottom w:val="0"/>
      <w:divBdr>
        <w:top w:val="none" w:sz="0" w:space="0" w:color="auto"/>
        <w:left w:val="none" w:sz="0" w:space="0" w:color="auto"/>
        <w:bottom w:val="none" w:sz="0" w:space="0" w:color="auto"/>
        <w:right w:val="none" w:sz="0" w:space="0" w:color="auto"/>
      </w:divBdr>
    </w:div>
    <w:div w:id="125196712">
      <w:bodyDiv w:val="1"/>
      <w:marLeft w:val="0"/>
      <w:marRight w:val="0"/>
      <w:marTop w:val="0"/>
      <w:marBottom w:val="0"/>
      <w:divBdr>
        <w:top w:val="none" w:sz="0" w:space="0" w:color="auto"/>
        <w:left w:val="none" w:sz="0" w:space="0" w:color="auto"/>
        <w:bottom w:val="none" w:sz="0" w:space="0" w:color="auto"/>
        <w:right w:val="none" w:sz="0" w:space="0" w:color="auto"/>
      </w:divBdr>
    </w:div>
    <w:div w:id="136263685">
      <w:bodyDiv w:val="1"/>
      <w:marLeft w:val="0"/>
      <w:marRight w:val="0"/>
      <w:marTop w:val="0"/>
      <w:marBottom w:val="0"/>
      <w:divBdr>
        <w:top w:val="none" w:sz="0" w:space="0" w:color="auto"/>
        <w:left w:val="none" w:sz="0" w:space="0" w:color="auto"/>
        <w:bottom w:val="none" w:sz="0" w:space="0" w:color="auto"/>
        <w:right w:val="none" w:sz="0" w:space="0" w:color="auto"/>
      </w:divBdr>
    </w:div>
    <w:div w:id="136529260">
      <w:bodyDiv w:val="1"/>
      <w:marLeft w:val="0"/>
      <w:marRight w:val="0"/>
      <w:marTop w:val="0"/>
      <w:marBottom w:val="0"/>
      <w:divBdr>
        <w:top w:val="none" w:sz="0" w:space="0" w:color="auto"/>
        <w:left w:val="none" w:sz="0" w:space="0" w:color="auto"/>
        <w:bottom w:val="none" w:sz="0" w:space="0" w:color="auto"/>
        <w:right w:val="none" w:sz="0" w:space="0" w:color="auto"/>
      </w:divBdr>
    </w:div>
    <w:div w:id="136841810">
      <w:bodyDiv w:val="1"/>
      <w:marLeft w:val="0"/>
      <w:marRight w:val="0"/>
      <w:marTop w:val="0"/>
      <w:marBottom w:val="0"/>
      <w:divBdr>
        <w:top w:val="none" w:sz="0" w:space="0" w:color="auto"/>
        <w:left w:val="none" w:sz="0" w:space="0" w:color="auto"/>
        <w:bottom w:val="none" w:sz="0" w:space="0" w:color="auto"/>
        <w:right w:val="none" w:sz="0" w:space="0" w:color="auto"/>
      </w:divBdr>
    </w:div>
    <w:div w:id="142428678">
      <w:bodyDiv w:val="1"/>
      <w:marLeft w:val="0"/>
      <w:marRight w:val="0"/>
      <w:marTop w:val="0"/>
      <w:marBottom w:val="0"/>
      <w:divBdr>
        <w:top w:val="none" w:sz="0" w:space="0" w:color="auto"/>
        <w:left w:val="none" w:sz="0" w:space="0" w:color="auto"/>
        <w:bottom w:val="none" w:sz="0" w:space="0" w:color="auto"/>
        <w:right w:val="none" w:sz="0" w:space="0" w:color="auto"/>
      </w:divBdr>
    </w:div>
    <w:div w:id="144780709">
      <w:bodyDiv w:val="1"/>
      <w:marLeft w:val="0"/>
      <w:marRight w:val="0"/>
      <w:marTop w:val="0"/>
      <w:marBottom w:val="0"/>
      <w:divBdr>
        <w:top w:val="none" w:sz="0" w:space="0" w:color="auto"/>
        <w:left w:val="none" w:sz="0" w:space="0" w:color="auto"/>
        <w:bottom w:val="none" w:sz="0" w:space="0" w:color="auto"/>
        <w:right w:val="none" w:sz="0" w:space="0" w:color="auto"/>
      </w:divBdr>
    </w:div>
    <w:div w:id="145704942">
      <w:bodyDiv w:val="1"/>
      <w:marLeft w:val="0"/>
      <w:marRight w:val="0"/>
      <w:marTop w:val="0"/>
      <w:marBottom w:val="0"/>
      <w:divBdr>
        <w:top w:val="none" w:sz="0" w:space="0" w:color="auto"/>
        <w:left w:val="none" w:sz="0" w:space="0" w:color="auto"/>
        <w:bottom w:val="none" w:sz="0" w:space="0" w:color="auto"/>
        <w:right w:val="none" w:sz="0" w:space="0" w:color="auto"/>
      </w:divBdr>
    </w:div>
    <w:div w:id="147136097">
      <w:bodyDiv w:val="1"/>
      <w:marLeft w:val="0"/>
      <w:marRight w:val="0"/>
      <w:marTop w:val="0"/>
      <w:marBottom w:val="0"/>
      <w:divBdr>
        <w:top w:val="none" w:sz="0" w:space="0" w:color="auto"/>
        <w:left w:val="none" w:sz="0" w:space="0" w:color="auto"/>
        <w:bottom w:val="none" w:sz="0" w:space="0" w:color="auto"/>
        <w:right w:val="none" w:sz="0" w:space="0" w:color="auto"/>
      </w:divBdr>
    </w:div>
    <w:div w:id="149296275">
      <w:bodyDiv w:val="1"/>
      <w:marLeft w:val="0"/>
      <w:marRight w:val="0"/>
      <w:marTop w:val="0"/>
      <w:marBottom w:val="0"/>
      <w:divBdr>
        <w:top w:val="none" w:sz="0" w:space="0" w:color="auto"/>
        <w:left w:val="none" w:sz="0" w:space="0" w:color="auto"/>
        <w:bottom w:val="none" w:sz="0" w:space="0" w:color="auto"/>
        <w:right w:val="none" w:sz="0" w:space="0" w:color="auto"/>
      </w:divBdr>
    </w:div>
    <w:div w:id="150950711">
      <w:bodyDiv w:val="1"/>
      <w:marLeft w:val="0"/>
      <w:marRight w:val="0"/>
      <w:marTop w:val="0"/>
      <w:marBottom w:val="0"/>
      <w:divBdr>
        <w:top w:val="none" w:sz="0" w:space="0" w:color="auto"/>
        <w:left w:val="none" w:sz="0" w:space="0" w:color="auto"/>
        <w:bottom w:val="none" w:sz="0" w:space="0" w:color="auto"/>
        <w:right w:val="none" w:sz="0" w:space="0" w:color="auto"/>
      </w:divBdr>
    </w:div>
    <w:div w:id="159582095">
      <w:bodyDiv w:val="1"/>
      <w:marLeft w:val="0"/>
      <w:marRight w:val="0"/>
      <w:marTop w:val="0"/>
      <w:marBottom w:val="0"/>
      <w:divBdr>
        <w:top w:val="none" w:sz="0" w:space="0" w:color="auto"/>
        <w:left w:val="none" w:sz="0" w:space="0" w:color="auto"/>
        <w:bottom w:val="none" w:sz="0" w:space="0" w:color="auto"/>
        <w:right w:val="none" w:sz="0" w:space="0" w:color="auto"/>
      </w:divBdr>
    </w:div>
    <w:div w:id="167671533">
      <w:bodyDiv w:val="1"/>
      <w:marLeft w:val="0"/>
      <w:marRight w:val="0"/>
      <w:marTop w:val="0"/>
      <w:marBottom w:val="0"/>
      <w:divBdr>
        <w:top w:val="none" w:sz="0" w:space="0" w:color="auto"/>
        <w:left w:val="none" w:sz="0" w:space="0" w:color="auto"/>
        <w:bottom w:val="none" w:sz="0" w:space="0" w:color="auto"/>
        <w:right w:val="none" w:sz="0" w:space="0" w:color="auto"/>
      </w:divBdr>
    </w:div>
    <w:div w:id="168494598">
      <w:bodyDiv w:val="1"/>
      <w:marLeft w:val="0"/>
      <w:marRight w:val="0"/>
      <w:marTop w:val="0"/>
      <w:marBottom w:val="0"/>
      <w:divBdr>
        <w:top w:val="none" w:sz="0" w:space="0" w:color="auto"/>
        <w:left w:val="none" w:sz="0" w:space="0" w:color="auto"/>
        <w:bottom w:val="none" w:sz="0" w:space="0" w:color="auto"/>
        <w:right w:val="none" w:sz="0" w:space="0" w:color="auto"/>
      </w:divBdr>
    </w:div>
    <w:div w:id="168756376">
      <w:bodyDiv w:val="1"/>
      <w:marLeft w:val="0"/>
      <w:marRight w:val="0"/>
      <w:marTop w:val="0"/>
      <w:marBottom w:val="0"/>
      <w:divBdr>
        <w:top w:val="none" w:sz="0" w:space="0" w:color="auto"/>
        <w:left w:val="none" w:sz="0" w:space="0" w:color="auto"/>
        <w:bottom w:val="none" w:sz="0" w:space="0" w:color="auto"/>
        <w:right w:val="none" w:sz="0" w:space="0" w:color="auto"/>
      </w:divBdr>
    </w:div>
    <w:div w:id="175273318">
      <w:bodyDiv w:val="1"/>
      <w:marLeft w:val="0"/>
      <w:marRight w:val="0"/>
      <w:marTop w:val="0"/>
      <w:marBottom w:val="0"/>
      <w:divBdr>
        <w:top w:val="none" w:sz="0" w:space="0" w:color="auto"/>
        <w:left w:val="none" w:sz="0" w:space="0" w:color="auto"/>
        <w:bottom w:val="none" w:sz="0" w:space="0" w:color="auto"/>
        <w:right w:val="none" w:sz="0" w:space="0" w:color="auto"/>
      </w:divBdr>
    </w:div>
    <w:div w:id="177474602">
      <w:bodyDiv w:val="1"/>
      <w:marLeft w:val="0"/>
      <w:marRight w:val="0"/>
      <w:marTop w:val="0"/>
      <w:marBottom w:val="0"/>
      <w:divBdr>
        <w:top w:val="none" w:sz="0" w:space="0" w:color="auto"/>
        <w:left w:val="none" w:sz="0" w:space="0" w:color="auto"/>
        <w:bottom w:val="none" w:sz="0" w:space="0" w:color="auto"/>
        <w:right w:val="none" w:sz="0" w:space="0" w:color="auto"/>
      </w:divBdr>
    </w:div>
    <w:div w:id="180903641">
      <w:bodyDiv w:val="1"/>
      <w:marLeft w:val="0"/>
      <w:marRight w:val="0"/>
      <w:marTop w:val="0"/>
      <w:marBottom w:val="0"/>
      <w:divBdr>
        <w:top w:val="none" w:sz="0" w:space="0" w:color="auto"/>
        <w:left w:val="none" w:sz="0" w:space="0" w:color="auto"/>
        <w:bottom w:val="none" w:sz="0" w:space="0" w:color="auto"/>
        <w:right w:val="none" w:sz="0" w:space="0" w:color="auto"/>
      </w:divBdr>
    </w:div>
    <w:div w:id="180970265">
      <w:bodyDiv w:val="1"/>
      <w:marLeft w:val="0"/>
      <w:marRight w:val="0"/>
      <w:marTop w:val="0"/>
      <w:marBottom w:val="0"/>
      <w:divBdr>
        <w:top w:val="none" w:sz="0" w:space="0" w:color="auto"/>
        <w:left w:val="none" w:sz="0" w:space="0" w:color="auto"/>
        <w:bottom w:val="none" w:sz="0" w:space="0" w:color="auto"/>
        <w:right w:val="none" w:sz="0" w:space="0" w:color="auto"/>
      </w:divBdr>
    </w:div>
    <w:div w:id="183716494">
      <w:bodyDiv w:val="1"/>
      <w:marLeft w:val="0"/>
      <w:marRight w:val="0"/>
      <w:marTop w:val="0"/>
      <w:marBottom w:val="0"/>
      <w:divBdr>
        <w:top w:val="none" w:sz="0" w:space="0" w:color="auto"/>
        <w:left w:val="none" w:sz="0" w:space="0" w:color="auto"/>
        <w:bottom w:val="none" w:sz="0" w:space="0" w:color="auto"/>
        <w:right w:val="none" w:sz="0" w:space="0" w:color="auto"/>
      </w:divBdr>
    </w:div>
    <w:div w:id="184295535">
      <w:bodyDiv w:val="1"/>
      <w:marLeft w:val="0"/>
      <w:marRight w:val="0"/>
      <w:marTop w:val="0"/>
      <w:marBottom w:val="0"/>
      <w:divBdr>
        <w:top w:val="none" w:sz="0" w:space="0" w:color="auto"/>
        <w:left w:val="none" w:sz="0" w:space="0" w:color="auto"/>
        <w:bottom w:val="none" w:sz="0" w:space="0" w:color="auto"/>
        <w:right w:val="none" w:sz="0" w:space="0" w:color="auto"/>
      </w:divBdr>
    </w:div>
    <w:div w:id="185682548">
      <w:bodyDiv w:val="1"/>
      <w:marLeft w:val="0"/>
      <w:marRight w:val="0"/>
      <w:marTop w:val="0"/>
      <w:marBottom w:val="0"/>
      <w:divBdr>
        <w:top w:val="none" w:sz="0" w:space="0" w:color="auto"/>
        <w:left w:val="none" w:sz="0" w:space="0" w:color="auto"/>
        <w:bottom w:val="none" w:sz="0" w:space="0" w:color="auto"/>
        <w:right w:val="none" w:sz="0" w:space="0" w:color="auto"/>
      </w:divBdr>
    </w:div>
    <w:div w:id="190656501">
      <w:bodyDiv w:val="1"/>
      <w:marLeft w:val="0"/>
      <w:marRight w:val="0"/>
      <w:marTop w:val="0"/>
      <w:marBottom w:val="0"/>
      <w:divBdr>
        <w:top w:val="none" w:sz="0" w:space="0" w:color="auto"/>
        <w:left w:val="none" w:sz="0" w:space="0" w:color="auto"/>
        <w:bottom w:val="none" w:sz="0" w:space="0" w:color="auto"/>
        <w:right w:val="none" w:sz="0" w:space="0" w:color="auto"/>
      </w:divBdr>
    </w:div>
    <w:div w:id="192380676">
      <w:bodyDiv w:val="1"/>
      <w:marLeft w:val="0"/>
      <w:marRight w:val="0"/>
      <w:marTop w:val="0"/>
      <w:marBottom w:val="0"/>
      <w:divBdr>
        <w:top w:val="none" w:sz="0" w:space="0" w:color="auto"/>
        <w:left w:val="none" w:sz="0" w:space="0" w:color="auto"/>
        <w:bottom w:val="none" w:sz="0" w:space="0" w:color="auto"/>
        <w:right w:val="none" w:sz="0" w:space="0" w:color="auto"/>
      </w:divBdr>
    </w:div>
    <w:div w:id="193348715">
      <w:bodyDiv w:val="1"/>
      <w:marLeft w:val="0"/>
      <w:marRight w:val="0"/>
      <w:marTop w:val="0"/>
      <w:marBottom w:val="0"/>
      <w:divBdr>
        <w:top w:val="none" w:sz="0" w:space="0" w:color="auto"/>
        <w:left w:val="none" w:sz="0" w:space="0" w:color="auto"/>
        <w:bottom w:val="none" w:sz="0" w:space="0" w:color="auto"/>
        <w:right w:val="none" w:sz="0" w:space="0" w:color="auto"/>
      </w:divBdr>
    </w:div>
    <w:div w:id="194466957">
      <w:bodyDiv w:val="1"/>
      <w:marLeft w:val="0"/>
      <w:marRight w:val="0"/>
      <w:marTop w:val="0"/>
      <w:marBottom w:val="0"/>
      <w:divBdr>
        <w:top w:val="none" w:sz="0" w:space="0" w:color="auto"/>
        <w:left w:val="none" w:sz="0" w:space="0" w:color="auto"/>
        <w:bottom w:val="none" w:sz="0" w:space="0" w:color="auto"/>
        <w:right w:val="none" w:sz="0" w:space="0" w:color="auto"/>
      </w:divBdr>
    </w:div>
    <w:div w:id="196505778">
      <w:bodyDiv w:val="1"/>
      <w:marLeft w:val="0"/>
      <w:marRight w:val="0"/>
      <w:marTop w:val="0"/>
      <w:marBottom w:val="0"/>
      <w:divBdr>
        <w:top w:val="none" w:sz="0" w:space="0" w:color="auto"/>
        <w:left w:val="none" w:sz="0" w:space="0" w:color="auto"/>
        <w:bottom w:val="none" w:sz="0" w:space="0" w:color="auto"/>
        <w:right w:val="none" w:sz="0" w:space="0" w:color="auto"/>
      </w:divBdr>
    </w:div>
    <w:div w:id="197663796">
      <w:bodyDiv w:val="1"/>
      <w:marLeft w:val="0"/>
      <w:marRight w:val="0"/>
      <w:marTop w:val="0"/>
      <w:marBottom w:val="0"/>
      <w:divBdr>
        <w:top w:val="none" w:sz="0" w:space="0" w:color="auto"/>
        <w:left w:val="none" w:sz="0" w:space="0" w:color="auto"/>
        <w:bottom w:val="none" w:sz="0" w:space="0" w:color="auto"/>
        <w:right w:val="none" w:sz="0" w:space="0" w:color="auto"/>
      </w:divBdr>
    </w:div>
    <w:div w:id="202445641">
      <w:bodyDiv w:val="1"/>
      <w:marLeft w:val="0"/>
      <w:marRight w:val="0"/>
      <w:marTop w:val="0"/>
      <w:marBottom w:val="0"/>
      <w:divBdr>
        <w:top w:val="none" w:sz="0" w:space="0" w:color="auto"/>
        <w:left w:val="none" w:sz="0" w:space="0" w:color="auto"/>
        <w:bottom w:val="none" w:sz="0" w:space="0" w:color="auto"/>
        <w:right w:val="none" w:sz="0" w:space="0" w:color="auto"/>
      </w:divBdr>
    </w:div>
    <w:div w:id="203296290">
      <w:bodyDiv w:val="1"/>
      <w:marLeft w:val="0"/>
      <w:marRight w:val="0"/>
      <w:marTop w:val="0"/>
      <w:marBottom w:val="0"/>
      <w:divBdr>
        <w:top w:val="none" w:sz="0" w:space="0" w:color="auto"/>
        <w:left w:val="none" w:sz="0" w:space="0" w:color="auto"/>
        <w:bottom w:val="none" w:sz="0" w:space="0" w:color="auto"/>
        <w:right w:val="none" w:sz="0" w:space="0" w:color="auto"/>
      </w:divBdr>
    </w:div>
    <w:div w:id="203492659">
      <w:bodyDiv w:val="1"/>
      <w:marLeft w:val="0"/>
      <w:marRight w:val="0"/>
      <w:marTop w:val="0"/>
      <w:marBottom w:val="0"/>
      <w:divBdr>
        <w:top w:val="none" w:sz="0" w:space="0" w:color="auto"/>
        <w:left w:val="none" w:sz="0" w:space="0" w:color="auto"/>
        <w:bottom w:val="none" w:sz="0" w:space="0" w:color="auto"/>
        <w:right w:val="none" w:sz="0" w:space="0" w:color="auto"/>
      </w:divBdr>
    </w:div>
    <w:div w:id="207693153">
      <w:bodyDiv w:val="1"/>
      <w:marLeft w:val="0"/>
      <w:marRight w:val="0"/>
      <w:marTop w:val="0"/>
      <w:marBottom w:val="0"/>
      <w:divBdr>
        <w:top w:val="none" w:sz="0" w:space="0" w:color="auto"/>
        <w:left w:val="none" w:sz="0" w:space="0" w:color="auto"/>
        <w:bottom w:val="none" w:sz="0" w:space="0" w:color="auto"/>
        <w:right w:val="none" w:sz="0" w:space="0" w:color="auto"/>
      </w:divBdr>
    </w:div>
    <w:div w:id="207963038">
      <w:bodyDiv w:val="1"/>
      <w:marLeft w:val="0"/>
      <w:marRight w:val="0"/>
      <w:marTop w:val="0"/>
      <w:marBottom w:val="0"/>
      <w:divBdr>
        <w:top w:val="none" w:sz="0" w:space="0" w:color="auto"/>
        <w:left w:val="none" w:sz="0" w:space="0" w:color="auto"/>
        <w:bottom w:val="none" w:sz="0" w:space="0" w:color="auto"/>
        <w:right w:val="none" w:sz="0" w:space="0" w:color="auto"/>
      </w:divBdr>
    </w:div>
    <w:div w:id="213078008">
      <w:bodyDiv w:val="1"/>
      <w:marLeft w:val="0"/>
      <w:marRight w:val="0"/>
      <w:marTop w:val="0"/>
      <w:marBottom w:val="0"/>
      <w:divBdr>
        <w:top w:val="none" w:sz="0" w:space="0" w:color="auto"/>
        <w:left w:val="none" w:sz="0" w:space="0" w:color="auto"/>
        <w:bottom w:val="none" w:sz="0" w:space="0" w:color="auto"/>
        <w:right w:val="none" w:sz="0" w:space="0" w:color="auto"/>
      </w:divBdr>
    </w:div>
    <w:div w:id="213926352">
      <w:bodyDiv w:val="1"/>
      <w:marLeft w:val="0"/>
      <w:marRight w:val="0"/>
      <w:marTop w:val="0"/>
      <w:marBottom w:val="0"/>
      <w:divBdr>
        <w:top w:val="none" w:sz="0" w:space="0" w:color="auto"/>
        <w:left w:val="none" w:sz="0" w:space="0" w:color="auto"/>
        <w:bottom w:val="none" w:sz="0" w:space="0" w:color="auto"/>
        <w:right w:val="none" w:sz="0" w:space="0" w:color="auto"/>
      </w:divBdr>
    </w:div>
    <w:div w:id="224148527">
      <w:bodyDiv w:val="1"/>
      <w:marLeft w:val="0"/>
      <w:marRight w:val="0"/>
      <w:marTop w:val="0"/>
      <w:marBottom w:val="0"/>
      <w:divBdr>
        <w:top w:val="none" w:sz="0" w:space="0" w:color="auto"/>
        <w:left w:val="none" w:sz="0" w:space="0" w:color="auto"/>
        <w:bottom w:val="none" w:sz="0" w:space="0" w:color="auto"/>
        <w:right w:val="none" w:sz="0" w:space="0" w:color="auto"/>
      </w:divBdr>
    </w:div>
    <w:div w:id="225190034">
      <w:bodyDiv w:val="1"/>
      <w:marLeft w:val="0"/>
      <w:marRight w:val="0"/>
      <w:marTop w:val="0"/>
      <w:marBottom w:val="0"/>
      <w:divBdr>
        <w:top w:val="none" w:sz="0" w:space="0" w:color="auto"/>
        <w:left w:val="none" w:sz="0" w:space="0" w:color="auto"/>
        <w:bottom w:val="none" w:sz="0" w:space="0" w:color="auto"/>
        <w:right w:val="none" w:sz="0" w:space="0" w:color="auto"/>
      </w:divBdr>
    </w:div>
    <w:div w:id="226259120">
      <w:bodyDiv w:val="1"/>
      <w:marLeft w:val="0"/>
      <w:marRight w:val="0"/>
      <w:marTop w:val="0"/>
      <w:marBottom w:val="0"/>
      <w:divBdr>
        <w:top w:val="none" w:sz="0" w:space="0" w:color="auto"/>
        <w:left w:val="none" w:sz="0" w:space="0" w:color="auto"/>
        <w:bottom w:val="none" w:sz="0" w:space="0" w:color="auto"/>
        <w:right w:val="none" w:sz="0" w:space="0" w:color="auto"/>
      </w:divBdr>
    </w:div>
    <w:div w:id="229460488">
      <w:bodyDiv w:val="1"/>
      <w:marLeft w:val="0"/>
      <w:marRight w:val="0"/>
      <w:marTop w:val="0"/>
      <w:marBottom w:val="0"/>
      <w:divBdr>
        <w:top w:val="none" w:sz="0" w:space="0" w:color="auto"/>
        <w:left w:val="none" w:sz="0" w:space="0" w:color="auto"/>
        <w:bottom w:val="none" w:sz="0" w:space="0" w:color="auto"/>
        <w:right w:val="none" w:sz="0" w:space="0" w:color="auto"/>
      </w:divBdr>
    </w:div>
    <w:div w:id="229733959">
      <w:bodyDiv w:val="1"/>
      <w:marLeft w:val="0"/>
      <w:marRight w:val="0"/>
      <w:marTop w:val="0"/>
      <w:marBottom w:val="0"/>
      <w:divBdr>
        <w:top w:val="none" w:sz="0" w:space="0" w:color="auto"/>
        <w:left w:val="none" w:sz="0" w:space="0" w:color="auto"/>
        <w:bottom w:val="none" w:sz="0" w:space="0" w:color="auto"/>
        <w:right w:val="none" w:sz="0" w:space="0" w:color="auto"/>
      </w:divBdr>
    </w:div>
    <w:div w:id="233318490">
      <w:bodyDiv w:val="1"/>
      <w:marLeft w:val="0"/>
      <w:marRight w:val="0"/>
      <w:marTop w:val="0"/>
      <w:marBottom w:val="0"/>
      <w:divBdr>
        <w:top w:val="none" w:sz="0" w:space="0" w:color="auto"/>
        <w:left w:val="none" w:sz="0" w:space="0" w:color="auto"/>
        <w:bottom w:val="none" w:sz="0" w:space="0" w:color="auto"/>
        <w:right w:val="none" w:sz="0" w:space="0" w:color="auto"/>
      </w:divBdr>
    </w:div>
    <w:div w:id="238292318">
      <w:bodyDiv w:val="1"/>
      <w:marLeft w:val="0"/>
      <w:marRight w:val="0"/>
      <w:marTop w:val="0"/>
      <w:marBottom w:val="0"/>
      <w:divBdr>
        <w:top w:val="none" w:sz="0" w:space="0" w:color="auto"/>
        <w:left w:val="none" w:sz="0" w:space="0" w:color="auto"/>
        <w:bottom w:val="none" w:sz="0" w:space="0" w:color="auto"/>
        <w:right w:val="none" w:sz="0" w:space="0" w:color="auto"/>
      </w:divBdr>
    </w:div>
    <w:div w:id="241178765">
      <w:bodyDiv w:val="1"/>
      <w:marLeft w:val="0"/>
      <w:marRight w:val="0"/>
      <w:marTop w:val="0"/>
      <w:marBottom w:val="0"/>
      <w:divBdr>
        <w:top w:val="none" w:sz="0" w:space="0" w:color="auto"/>
        <w:left w:val="none" w:sz="0" w:space="0" w:color="auto"/>
        <w:bottom w:val="none" w:sz="0" w:space="0" w:color="auto"/>
        <w:right w:val="none" w:sz="0" w:space="0" w:color="auto"/>
      </w:divBdr>
    </w:div>
    <w:div w:id="243228313">
      <w:bodyDiv w:val="1"/>
      <w:marLeft w:val="0"/>
      <w:marRight w:val="0"/>
      <w:marTop w:val="0"/>
      <w:marBottom w:val="0"/>
      <w:divBdr>
        <w:top w:val="none" w:sz="0" w:space="0" w:color="auto"/>
        <w:left w:val="none" w:sz="0" w:space="0" w:color="auto"/>
        <w:bottom w:val="none" w:sz="0" w:space="0" w:color="auto"/>
        <w:right w:val="none" w:sz="0" w:space="0" w:color="auto"/>
      </w:divBdr>
    </w:div>
    <w:div w:id="244607040">
      <w:bodyDiv w:val="1"/>
      <w:marLeft w:val="0"/>
      <w:marRight w:val="0"/>
      <w:marTop w:val="0"/>
      <w:marBottom w:val="0"/>
      <w:divBdr>
        <w:top w:val="none" w:sz="0" w:space="0" w:color="auto"/>
        <w:left w:val="none" w:sz="0" w:space="0" w:color="auto"/>
        <w:bottom w:val="none" w:sz="0" w:space="0" w:color="auto"/>
        <w:right w:val="none" w:sz="0" w:space="0" w:color="auto"/>
      </w:divBdr>
    </w:div>
    <w:div w:id="255067058">
      <w:bodyDiv w:val="1"/>
      <w:marLeft w:val="0"/>
      <w:marRight w:val="0"/>
      <w:marTop w:val="0"/>
      <w:marBottom w:val="0"/>
      <w:divBdr>
        <w:top w:val="none" w:sz="0" w:space="0" w:color="auto"/>
        <w:left w:val="none" w:sz="0" w:space="0" w:color="auto"/>
        <w:bottom w:val="none" w:sz="0" w:space="0" w:color="auto"/>
        <w:right w:val="none" w:sz="0" w:space="0" w:color="auto"/>
      </w:divBdr>
    </w:div>
    <w:div w:id="261180965">
      <w:bodyDiv w:val="1"/>
      <w:marLeft w:val="0"/>
      <w:marRight w:val="0"/>
      <w:marTop w:val="0"/>
      <w:marBottom w:val="0"/>
      <w:divBdr>
        <w:top w:val="none" w:sz="0" w:space="0" w:color="auto"/>
        <w:left w:val="none" w:sz="0" w:space="0" w:color="auto"/>
        <w:bottom w:val="none" w:sz="0" w:space="0" w:color="auto"/>
        <w:right w:val="none" w:sz="0" w:space="0" w:color="auto"/>
      </w:divBdr>
    </w:div>
    <w:div w:id="261646394">
      <w:bodyDiv w:val="1"/>
      <w:marLeft w:val="0"/>
      <w:marRight w:val="0"/>
      <w:marTop w:val="0"/>
      <w:marBottom w:val="0"/>
      <w:divBdr>
        <w:top w:val="none" w:sz="0" w:space="0" w:color="auto"/>
        <w:left w:val="none" w:sz="0" w:space="0" w:color="auto"/>
        <w:bottom w:val="none" w:sz="0" w:space="0" w:color="auto"/>
        <w:right w:val="none" w:sz="0" w:space="0" w:color="auto"/>
      </w:divBdr>
    </w:div>
    <w:div w:id="266618418">
      <w:bodyDiv w:val="1"/>
      <w:marLeft w:val="0"/>
      <w:marRight w:val="0"/>
      <w:marTop w:val="0"/>
      <w:marBottom w:val="0"/>
      <w:divBdr>
        <w:top w:val="none" w:sz="0" w:space="0" w:color="auto"/>
        <w:left w:val="none" w:sz="0" w:space="0" w:color="auto"/>
        <w:bottom w:val="none" w:sz="0" w:space="0" w:color="auto"/>
        <w:right w:val="none" w:sz="0" w:space="0" w:color="auto"/>
      </w:divBdr>
    </w:div>
    <w:div w:id="270236847">
      <w:bodyDiv w:val="1"/>
      <w:marLeft w:val="0"/>
      <w:marRight w:val="0"/>
      <w:marTop w:val="0"/>
      <w:marBottom w:val="0"/>
      <w:divBdr>
        <w:top w:val="none" w:sz="0" w:space="0" w:color="auto"/>
        <w:left w:val="none" w:sz="0" w:space="0" w:color="auto"/>
        <w:bottom w:val="none" w:sz="0" w:space="0" w:color="auto"/>
        <w:right w:val="none" w:sz="0" w:space="0" w:color="auto"/>
      </w:divBdr>
    </w:div>
    <w:div w:id="274286578">
      <w:bodyDiv w:val="1"/>
      <w:marLeft w:val="0"/>
      <w:marRight w:val="0"/>
      <w:marTop w:val="0"/>
      <w:marBottom w:val="0"/>
      <w:divBdr>
        <w:top w:val="none" w:sz="0" w:space="0" w:color="auto"/>
        <w:left w:val="none" w:sz="0" w:space="0" w:color="auto"/>
        <w:bottom w:val="none" w:sz="0" w:space="0" w:color="auto"/>
        <w:right w:val="none" w:sz="0" w:space="0" w:color="auto"/>
      </w:divBdr>
    </w:div>
    <w:div w:id="275403518">
      <w:bodyDiv w:val="1"/>
      <w:marLeft w:val="0"/>
      <w:marRight w:val="0"/>
      <w:marTop w:val="0"/>
      <w:marBottom w:val="0"/>
      <w:divBdr>
        <w:top w:val="none" w:sz="0" w:space="0" w:color="auto"/>
        <w:left w:val="none" w:sz="0" w:space="0" w:color="auto"/>
        <w:bottom w:val="none" w:sz="0" w:space="0" w:color="auto"/>
        <w:right w:val="none" w:sz="0" w:space="0" w:color="auto"/>
      </w:divBdr>
    </w:div>
    <w:div w:id="276910750">
      <w:bodyDiv w:val="1"/>
      <w:marLeft w:val="0"/>
      <w:marRight w:val="0"/>
      <w:marTop w:val="0"/>
      <w:marBottom w:val="0"/>
      <w:divBdr>
        <w:top w:val="none" w:sz="0" w:space="0" w:color="auto"/>
        <w:left w:val="none" w:sz="0" w:space="0" w:color="auto"/>
        <w:bottom w:val="none" w:sz="0" w:space="0" w:color="auto"/>
        <w:right w:val="none" w:sz="0" w:space="0" w:color="auto"/>
      </w:divBdr>
    </w:div>
    <w:div w:id="277571933">
      <w:bodyDiv w:val="1"/>
      <w:marLeft w:val="0"/>
      <w:marRight w:val="0"/>
      <w:marTop w:val="0"/>
      <w:marBottom w:val="0"/>
      <w:divBdr>
        <w:top w:val="none" w:sz="0" w:space="0" w:color="auto"/>
        <w:left w:val="none" w:sz="0" w:space="0" w:color="auto"/>
        <w:bottom w:val="none" w:sz="0" w:space="0" w:color="auto"/>
        <w:right w:val="none" w:sz="0" w:space="0" w:color="auto"/>
      </w:divBdr>
    </w:div>
    <w:div w:id="286199680">
      <w:bodyDiv w:val="1"/>
      <w:marLeft w:val="0"/>
      <w:marRight w:val="0"/>
      <w:marTop w:val="0"/>
      <w:marBottom w:val="0"/>
      <w:divBdr>
        <w:top w:val="none" w:sz="0" w:space="0" w:color="auto"/>
        <w:left w:val="none" w:sz="0" w:space="0" w:color="auto"/>
        <w:bottom w:val="none" w:sz="0" w:space="0" w:color="auto"/>
        <w:right w:val="none" w:sz="0" w:space="0" w:color="auto"/>
      </w:divBdr>
    </w:div>
    <w:div w:id="287513986">
      <w:bodyDiv w:val="1"/>
      <w:marLeft w:val="0"/>
      <w:marRight w:val="0"/>
      <w:marTop w:val="0"/>
      <w:marBottom w:val="0"/>
      <w:divBdr>
        <w:top w:val="none" w:sz="0" w:space="0" w:color="auto"/>
        <w:left w:val="none" w:sz="0" w:space="0" w:color="auto"/>
        <w:bottom w:val="none" w:sz="0" w:space="0" w:color="auto"/>
        <w:right w:val="none" w:sz="0" w:space="0" w:color="auto"/>
      </w:divBdr>
    </w:div>
    <w:div w:id="299725155">
      <w:bodyDiv w:val="1"/>
      <w:marLeft w:val="0"/>
      <w:marRight w:val="0"/>
      <w:marTop w:val="0"/>
      <w:marBottom w:val="0"/>
      <w:divBdr>
        <w:top w:val="none" w:sz="0" w:space="0" w:color="auto"/>
        <w:left w:val="none" w:sz="0" w:space="0" w:color="auto"/>
        <w:bottom w:val="none" w:sz="0" w:space="0" w:color="auto"/>
        <w:right w:val="none" w:sz="0" w:space="0" w:color="auto"/>
      </w:divBdr>
    </w:div>
    <w:div w:id="309095406">
      <w:bodyDiv w:val="1"/>
      <w:marLeft w:val="0"/>
      <w:marRight w:val="0"/>
      <w:marTop w:val="0"/>
      <w:marBottom w:val="0"/>
      <w:divBdr>
        <w:top w:val="none" w:sz="0" w:space="0" w:color="auto"/>
        <w:left w:val="none" w:sz="0" w:space="0" w:color="auto"/>
        <w:bottom w:val="none" w:sz="0" w:space="0" w:color="auto"/>
        <w:right w:val="none" w:sz="0" w:space="0" w:color="auto"/>
      </w:divBdr>
    </w:div>
    <w:div w:id="310528443">
      <w:bodyDiv w:val="1"/>
      <w:marLeft w:val="0"/>
      <w:marRight w:val="0"/>
      <w:marTop w:val="0"/>
      <w:marBottom w:val="0"/>
      <w:divBdr>
        <w:top w:val="none" w:sz="0" w:space="0" w:color="auto"/>
        <w:left w:val="none" w:sz="0" w:space="0" w:color="auto"/>
        <w:bottom w:val="none" w:sz="0" w:space="0" w:color="auto"/>
        <w:right w:val="none" w:sz="0" w:space="0" w:color="auto"/>
      </w:divBdr>
    </w:div>
    <w:div w:id="314191510">
      <w:bodyDiv w:val="1"/>
      <w:marLeft w:val="0"/>
      <w:marRight w:val="0"/>
      <w:marTop w:val="0"/>
      <w:marBottom w:val="0"/>
      <w:divBdr>
        <w:top w:val="none" w:sz="0" w:space="0" w:color="auto"/>
        <w:left w:val="none" w:sz="0" w:space="0" w:color="auto"/>
        <w:bottom w:val="none" w:sz="0" w:space="0" w:color="auto"/>
        <w:right w:val="none" w:sz="0" w:space="0" w:color="auto"/>
      </w:divBdr>
    </w:div>
    <w:div w:id="315957557">
      <w:bodyDiv w:val="1"/>
      <w:marLeft w:val="0"/>
      <w:marRight w:val="0"/>
      <w:marTop w:val="0"/>
      <w:marBottom w:val="0"/>
      <w:divBdr>
        <w:top w:val="none" w:sz="0" w:space="0" w:color="auto"/>
        <w:left w:val="none" w:sz="0" w:space="0" w:color="auto"/>
        <w:bottom w:val="none" w:sz="0" w:space="0" w:color="auto"/>
        <w:right w:val="none" w:sz="0" w:space="0" w:color="auto"/>
      </w:divBdr>
    </w:div>
    <w:div w:id="325785181">
      <w:bodyDiv w:val="1"/>
      <w:marLeft w:val="0"/>
      <w:marRight w:val="0"/>
      <w:marTop w:val="0"/>
      <w:marBottom w:val="0"/>
      <w:divBdr>
        <w:top w:val="none" w:sz="0" w:space="0" w:color="auto"/>
        <w:left w:val="none" w:sz="0" w:space="0" w:color="auto"/>
        <w:bottom w:val="none" w:sz="0" w:space="0" w:color="auto"/>
        <w:right w:val="none" w:sz="0" w:space="0" w:color="auto"/>
      </w:divBdr>
    </w:div>
    <w:div w:id="325911212">
      <w:bodyDiv w:val="1"/>
      <w:marLeft w:val="0"/>
      <w:marRight w:val="0"/>
      <w:marTop w:val="0"/>
      <w:marBottom w:val="0"/>
      <w:divBdr>
        <w:top w:val="none" w:sz="0" w:space="0" w:color="auto"/>
        <w:left w:val="none" w:sz="0" w:space="0" w:color="auto"/>
        <w:bottom w:val="none" w:sz="0" w:space="0" w:color="auto"/>
        <w:right w:val="none" w:sz="0" w:space="0" w:color="auto"/>
      </w:divBdr>
    </w:div>
    <w:div w:id="327489114">
      <w:bodyDiv w:val="1"/>
      <w:marLeft w:val="0"/>
      <w:marRight w:val="0"/>
      <w:marTop w:val="0"/>
      <w:marBottom w:val="0"/>
      <w:divBdr>
        <w:top w:val="none" w:sz="0" w:space="0" w:color="auto"/>
        <w:left w:val="none" w:sz="0" w:space="0" w:color="auto"/>
        <w:bottom w:val="none" w:sz="0" w:space="0" w:color="auto"/>
        <w:right w:val="none" w:sz="0" w:space="0" w:color="auto"/>
      </w:divBdr>
    </w:div>
    <w:div w:id="330107323">
      <w:bodyDiv w:val="1"/>
      <w:marLeft w:val="0"/>
      <w:marRight w:val="0"/>
      <w:marTop w:val="0"/>
      <w:marBottom w:val="0"/>
      <w:divBdr>
        <w:top w:val="none" w:sz="0" w:space="0" w:color="auto"/>
        <w:left w:val="none" w:sz="0" w:space="0" w:color="auto"/>
        <w:bottom w:val="none" w:sz="0" w:space="0" w:color="auto"/>
        <w:right w:val="none" w:sz="0" w:space="0" w:color="auto"/>
      </w:divBdr>
    </w:div>
    <w:div w:id="339740351">
      <w:bodyDiv w:val="1"/>
      <w:marLeft w:val="0"/>
      <w:marRight w:val="0"/>
      <w:marTop w:val="0"/>
      <w:marBottom w:val="0"/>
      <w:divBdr>
        <w:top w:val="none" w:sz="0" w:space="0" w:color="auto"/>
        <w:left w:val="none" w:sz="0" w:space="0" w:color="auto"/>
        <w:bottom w:val="none" w:sz="0" w:space="0" w:color="auto"/>
        <w:right w:val="none" w:sz="0" w:space="0" w:color="auto"/>
      </w:divBdr>
    </w:div>
    <w:div w:id="340207942">
      <w:bodyDiv w:val="1"/>
      <w:marLeft w:val="0"/>
      <w:marRight w:val="0"/>
      <w:marTop w:val="0"/>
      <w:marBottom w:val="0"/>
      <w:divBdr>
        <w:top w:val="none" w:sz="0" w:space="0" w:color="auto"/>
        <w:left w:val="none" w:sz="0" w:space="0" w:color="auto"/>
        <w:bottom w:val="none" w:sz="0" w:space="0" w:color="auto"/>
        <w:right w:val="none" w:sz="0" w:space="0" w:color="auto"/>
      </w:divBdr>
    </w:div>
    <w:div w:id="345908500">
      <w:bodyDiv w:val="1"/>
      <w:marLeft w:val="0"/>
      <w:marRight w:val="0"/>
      <w:marTop w:val="0"/>
      <w:marBottom w:val="0"/>
      <w:divBdr>
        <w:top w:val="none" w:sz="0" w:space="0" w:color="auto"/>
        <w:left w:val="none" w:sz="0" w:space="0" w:color="auto"/>
        <w:bottom w:val="none" w:sz="0" w:space="0" w:color="auto"/>
        <w:right w:val="none" w:sz="0" w:space="0" w:color="auto"/>
      </w:divBdr>
    </w:div>
    <w:div w:id="348219722">
      <w:bodyDiv w:val="1"/>
      <w:marLeft w:val="0"/>
      <w:marRight w:val="0"/>
      <w:marTop w:val="0"/>
      <w:marBottom w:val="0"/>
      <w:divBdr>
        <w:top w:val="none" w:sz="0" w:space="0" w:color="auto"/>
        <w:left w:val="none" w:sz="0" w:space="0" w:color="auto"/>
        <w:bottom w:val="none" w:sz="0" w:space="0" w:color="auto"/>
        <w:right w:val="none" w:sz="0" w:space="0" w:color="auto"/>
      </w:divBdr>
    </w:div>
    <w:div w:id="349838804">
      <w:bodyDiv w:val="1"/>
      <w:marLeft w:val="0"/>
      <w:marRight w:val="0"/>
      <w:marTop w:val="0"/>
      <w:marBottom w:val="0"/>
      <w:divBdr>
        <w:top w:val="none" w:sz="0" w:space="0" w:color="auto"/>
        <w:left w:val="none" w:sz="0" w:space="0" w:color="auto"/>
        <w:bottom w:val="none" w:sz="0" w:space="0" w:color="auto"/>
        <w:right w:val="none" w:sz="0" w:space="0" w:color="auto"/>
      </w:divBdr>
    </w:div>
    <w:div w:id="350688615">
      <w:bodyDiv w:val="1"/>
      <w:marLeft w:val="0"/>
      <w:marRight w:val="0"/>
      <w:marTop w:val="0"/>
      <w:marBottom w:val="0"/>
      <w:divBdr>
        <w:top w:val="none" w:sz="0" w:space="0" w:color="auto"/>
        <w:left w:val="none" w:sz="0" w:space="0" w:color="auto"/>
        <w:bottom w:val="none" w:sz="0" w:space="0" w:color="auto"/>
        <w:right w:val="none" w:sz="0" w:space="0" w:color="auto"/>
      </w:divBdr>
    </w:div>
    <w:div w:id="353073923">
      <w:bodyDiv w:val="1"/>
      <w:marLeft w:val="0"/>
      <w:marRight w:val="0"/>
      <w:marTop w:val="0"/>
      <w:marBottom w:val="0"/>
      <w:divBdr>
        <w:top w:val="none" w:sz="0" w:space="0" w:color="auto"/>
        <w:left w:val="none" w:sz="0" w:space="0" w:color="auto"/>
        <w:bottom w:val="none" w:sz="0" w:space="0" w:color="auto"/>
        <w:right w:val="none" w:sz="0" w:space="0" w:color="auto"/>
      </w:divBdr>
    </w:div>
    <w:div w:id="353581391">
      <w:bodyDiv w:val="1"/>
      <w:marLeft w:val="0"/>
      <w:marRight w:val="0"/>
      <w:marTop w:val="0"/>
      <w:marBottom w:val="0"/>
      <w:divBdr>
        <w:top w:val="none" w:sz="0" w:space="0" w:color="auto"/>
        <w:left w:val="none" w:sz="0" w:space="0" w:color="auto"/>
        <w:bottom w:val="none" w:sz="0" w:space="0" w:color="auto"/>
        <w:right w:val="none" w:sz="0" w:space="0" w:color="auto"/>
      </w:divBdr>
    </w:div>
    <w:div w:id="360857263">
      <w:bodyDiv w:val="1"/>
      <w:marLeft w:val="0"/>
      <w:marRight w:val="0"/>
      <w:marTop w:val="0"/>
      <w:marBottom w:val="0"/>
      <w:divBdr>
        <w:top w:val="none" w:sz="0" w:space="0" w:color="auto"/>
        <w:left w:val="none" w:sz="0" w:space="0" w:color="auto"/>
        <w:bottom w:val="none" w:sz="0" w:space="0" w:color="auto"/>
        <w:right w:val="none" w:sz="0" w:space="0" w:color="auto"/>
      </w:divBdr>
    </w:div>
    <w:div w:id="362943770">
      <w:bodyDiv w:val="1"/>
      <w:marLeft w:val="0"/>
      <w:marRight w:val="0"/>
      <w:marTop w:val="0"/>
      <w:marBottom w:val="0"/>
      <w:divBdr>
        <w:top w:val="none" w:sz="0" w:space="0" w:color="auto"/>
        <w:left w:val="none" w:sz="0" w:space="0" w:color="auto"/>
        <w:bottom w:val="none" w:sz="0" w:space="0" w:color="auto"/>
        <w:right w:val="none" w:sz="0" w:space="0" w:color="auto"/>
      </w:divBdr>
    </w:div>
    <w:div w:id="365256611">
      <w:bodyDiv w:val="1"/>
      <w:marLeft w:val="0"/>
      <w:marRight w:val="0"/>
      <w:marTop w:val="0"/>
      <w:marBottom w:val="0"/>
      <w:divBdr>
        <w:top w:val="none" w:sz="0" w:space="0" w:color="auto"/>
        <w:left w:val="none" w:sz="0" w:space="0" w:color="auto"/>
        <w:bottom w:val="none" w:sz="0" w:space="0" w:color="auto"/>
        <w:right w:val="none" w:sz="0" w:space="0" w:color="auto"/>
      </w:divBdr>
    </w:div>
    <w:div w:id="371347292">
      <w:bodyDiv w:val="1"/>
      <w:marLeft w:val="0"/>
      <w:marRight w:val="0"/>
      <w:marTop w:val="0"/>
      <w:marBottom w:val="0"/>
      <w:divBdr>
        <w:top w:val="none" w:sz="0" w:space="0" w:color="auto"/>
        <w:left w:val="none" w:sz="0" w:space="0" w:color="auto"/>
        <w:bottom w:val="none" w:sz="0" w:space="0" w:color="auto"/>
        <w:right w:val="none" w:sz="0" w:space="0" w:color="auto"/>
      </w:divBdr>
    </w:div>
    <w:div w:id="380055084">
      <w:bodyDiv w:val="1"/>
      <w:marLeft w:val="0"/>
      <w:marRight w:val="0"/>
      <w:marTop w:val="0"/>
      <w:marBottom w:val="0"/>
      <w:divBdr>
        <w:top w:val="none" w:sz="0" w:space="0" w:color="auto"/>
        <w:left w:val="none" w:sz="0" w:space="0" w:color="auto"/>
        <w:bottom w:val="none" w:sz="0" w:space="0" w:color="auto"/>
        <w:right w:val="none" w:sz="0" w:space="0" w:color="auto"/>
      </w:divBdr>
    </w:div>
    <w:div w:id="380862100">
      <w:bodyDiv w:val="1"/>
      <w:marLeft w:val="0"/>
      <w:marRight w:val="0"/>
      <w:marTop w:val="0"/>
      <w:marBottom w:val="0"/>
      <w:divBdr>
        <w:top w:val="none" w:sz="0" w:space="0" w:color="auto"/>
        <w:left w:val="none" w:sz="0" w:space="0" w:color="auto"/>
        <w:bottom w:val="none" w:sz="0" w:space="0" w:color="auto"/>
        <w:right w:val="none" w:sz="0" w:space="0" w:color="auto"/>
      </w:divBdr>
    </w:div>
    <w:div w:id="381517127">
      <w:bodyDiv w:val="1"/>
      <w:marLeft w:val="0"/>
      <w:marRight w:val="0"/>
      <w:marTop w:val="0"/>
      <w:marBottom w:val="0"/>
      <w:divBdr>
        <w:top w:val="none" w:sz="0" w:space="0" w:color="auto"/>
        <w:left w:val="none" w:sz="0" w:space="0" w:color="auto"/>
        <w:bottom w:val="none" w:sz="0" w:space="0" w:color="auto"/>
        <w:right w:val="none" w:sz="0" w:space="0" w:color="auto"/>
      </w:divBdr>
    </w:div>
    <w:div w:id="381944096">
      <w:bodyDiv w:val="1"/>
      <w:marLeft w:val="0"/>
      <w:marRight w:val="0"/>
      <w:marTop w:val="0"/>
      <w:marBottom w:val="0"/>
      <w:divBdr>
        <w:top w:val="none" w:sz="0" w:space="0" w:color="auto"/>
        <w:left w:val="none" w:sz="0" w:space="0" w:color="auto"/>
        <w:bottom w:val="none" w:sz="0" w:space="0" w:color="auto"/>
        <w:right w:val="none" w:sz="0" w:space="0" w:color="auto"/>
      </w:divBdr>
    </w:div>
    <w:div w:id="384181651">
      <w:bodyDiv w:val="1"/>
      <w:marLeft w:val="0"/>
      <w:marRight w:val="0"/>
      <w:marTop w:val="0"/>
      <w:marBottom w:val="0"/>
      <w:divBdr>
        <w:top w:val="none" w:sz="0" w:space="0" w:color="auto"/>
        <w:left w:val="none" w:sz="0" w:space="0" w:color="auto"/>
        <w:bottom w:val="none" w:sz="0" w:space="0" w:color="auto"/>
        <w:right w:val="none" w:sz="0" w:space="0" w:color="auto"/>
      </w:divBdr>
    </w:div>
    <w:div w:id="394474880">
      <w:bodyDiv w:val="1"/>
      <w:marLeft w:val="0"/>
      <w:marRight w:val="0"/>
      <w:marTop w:val="0"/>
      <w:marBottom w:val="0"/>
      <w:divBdr>
        <w:top w:val="none" w:sz="0" w:space="0" w:color="auto"/>
        <w:left w:val="none" w:sz="0" w:space="0" w:color="auto"/>
        <w:bottom w:val="none" w:sz="0" w:space="0" w:color="auto"/>
        <w:right w:val="none" w:sz="0" w:space="0" w:color="auto"/>
      </w:divBdr>
    </w:div>
    <w:div w:id="394668690">
      <w:bodyDiv w:val="1"/>
      <w:marLeft w:val="0"/>
      <w:marRight w:val="0"/>
      <w:marTop w:val="0"/>
      <w:marBottom w:val="0"/>
      <w:divBdr>
        <w:top w:val="none" w:sz="0" w:space="0" w:color="auto"/>
        <w:left w:val="none" w:sz="0" w:space="0" w:color="auto"/>
        <w:bottom w:val="none" w:sz="0" w:space="0" w:color="auto"/>
        <w:right w:val="none" w:sz="0" w:space="0" w:color="auto"/>
      </w:divBdr>
    </w:div>
    <w:div w:id="397636061">
      <w:bodyDiv w:val="1"/>
      <w:marLeft w:val="0"/>
      <w:marRight w:val="0"/>
      <w:marTop w:val="0"/>
      <w:marBottom w:val="0"/>
      <w:divBdr>
        <w:top w:val="none" w:sz="0" w:space="0" w:color="auto"/>
        <w:left w:val="none" w:sz="0" w:space="0" w:color="auto"/>
        <w:bottom w:val="none" w:sz="0" w:space="0" w:color="auto"/>
        <w:right w:val="none" w:sz="0" w:space="0" w:color="auto"/>
      </w:divBdr>
    </w:div>
    <w:div w:id="405149717">
      <w:bodyDiv w:val="1"/>
      <w:marLeft w:val="0"/>
      <w:marRight w:val="0"/>
      <w:marTop w:val="0"/>
      <w:marBottom w:val="0"/>
      <w:divBdr>
        <w:top w:val="none" w:sz="0" w:space="0" w:color="auto"/>
        <w:left w:val="none" w:sz="0" w:space="0" w:color="auto"/>
        <w:bottom w:val="none" w:sz="0" w:space="0" w:color="auto"/>
        <w:right w:val="none" w:sz="0" w:space="0" w:color="auto"/>
      </w:divBdr>
    </w:div>
    <w:div w:id="419496092">
      <w:bodyDiv w:val="1"/>
      <w:marLeft w:val="0"/>
      <w:marRight w:val="0"/>
      <w:marTop w:val="0"/>
      <w:marBottom w:val="0"/>
      <w:divBdr>
        <w:top w:val="none" w:sz="0" w:space="0" w:color="auto"/>
        <w:left w:val="none" w:sz="0" w:space="0" w:color="auto"/>
        <w:bottom w:val="none" w:sz="0" w:space="0" w:color="auto"/>
        <w:right w:val="none" w:sz="0" w:space="0" w:color="auto"/>
      </w:divBdr>
    </w:div>
    <w:div w:id="419641872">
      <w:bodyDiv w:val="1"/>
      <w:marLeft w:val="0"/>
      <w:marRight w:val="0"/>
      <w:marTop w:val="0"/>
      <w:marBottom w:val="0"/>
      <w:divBdr>
        <w:top w:val="none" w:sz="0" w:space="0" w:color="auto"/>
        <w:left w:val="none" w:sz="0" w:space="0" w:color="auto"/>
        <w:bottom w:val="none" w:sz="0" w:space="0" w:color="auto"/>
        <w:right w:val="none" w:sz="0" w:space="0" w:color="auto"/>
      </w:divBdr>
    </w:div>
    <w:div w:id="420838838">
      <w:bodyDiv w:val="1"/>
      <w:marLeft w:val="0"/>
      <w:marRight w:val="0"/>
      <w:marTop w:val="0"/>
      <w:marBottom w:val="0"/>
      <w:divBdr>
        <w:top w:val="none" w:sz="0" w:space="0" w:color="auto"/>
        <w:left w:val="none" w:sz="0" w:space="0" w:color="auto"/>
        <w:bottom w:val="none" w:sz="0" w:space="0" w:color="auto"/>
        <w:right w:val="none" w:sz="0" w:space="0" w:color="auto"/>
      </w:divBdr>
    </w:div>
    <w:div w:id="422261837">
      <w:bodyDiv w:val="1"/>
      <w:marLeft w:val="0"/>
      <w:marRight w:val="0"/>
      <w:marTop w:val="0"/>
      <w:marBottom w:val="0"/>
      <w:divBdr>
        <w:top w:val="none" w:sz="0" w:space="0" w:color="auto"/>
        <w:left w:val="none" w:sz="0" w:space="0" w:color="auto"/>
        <w:bottom w:val="none" w:sz="0" w:space="0" w:color="auto"/>
        <w:right w:val="none" w:sz="0" w:space="0" w:color="auto"/>
      </w:divBdr>
    </w:div>
    <w:div w:id="426847117">
      <w:bodyDiv w:val="1"/>
      <w:marLeft w:val="0"/>
      <w:marRight w:val="0"/>
      <w:marTop w:val="0"/>
      <w:marBottom w:val="0"/>
      <w:divBdr>
        <w:top w:val="none" w:sz="0" w:space="0" w:color="auto"/>
        <w:left w:val="none" w:sz="0" w:space="0" w:color="auto"/>
        <w:bottom w:val="none" w:sz="0" w:space="0" w:color="auto"/>
        <w:right w:val="none" w:sz="0" w:space="0" w:color="auto"/>
      </w:divBdr>
    </w:div>
    <w:div w:id="428044785">
      <w:bodyDiv w:val="1"/>
      <w:marLeft w:val="0"/>
      <w:marRight w:val="0"/>
      <w:marTop w:val="0"/>
      <w:marBottom w:val="0"/>
      <w:divBdr>
        <w:top w:val="none" w:sz="0" w:space="0" w:color="auto"/>
        <w:left w:val="none" w:sz="0" w:space="0" w:color="auto"/>
        <w:bottom w:val="none" w:sz="0" w:space="0" w:color="auto"/>
        <w:right w:val="none" w:sz="0" w:space="0" w:color="auto"/>
      </w:divBdr>
    </w:div>
    <w:div w:id="434594323">
      <w:bodyDiv w:val="1"/>
      <w:marLeft w:val="0"/>
      <w:marRight w:val="0"/>
      <w:marTop w:val="0"/>
      <w:marBottom w:val="0"/>
      <w:divBdr>
        <w:top w:val="none" w:sz="0" w:space="0" w:color="auto"/>
        <w:left w:val="none" w:sz="0" w:space="0" w:color="auto"/>
        <w:bottom w:val="none" w:sz="0" w:space="0" w:color="auto"/>
        <w:right w:val="none" w:sz="0" w:space="0" w:color="auto"/>
      </w:divBdr>
    </w:div>
    <w:div w:id="434793974">
      <w:bodyDiv w:val="1"/>
      <w:marLeft w:val="0"/>
      <w:marRight w:val="0"/>
      <w:marTop w:val="0"/>
      <w:marBottom w:val="0"/>
      <w:divBdr>
        <w:top w:val="none" w:sz="0" w:space="0" w:color="auto"/>
        <w:left w:val="none" w:sz="0" w:space="0" w:color="auto"/>
        <w:bottom w:val="none" w:sz="0" w:space="0" w:color="auto"/>
        <w:right w:val="none" w:sz="0" w:space="0" w:color="auto"/>
      </w:divBdr>
    </w:div>
    <w:div w:id="437606509">
      <w:bodyDiv w:val="1"/>
      <w:marLeft w:val="0"/>
      <w:marRight w:val="0"/>
      <w:marTop w:val="0"/>
      <w:marBottom w:val="0"/>
      <w:divBdr>
        <w:top w:val="none" w:sz="0" w:space="0" w:color="auto"/>
        <w:left w:val="none" w:sz="0" w:space="0" w:color="auto"/>
        <w:bottom w:val="none" w:sz="0" w:space="0" w:color="auto"/>
        <w:right w:val="none" w:sz="0" w:space="0" w:color="auto"/>
      </w:divBdr>
    </w:div>
    <w:div w:id="439110957">
      <w:bodyDiv w:val="1"/>
      <w:marLeft w:val="0"/>
      <w:marRight w:val="0"/>
      <w:marTop w:val="0"/>
      <w:marBottom w:val="0"/>
      <w:divBdr>
        <w:top w:val="none" w:sz="0" w:space="0" w:color="auto"/>
        <w:left w:val="none" w:sz="0" w:space="0" w:color="auto"/>
        <w:bottom w:val="none" w:sz="0" w:space="0" w:color="auto"/>
        <w:right w:val="none" w:sz="0" w:space="0" w:color="auto"/>
      </w:divBdr>
    </w:div>
    <w:div w:id="439959522">
      <w:bodyDiv w:val="1"/>
      <w:marLeft w:val="0"/>
      <w:marRight w:val="0"/>
      <w:marTop w:val="0"/>
      <w:marBottom w:val="0"/>
      <w:divBdr>
        <w:top w:val="none" w:sz="0" w:space="0" w:color="auto"/>
        <w:left w:val="none" w:sz="0" w:space="0" w:color="auto"/>
        <w:bottom w:val="none" w:sz="0" w:space="0" w:color="auto"/>
        <w:right w:val="none" w:sz="0" w:space="0" w:color="auto"/>
      </w:divBdr>
    </w:div>
    <w:div w:id="440489429">
      <w:bodyDiv w:val="1"/>
      <w:marLeft w:val="0"/>
      <w:marRight w:val="0"/>
      <w:marTop w:val="0"/>
      <w:marBottom w:val="0"/>
      <w:divBdr>
        <w:top w:val="none" w:sz="0" w:space="0" w:color="auto"/>
        <w:left w:val="none" w:sz="0" w:space="0" w:color="auto"/>
        <w:bottom w:val="none" w:sz="0" w:space="0" w:color="auto"/>
        <w:right w:val="none" w:sz="0" w:space="0" w:color="auto"/>
      </w:divBdr>
    </w:div>
    <w:div w:id="450512193">
      <w:bodyDiv w:val="1"/>
      <w:marLeft w:val="0"/>
      <w:marRight w:val="0"/>
      <w:marTop w:val="0"/>
      <w:marBottom w:val="0"/>
      <w:divBdr>
        <w:top w:val="none" w:sz="0" w:space="0" w:color="auto"/>
        <w:left w:val="none" w:sz="0" w:space="0" w:color="auto"/>
        <w:bottom w:val="none" w:sz="0" w:space="0" w:color="auto"/>
        <w:right w:val="none" w:sz="0" w:space="0" w:color="auto"/>
      </w:divBdr>
    </w:div>
    <w:div w:id="450515916">
      <w:bodyDiv w:val="1"/>
      <w:marLeft w:val="0"/>
      <w:marRight w:val="0"/>
      <w:marTop w:val="0"/>
      <w:marBottom w:val="0"/>
      <w:divBdr>
        <w:top w:val="none" w:sz="0" w:space="0" w:color="auto"/>
        <w:left w:val="none" w:sz="0" w:space="0" w:color="auto"/>
        <w:bottom w:val="none" w:sz="0" w:space="0" w:color="auto"/>
        <w:right w:val="none" w:sz="0" w:space="0" w:color="auto"/>
      </w:divBdr>
    </w:div>
    <w:div w:id="455491145">
      <w:bodyDiv w:val="1"/>
      <w:marLeft w:val="0"/>
      <w:marRight w:val="0"/>
      <w:marTop w:val="0"/>
      <w:marBottom w:val="0"/>
      <w:divBdr>
        <w:top w:val="none" w:sz="0" w:space="0" w:color="auto"/>
        <w:left w:val="none" w:sz="0" w:space="0" w:color="auto"/>
        <w:bottom w:val="none" w:sz="0" w:space="0" w:color="auto"/>
        <w:right w:val="none" w:sz="0" w:space="0" w:color="auto"/>
      </w:divBdr>
    </w:div>
    <w:div w:id="462623215">
      <w:bodyDiv w:val="1"/>
      <w:marLeft w:val="0"/>
      <w:marRight w:val="0"/>
      <w:marTop w:val="0"/>
      <w:marBottom w:val="0"/>
      <w:divBdr>
        <w:top w:val="none" w:sz="0" w:space="0" w:color="auto"/>
        <w:left w:val="none" w:sz="0" w:space="0" w:color="auto"/>
        <w:bottom w:val="none" w:sz="0" w:space="0" w:color="auto"/>
        <w:right w:val="none" w:sz="0" w:space="0" w:color="auto"/>
      </w:divBdr>
    </w:div>
    <w:div w:id="467169730">
      <w:bodyDiv w:val="1"/>
      <w:marLeft w:val="0"/>
      <w:marRight w:val="0"/>
      <w:marTop w:val="0"/>
      <w:marBottom w:val="0"/>
      <w:divBdr>
        <w:top w:val="none" w:sz="0" w:space="0" w:color="auto"/>
        <w:left w:val="none" w:sz="0" w:space="0" w:color="auto"/>
        <w:bottom w:val="none" w:sz="0" w:space="0" w:color="auto"/>
        <w:right w:val="none" w:sz="0" w:space="0" w:color="auto"/>
      </w:divBdr>
    </w:div>
    <w:div w:id="471211892">
      <w:bodyDiv w:val="1"/>
      <w:marLeft w:val="0"/>
      <w:marRight w:val="0"/>
      <w:marTop w:val="0"/>
      <w:marBottom w:val="0"/>
      <w:divBdr>
        <w:top w:val="none" w:sz="0" w:space="0" w:color="auto"/>
        <w:left w:val="none" w:sz="0" w:space="0" w:color="auto"/>
        <w:bottom w:val="none" w:sz="0" w:space="0" w:color="auto"/>
        <w:right w:val="none" w:sz="0" w:space="0" w:color="auto"/>
      </w:divBdr>
    </w:div>
    <w:div w:id="475727345">
      <w:bodyDiv w:val="1"/>
      <w:marLeft w:val="0"/>
      <w:marRight w:val="0"/>
      <w:marTop w:val="0"/>
      <w:marBottom w:val="0"/>
      <w:divBdr>
        <w:top w:val="none" w:sz="0" w:space="0" w:color="auto"/>
        <w:left w:val="none" w:sz="0" w:space="0" w:color="auto"/>
        <w:bottom w:val="none" w:sz="0" w:space="0" w:color="auto"/>
        <w:right w:val="none" w:sz="0" w:space="0" w:color="auto"/>
      </w:divBdr>
    </w:div>
    <w:div w:id="477647636">
      <w:bodyDiv w:val="1"/>
      <w:marLeft w:val="0"/>
      <w:marRight w:val="0"/>
      <w:marTop w:val="0"/>
      <w:marBottom w:val="0"/>
      <w:divBdr>
        <w:top w:val="none" w:sz="0" w:space="0" w:color="auto"/>
        <w:left w:val="none" w:sz="0" w:space="0" w:color="auto"/>
        <w:bottom w:val="none" w:sz="0" w:space="0" w:color="auto"/>
        <w:right w:val="none" w:sz="0" w:space="0" w:color="auto"/>
      </w:divBdr>
    </w:div>
    <w:div w:id="478889057">
      <w:bodyDiv w:val="1"/>
      <w:marLeft w:val="0"/>
      <w:marRight w:val="0"/>
      <w:marTop w:val="0"/>
      <w:marBottom w:val="0"/>
      <w:divBdr>
        <w:top w:val="none" w:sz="0" w:space="0" w:color="auto"/>
        <w:left w:val="none" w:sz="0" w:space="0" w:color="auto"/>
        <w:bottom w:val="none" w:sz="0" w:space="0" w:color="auto"/>
        <w:right w:val="none" w:sz="0" w:space="0" w:color="auto"/>
      </w:divBdr>
    </w:div>
    <w:div w:id="480386487">
      <w:bodyDiv w:val="1"/>
      <w:marLeft w:val="0"/>
      <w:marRight w:val="0"/>
      <w:marTop w:val="0"/>
      <w:marBottom w:val="0"/>
      <w:divBdr>
        <w:top w:val="none" w:sz="0" w:space="0" w:color="auto"/>
        <w:left w:val="none" w:sz="0" w:space="0" w:color="auto"/>
        <w:bottom w:val="none" w:sz="0" w:space="0" w:color="auto"/>
        <w:right w:val="none" w:sz="0" w:space="0" w:color="auto"/>
      </w:divBdr>
    </w:div>
    <w:div w:id="485055179">
      <w:bodyDiv w:val="1"/>
      <w:marLeft w:val="0"/>
      <w:marRight w:val="0"/>
      <w:marTop w:val="0"/>
      <w:marBottom w:val="0"/>
      <w:divBdr>
        <w:top w:val="none" w:sz="0" w:space="0" w:color="auto"/>
        <w:left w:val="none" w:sz="0" w:space="0" w:color="auto"/>
        <w:bottom w:val="none" w:sz="0" w:space="0" w:color="auto"/>
        <w:right w:val="none" w:sz="0" w:space="0" w:color="auto"/>
      </w:divBdr>
    </w:div>
    <w:div w:id="486822612">
      <w:bodyDiv w:val="1"/>
      <w:marLeft w:val="0"/>
      <w:marRight w:val="0"/>
      <w:marTop w:val="0"/>
      <w:marBottom w:val="0"/>
      <w:divBdr>
        <w:top w:val="none" w:sz="0" w:space="0" w:color="auto"/>
        <w:left w:val="none" w:sz="0" w:space="0" w:color="auto"/>
        <w:bottom w:val="none" w:sz="0" w:space="0" w:color="auto"/>
        <w:right w:val="none" w:sz="0" w:space="0" w:color="auto"/>
      </w:divBdr>
    </w:div>
    <w:div w:id="495072426">
      <w:bodyDiv w:val="1"/>
      <w:marLeft w:val="0"/>
      <w:marRight w:val="0"/>
      <w:marTop w:val="0"/>
      <w:marBottom w:val="0"/>
      <w:divBdr>
        <w:top w:val="none" w:sz="0" w:space="0" w:color="auto"/>
        <w:left w:val="none" w:sz="0" w:space="0" w:color="auto"/>
        <w:bottom w:val="none" w:sz="0" w:space="0" w:color="auto"/>
        <w:right w:val="none" w:sz="0" w:space="0" w:color="auto"/>
      </w:divBdr>
    </w:div>
    <w:div w:id="502087484">
      <w:bodyDiv w:val="1"/>
      <w:marLeft w:val="0"/>
      <w:marRight w:val="0"/>
      <w:marTop w:val="0"/>
      <w:marBottom w:val="0"/>
      <w:divBdr>
        <w:top w:val="none" w:sz="0" w:space="0" w:color="auto"/>
        <w:left w:val="none" w:sz="0" w:space="0" w:color="auto"/>
        <w:bottom w:val="none" w:sz="0" w:space="0" w:color="auto"/>
        <w:right w:val="none" w:sz="0" w:space="0" w:color="auto"/>
      </w:divBdr>
    </w:div>
    <w:div w:id="503517733">
      <w:bodyDiv w:val="1"/>
      <w:marLeft w:val="0"/>
      <w:marRight w:val="0"/>
      <w:marTop w:val="0"/>
      <w:marBottom w:val="0"/>
      <w:divBdr>
        <w:top w:val="none" w:sz="0" w:space="0" w:color="auto"/>
        <w:left w:val="none" w:sz="0" w:space="0" w:color="auto"/>
        <w:bottom w:val="none" w:sz="0" w:space="0" w:color="auto"/>
        <w:right w:val="none" w:sz="0" w:space="0" w:color="auto"/>
      </w:divBdr>
    </w:div>
    <w:div w:id="505249458">
      <w:bodyDiv w:val="1"/>
      <w:marLeft w:val="0"/>
      <w:marRight w:val="0"/>
      <w:marTop w:val="0"/>
      <w:marBottom w:val="0"/>
      <w:divBdr>
        <w:top w:val="none" w:sz="0" w:space="0" w:color="auto"/>
        <w:left w:val="none" w:sz="0" w:space="0" w:color="auto"/>
        <w:bottom w:val="none" w:sz="0" w:space="0" w:color="auto"/>
        <w:right w:val="none" w:sz="0" w:space="0" w:color="auto"/>
      </w:divBdr>
    </w:div>
    <w:div w:id="517700591">
      <w:bodyDiv w:val="1"/>
      <w:marLeft w:val="0"/>
      <w:marRight w:val="0"/>
      <w:marTop w:val="0"/>
      <w:marBottom w:val="0"/>
      <w:divBdr>
        <w:top w:val="none" w:sz="0" w:space="0" w:color="auto"/>
        <w:left w:val="none" w:sz="0" w:space="0" w:color="auto"/>
        <w:bottom w:val="none" w:sz="0" w:space="0" w:color="auto"/>
        <w:right w:val="none" w:sz="0" w:space="0" w:color="auto"/>
      </w:divBdr>
    </w:div>
    <w:div w:id="521666871">
      <w:bodyDiv w:val="1"/>
      <w:marLeft w:val="0"/>
      <w:marRight w:val="0"/>
      <w:marTop w:val="0"/>
      <w:marBottom w:val="0"/>
      <w:divBdr>
        <w:top w:val="none" w:sz="0" w:space="0" w:color="auto"/>
        <w:left w:val="none" w:sz="0" w:space="0" w:color="auto"/>
        <w:bottom w:val="none" w:sz="0" w:space="0" w:color="auto"/>
        <w:right w:val="none" w:sz="0" w:space="0" w:color="auto"/>
      </w:divBdr>
    </w:div>
    <w:div w:id="521671357">
      <w:bodyDiv w:val="1"/>
      <w:marLeft w:val="0"/>
      <w:marRight w:val="0"/>
      <w:marTop w:val="0"/>
      <w:marBottom w:val="0"/>
      <w:divBdr>
        <w:top w:val="none" w:sz="0" w:space="0" w:color="auto"/>
        <w:left w:val="none" w:sz="0" w:space="0" w:color="auto"/>
        <w:bottom w:val="none" w:sz="0" w:space="0" w:color="auto"/>
        <w:right w:val="none" w:sz="0" w:space="0" w:color="auto"/>
      </w:divBdr>
    </w:div>
    <w:div w:id="522593097">
      <w:bodyDiv w:val="1"/>
      <w:marLeft w:val="0"/>
      <w:marRight w:val="0"/>
      <w:marTop w:val="0"/>
      <w:marBottom w:val="0"/>
      <w:divBdr>
        <w:top w:val="none" w:sz="0" w:space="0" w:color="auto"/>
        <w:left w:val="none" w:sz="0" w:space="0" w:color="auto"/>
        <w:bottom w:val="none" w:sz="0" w:space="0" w:color="auto"/>
        <w:right w:val="none" w:sz="0" w:space="0" w:color="auto"/>
      </w:divBdr>
    </w:div>
    <w:div w:id="527641432">
      <w:bodyDiv w:val="1"/>
      <w:marLeft w:val="0"/>
      <w:marRight w:val="0"/>
      <w:marTop w:val="0"/>
      <w:marBottom w:val="0"/>
      <w:divBdr>
        <w:top w:val="none" w:sz="0" w:space="0" w:color="auto"/>
        <w:left w:val="none" w:sz="0" w:space="0" w:color="auto"/>
        <w:bottom w:val="none" w:sz="0" w:space="0" w:color="auto"/>
        <w:right w:val="none" w:sz="0" w:space="0" w:color="auto"/>
      </w:divBdr>
    </w:div>
    <w:div w:id="535238555">
      <w:bodyDiv w:val="1"/>
      <w:marLeft w:val="0"/>
      <w:marRight w:val="0"/>
      <w:marTop w:val="0"/>
      <w:marBottom w:val="0"/>
      <w:divBdr>
        <w:top w:val="none" w:sz="0" w:space="0" w:color="auto"/>
        <w:left w:val="none" w:sz="0" w:space="0" w:color="auto"/>
        <w:bottom w:val="none" w:sz="0" w:space="0" w:color="auto"/>
        <w:right w:val="none" w:sz="0" w:space="0" w:color="auto"/>
      </w:divBdr>
    </w:div>
    <w:div w:id="535317422">
      <w:bodyDiv w:val="1"/>
      <w:marLeft w:val="0"/>
      <w:marRight w:val="0"/>
      <w:marTop w:val="0"/>
      <w:marBottom w:val="0"/>
      <w:divBdr>
        <w:top w:val="none" w:sz="0" w:space="0" w:color="auto"/>
        <w:left w:val="none" w:sz="0" w:space="0" w:color="auto"/>
        <w:bottom w:val="none" w:sz="0" w:space="0" w:color="auto"/>
        <w:right w:val="none" w:sz="0" w:space="0" w:color="auto"/>
      </w:divBdr>
    </w:div>
    <w:div w:id="538512660">
      <w:bodyDiv w:val="1"/>
      <w:marLeft w:val="0"/>
      <w:marRight w:val="0"/>
      <w:marTop w:val="0"/>
      <w:marBottom w:val="0"/>
      <w:divBdr>
        <w:top w:val="none" w:sz="0" w:space="0" w:color="auto"/>
        <w:left w:val="none" w:sz="0" w:space="0" w:color="auto"/>
        <w:bottom w:val="none" w:sz="0" w:space="0" w:color="auto"/>
        <w:right w:val="none" w:sz="0" w:space="0" w:color="auto"/>
      </w:divBdr>
    </w:div>
    <w:div w:id="541938498">
      <w:bodyDiv w:val="1"/>
      <w:marLeft w:val="0"/>
      <w:marRight w:val="0"/>
      <w:marTop w:val="0"/>
      <w:marBottom w:val="0"/>
      <w:divBdr>
        <w:top w:val="none" w:sz="0" w:space="0" w:color="auto"/>
        <w:left w:val="none" w:sz="0" w:space="0" w:color="auto"/>
        <w:bottom w:val="none" w:sz="0" w:space="0" w:color="auto"/>
        <w:right w:val="none" w:sz="0" w:space="0" w:color="auto"/>
      </w:divBdr>
    </w:div>
    <w:div w:id="544412073">
      <w:bodyDiv w:val="1"/>
      <w:marLeft w:val="0"/>
      <w:marRight w:val="0"/>
      <w:marTop w:val="0"/>
      <w:marBottom w:val="0"/>
      <w:divBdr>
        <w:top w:val="none" w:sz="0" w:space="0" w:color="auto"/>
        <w:left w:val="none" w:sz="0" w:space="0" w:color="auto"/>
        <w:bottom w:val="none" w:sz="0" w:space="0" w:color="auto"/>
        <w:right w:val="none" w:sz="0" w:space="0" w:color="auto"/>
      </w:divBdr>
    </w:div>
    <w:div w:id="548080300">
      <w:bodyDiv w:val="1"/>
      <w:marLeft w:val="0"/>
      <w:marRight w:val="0"/>
      <w:marTop w:val="0"/>
      <w:marBottom w:val="0"/>
      <w:divBdr>
        <w:top w:val="none" w:sz="0" w:space="0" w:color="auto"/>
        <w:left w:val="none" w:sz="0" w:space="0" w:color="auto"/>
        <w:bottom w:val="none" w:sz="0" w:space="0" w:color="auto"/>
        <w:right w:val="none" w:sz="0" w:space="0" w:color="auto"/>
      </w:divBdr>
    </w:div>
    <w:div w:id="550965469">
      <w:bodyDiv w:val="1"/>
      <w:marLeft w:val="0"/>
      <w:marRight w:val="0"/>
      <w:marTop w:val="0"/>
      <w:marBottom w:val="0"/>
      <w:divBdr>
        <w:top w:val="none" w:sz="0" w:space="0" w:color="auto"/>
        <w:left w:val="none" w:sz="0" w:space="0" w:color="auto"/>
        <w:bottom w:val="none" w:sz="0" w:space="0" w:color="auto"/>
        <w:right w:val="none" w:sz="0" w:space="0" w:color="auto"/>
      </w:divBdr>
    </w:div>
    <w:div w:id="558908710">
      <w:bodyDiv w:val="1"/>
      <w:marLeft w:val="0"/>
      <w:marRight w:val="0"/>
      <w:marTop w:val="0"/>
      <w:marBottom w:val="0"/>
      <w:divBdr>
        <w:top w:val="none" w:sz="0" w:space="0" w:color="auto"/>
        <w:left w:val="none" w:sz="0" w:space="0" w:color="auto"/>
        <w:bottom w:val="none" w:sz="0" w:space="0" w:color="auto"/>
        <w:right w:val="none" w:sz="0" w:space="0" w:color="auto"/>
      </w:divBdr>
    </w:div>
    <w:div w:id="561064094">
      <w:bodyDiv w:val="1"/>
      <w:marLeft w:val="0"/>
      <w:marRight w:val="0"/>
      <w:marTop w:val="0"/>
      <w:marBottom w:val="0"/>
      <w:divBdr>
        <w:top w:val="none" w:sz="0" w:space="0" w:color="auto"/>
        <w:left w:val="none" w:sz="0" w:space="0" w:color="auto"/>
        <w:bottom w:val="none" w:sz="0" w:space="0" w:color="auto"/>
        <w:right w:val="none" w:sz="0" w:space="0" w:color="auto"/>
      </w:divBdr>
    </w:div>
    <w:div w:id="562374437">
      <w:bodyDiv w:val="1"/>
      <w:marLeft w:val="0"/>
      <w:marRight w:val="0"/>
      <w:marTop w:val="0"/>
      <w:marBottom w:val="0"/>
      <w:divBdr>
        <w:top w:val="none" w:sz="0" w:space="0" w:color="auto"/>
        <w:left w:val="none" w:sz="0" w:space="0" w:color="auto"/>
        <w:bottom w:val="none" w:sz="0" w:space="0" w:color="auto"/>
        <w:right w:val="none" w:sz="0" w:space="0" w:color="auto"/>
      </w:divBdr>
    </w:div>
    <w:div w:id="564031653">
      <w:bodyDiv w:val="1"/>
      <w:marLeft w:val="0"/>
      <w:marRight w:val="0"/>
      <w:marTop w:val="0"/>
      <w:marBottom w:val="0"/>
      <w:divBdr>
        <w:top w:val="none" w:sz="0" w:space="0" w:color="auto"/>
        <w:left w:val="none" w:sz="0" w:space="0" w:color="auto"/>
        <w:bottom w:val="none" w:sz="0" w:space="0" w:color="auto"/>
        <w:right w:val="none" w:sz="0" w:space="0" w:color="auto"/>
      </w:divBdr>
    </w:div>
    <w:div w:id="574171245">
      <w:bodyDiv w:val="1"/>
      <w:marLeft w:val="0"/>
      <w:marRight w:val="0"/>
      <w:marTop w:val="0"/>
      <w:marBottom w:val="0"/>
      <w:divBdr>
        <w:top w:val="none" w:sz="0" w:space="0" w:color="auto"/>
        <w:left w:val="none" w:sz="0" w:space="0" w:color="auto"/>
        <w:bottom w:val="none" w:sz="0" w:space="0" w:color="auto"/>
        <w:right w:val="none" w:sz="0" w:space="0" w:color="auto"/>
      </w:divBdr>
    </w:div>
    <w:div w:id="574364967">
      <w:bodyDiv w:val="1"/>
      <w:marLeft w:val="0"/>
      <w:marRight w:val="0"/>
      <w:marTop w:val="0"/>
      <w:marBottom w:val="0"/>
      <w:divBdr>
        <w:top w:val="none" w:sz="0" w:space="0" w:color="auto"/>
        <w:left w:val="none" w:sz="0" w:space="0" w:color="auto"/>
        <w:bottom w:val="none" w:sz="0" w:space="0" w:color="auto"/>
        <w:right w:val="none" w:sz="0" w:space="0" w:color="auto"/>
      </w:divBdr>
    </w:div>
    <w:div w:id="574975839">
      <w:bodyDiv w:val="1"/>
      <w:marLeft w:val="0"/>
      <w:marRight w:val="0"/>
      <w:marTop w:val="0"/>
      <w:marBottom w:val="0"/>
      <w:divBdr>
        <w:top w:val="none" w:sz="0" w:space="0" w:color="auto"/>
        <w:left w:val="none" w:sz="0" w:space="0" w:color="auto"/>
        <w:bottom w:val="none" w:sz="0" w:space="0" w:color="auto"/>
        <w:right w:val="none" w:sz="0" w:space="0" w:color="auto"/>
      </w:divBdr>
    </w:div>
    <w:div w:id="577597602">
      <w:bodyDiv w:val="1"/>
      <w:marLeft w:val="0"/>
      <w:marRight w:val="0"/>
      <w:marTop w:val="0"/>
      <w:marBottom w:val="0"/>
      <w:divBdr>
        <w:top w:val="none" w:sz="0" w:space="0" w:color="auto"/>
        <w:left w:val="none" w:sz="0" w:space="0" w:color="auto"/>
        <w:bottom w:val="none" w:sz="0" w:space="0" w:color="auto"/>
        <w:right w:val="none" w:sz="0" w:space="0" w:color="auto"/>
      </w:divBdr>
    </w:div>
    <w:div w:id="577903447">
      <w:bodyDiv w:val="1"/>
      <w:marLeft w:val="0"/>
      <w:marRight w:val="0"/>
      <w:marTop w:val="0"/>
      <w:marBottom w:val="0"/>
      <w:divBdr>
        <w:top w:val="none" w:sz="0" w:space="0" w:color="auto"/>
        <w:left w:val="none" w:sz="0" w:space="0" w:color="auto"/>
        <w:bottom w:val="none" w:sz="0" w:space="0" w:color="auto"/>
        <w:right w:val="none" w:sz="0" w:space="0" w:color="auto"/>
      </w:divBdr>
    </w:div>
    <w:div w:id="582567711">
      <w:bodyDiv w:val="1"/>
      <w:marLeft w:val="0"/>
      <w:marRight w:val="0"/>
      <w:marTop w:val="0"/>
      <w:marBottom w:val="0"/>
      <w:divBdr>
        <w:top w:val="none" w:sz="0" w:space="0" w:color="auto"/>
        <w:left w:val="none" w:sz="0" w:space="0" w:color="auto"/>
        <w:bottom w:val="none" w:sz="0" w:space="0" w:color="auto"/>
        <w:right w:val="none" w:sz="0" w:space="0" w:color="auto"/>
      </w:divBdr>
    </w:div>
    <w:div w:id="585069564">
      <w:bodyDiv w:val="1"/>
      <w:marLeft w:val="0"/>
      <w:marRight w:val="0"/>
      <w:marTop w:val="0"/>
      <w:marBottom w:val="0"/>
      <w:divBdr>
        <w:top w:val="none" w:sz="0" w:space="0" w:color="auto"/>
        <w:left w:val="none" w:sz="0" w:space="0" w:color="auto"/>
        <w:bottom w:val="none" w:sz="0" w:space="0" w:color="auto"/>
        <w:right w:val="none" w:sz="0" w:space="0" w:color="auto"/>
      </w:divBdr>
    </w:div>
    <w:div w:id="591664726">
      <w:bodyDiv w:val="1"/>
      <w:marLeft w:val="0"/>
      <w:marRight w:val="0"/>
      <w:marTop w:val="0"/>
      <w:marBottom w:val="0"/>
      <w:divBdr>
        <w:top w:val="none" w:sz="0" w:space="0" w:color="auto"/>
        <w:left w:val="none" w:sz="0" w:space="0" w:color="auto"/>
        <w:bottom w:val="none" w:sz="0" w:space="0" w:color="auto"/>
        <w:right w:val="none" w:sz="0" w:space="0" w:color="auto"/>
      </w:divBdr>
    </w:div>
    <w:div w:id="593319664">
      <w:bodyDiv w:val="1"/>
      <w:marLeft w:val="0"/>
      <w:marRight w:val="0"/>
      <w:marTop w:val="0"/>
      <w:marBottom w:val="0"/>
      <w:divBdr>
        <w:top w:val="none" w:sz="0" w:space="0" w:color="auto"/>
        <w:left w:val="none" w:sz="0" w:space="0" w:color="auto"/>
        <w:bottom w:val="none" w:sz="0" w:space="0" w:color="auto"/>
        <w:right w:val="none" w:sz="0" w:space="0" w:color="auto"/>
      </w:divBdr>
    </w:div>
    <w:div w:id="594752206">
      <w:bodyDiv w:val="1"/>
      <w:marLeft w:val="0"/>
      <w:marRight w:val="0"/>
      <w:marTop w:val="0"/>
      <w:marBottom w:val="0"/>
      <w:divBdr>
        <w:top w:val="none" w:sz="0" w:space="0" w:color="auto"/>
        <w:left w:val="none" w:sz="0" w:space="0" w:color="auto"/>
        <w:bottom w:val="none" w:sz="0" w:space="0" w:color="auto"/>
        <w:right w:val="none" w:sz="0" w:space="0" w:color="auto"/>
      </w:divBdr>
    </w:div>
    <w:div w:id="599920703">
      <w:bodyDiv w:val="1"/>
      <w:marLeft w:val="0"/>
      <w:marRight w:val="0"/>
      <w:marTop w:val="0"/>
      <w:marBottom w:val="0"/>
      <w:divBdr>
        <w:top w:val="none" w:sz="0" w:space="0" w:color="auto"/>
        <w:left w:val="none" w:sz="0" w:space="0" w:color="auto"/>
        <w:bottom w:val="none" w:sz="0" w:space="0" w:color="auto"/>
        <w:right w:val="none" w:sz="0" w:space="0" w:color="auto"/>
      </w:divBdr>
    </w:div>
    <w:div w:id="611330207">
      <w:bodyDiv w:val="1"/>
      <w:marLeft w:val="0"/>
      <w:marRight w:val="0"/>
      <w:marTop w:val="0"/>
      <w:marBottom w:val="0"/>
      <w:divBdr>
        <w:top w:val="none" w:sz="0" w:space="0" w:color="auto"/>
        <w:left w:val="none" w:sz="0" w:space="0" w:color="auto"/>
        <w:bottom w:val="none" w:sz="0" w:space="0" w:color="auto"/>
        <w:right w:val="none" w:sz="0" w:space="0" w:color="auto"/>
      </w:divBdr>
    </w:div>
    <w:div w:id="616528034">
      <w:bodyDiv w:val="1"/>
      <w:marLeft w:val="0"/>
      <w:marRight w:val="0"/>
      <w:marTop w:val="0"/>
      <w:marBottom w:val="0"/>
      <w:divBdr>
        <w:top w:val="none" w:sz="0" w:space="0" w:color="auto"/>
        <w:left w:val="none" w:sz="0" w:space="0" w:color="auto"/>
        <w:bottom w:val="none" w:sz="0" w:space="0" w:color="auto"/>
        <w:right w:val="none" w:sz="0" w:space="0" w:color="auto"/>
      </w:divBdr>
    </w:div>
    <w:div w:id="620917541">
      <w:bodyDiv w:val="1"/>
      <w:marLeft w:val="0"/>
      <w:marRight w:val="0"/>
      <w:marTop w:val="0"/>
      <w:marBottom w:val="0"/>
      <w:divBdr>
        <w:top w:val="none" w:sz="0" w:space="0" w:color="auto"/>
        <w:left w:val="none" w:sz="0" w:space="0" w:color="auto"/>
        <w:bottom w:val="none" w:sz="0" w:space="0" w:color="auto"/>
        <w:right w:val="none" w:sz="0" w:space="0" w:color="auto"/>
      </w:divBdr>
    </w:div>
    <w:div w:id="631715767">
      <w:bodyDiv w:val="1"/>
      <w:marLeft w:val="0"/>
      <w:marRight w:val="0"/>
      <w:marTop w:val="0"/>
      <w:marBottom w:val="0"/>
      <w:divBdr>
        <w:top w:val="none" w:sz="0" w:space="0" w:color="auto"/>
        <w:left w:val="none" w:sz="0" w:space="0" w:color="auto"/>
        <w:bottom w:val="none" w:sz="0" w:space="0" w:color="auto"/>
        <w:right w:val="none" w:sz="0" w:space="0" w:color="auto"/>
      </w:divBdr>
    </w:div>
    <w:div w:id="635913521">
      <w:bodyDiv w:val="1"/>
      <w:marLeft w:val="0"/>
      <w:marRight w:val="0"/>
      <w:marTop w:val="0"/>
      <w:marBottom w:val="0"/>
      <w:divBdr>
        <w:top w:val="none" w:sz="0" w:space="0" w:color="auto"/>
        <w:left w:val="none" w:sz="0" w:space="0" w:color="auto"/>
        <w:bottom w:val="none" w:sz="0" w:space="0" w:color="auto"/>
        <w:right w:val="none" w:sz="0" w:space="0" w:color="auto"/>
      </w:divBdr>
    </w:div>
    <w:div w:id="646083510">
      <w:bodyDiv w:val="1"/>
      <w:marLeft w:val="0"/>
      <w:marRight w:val="0"/>
      <w:marTop w:val="0"/>
      <w:marBottom w:val="0"/>
      <w:divBdr>
        <w:top w:val="none" w:sz="0" w:space="0" w:color="auto"/>
        <w:left w:val="none" w:sz="0" w:space="0" w:color="auto"/>
        <w:bottom w:val="none" w:sz="0" w:space="0" w:color="auto"/>
        <w:right w:val="none" w:sz="0" w:space="0" w:color="auto"/>
      </w:divBdr>
    </w:div>
    <w:div w:id="652027979">
      <w:bodyDiv w:val="1"/>
      <w:marLeft w:val="0"/>
      <w:marRight w:val="0"/>
      <w:marTop w:val="0"/>
      <w:marBottom w:val="0"/>
      <w:divBdr>
        <w:top w:val="none" w:sz="0" w:space="0" w:color="auto"/>
        <w:left w:val="none" w:sz="0" w:space="0" w:color="auto"/>
        <w:bottom w:val="none" w:sz="0" w:space="0" w:color="auto"/>
        <w:right w:val="none" w:sz="0" w:space="0" w:color="auto"/>
      </w:divBdr>
    </w:div>
    <w:div w:id="652180216">
      <w:bodyDiv w:val="1"/>
      <w:marLeft w:val="0"/>
      <w:marRight w:val="0"/>
      <w:marTop w:val="0"/>
      <w:marBottom w:val="0"/>
      <w:divBdr>
        <w:top w:val="none" w:sz="0" w:space="0" w:color="auto"/>
        <w:left w:val="none" w:sz="0" w:space="0" w:color="auto"/>
        <w:bottom w:val="none" w:sz="0" w:space="0" w:color="auto"/>
        <w:right w:val="none" w:sz="0" w:space="0" w:color="auto"/>
      </w:divBdr>
    </w:div>
    <w:div w:id="656811778">
      <w:bodyDiv w:val="1"/>
      <w:marLeft w:val="0"/>
      <w:marRight w:val="0"/>
      <w:marTop w:val="0"/>
      <w:marBottom w:val="0"/>
      <w:divBdr>
        <w:top w:val="none" w:sz="0" w:space="0" w:color="auto"/>
        <w:left w:val="none" w:sz="0" w:space="0" w:color="auto"/>
        <w:bottom w:val="none" w:sz="0" w:space="0" w:color="auto"/>
        <w:right w:val="none" w:sz="0" w:space="0" w:color="auto"/>
      </w:divBdr>
    </w:div>
    <w:div w:id="663511546">
      <w:bodyDiv w:val="1"/>
      <w:marLeft w:val="0"/>
      <w:marRight w:val="0"/>
      <w:marTop w:val="0"/>
      <w:marBottom w:val="0"/>
      <w:divBdr>
        <w:top w:val="none" w:sz="0" w:space="0" w:color="auto"/>
        <w:left w:val="none" w:sz="0" w:space="0" w:color="auto"/>
        <w:bottom w:val="none" w:sz="0" w:space="0" w:color="auto"/>
        <w:right w:val="none" w:sz="0" w:space="0" w:color="auto"/>
      </w:divBdr>
    </w:div>
    <w:div w:id="663583324">
      <w:bodyDiv w:val="1"/>
      <w:marLeft w:val="0"/>
      <w:marRight w:val="0"/>
      <w:marTop w:val="0"/>
      <w:marBottom w:val="0"/>
      <w:divBdr>
        <w:top w:val="none" w:sz="0" w:space="0" w:color="auto"/>
        <w:left w:val="none" w:sz="0" w:space="0" w:color="auto"/>
        <w:bottom w:val="none" w:sz="0" w:space="0" w:color="auto"/>
        <w:right w:val="none" w:sz="0" w:space="0" w:color="auto"/>
      </w:divBdr>
    </w:div>
    <w:div w:id="666325664">
      <w:bodyDiv w:val="1"/>
      <w:marLeft w:val="0"/>
      <w:marRight w:val="0"/>
      <w:marTop w:val="0"/>
      <w:marBottom w:val="0"/>
      <w:divBdr>
        <w:top w:val="none" w:sz="0" w:space="0" w:color="auto"/>
        <w:left w:val="none" w:sz="0" w:space="0" w:color="auto"/>
        <w:bottom w:val="none" w:sz="0" w:space="0" w:color="auto"/>
        <w:right w:val="none" w:sz="0" w:space="0" w:color="auto"/>
      </w:divBdr>
    </w:div>
    <w:div w:id="668364905">
      <w:bodyDiv w:val="1"/>
      <w:marLeft w:val="0"/>
      <w:marRight w:val="0"/>
      <w:marTop w:val="0"/>
      <w:marBottom w:val="0"/>
      <w:divBdr>
        <w:top w:val="none" w:sz="0" w:space="0" w:color="auto"/>
        <w:left w:val="none" w:sz="0" w:space="0" w:color="auto"/>
        <w:bottom w:val="none" w:sz="0" w:space="0" w:color="auto"/>
        <w:right w:val="none" w:sz="0" w:space="0" w:color="auto"/>
      </w:divBdr>
    </w:div>
    <w:div w:id="671642534">
      <w:bodyDiv w:val="1"/>
      <w:marLeft w:val="0"/>
      <w:marRight w:val="0"/>
      <w:marTop w:val="0"/>
      <w:marBottom w:val="0"/>
      <w:divBdr>
        <w:top w:val="none" w:sz="0" w:space="0" w:color="auto"/>
        <w:left w:val="none" w:sz="0" w:space="0" w:color="auto"/>
        <w:bottom w:val="none" w:sz="0" w:space="0" w:color="auto"/>
        <w:right w:val="none" w:sz="0" w:space="0" w:color="auto"/>
      </w:divBdr>
    </w:div>
    <w:div w:id="688794438">
      <w:bodyDiv w:val="1"/>
      <w:marLeft w:val="0"/>
      <w:marRight w:val="0"/>
      <w:marTop w:val="0"/>
      <w:marBottom w:val="0"/>
      <w:divBdr>
        <w:top w:val="none" w:sz="0" w:space="0" w:color="auto"/>
        <w:left w:val="none" w:sz="0" w:space="0" w:color="auto"/>
        <w:bottom w:val="none" w:sz="0" w:space="0" w:color="auto"/>
        <w:right w:val="none" w:sz="0" w:space="0" w:color="auto"/>
      </w:divBdr>
    </w:div>
    <w:div w:id="693001436">
      <w:bodyDiv w:val="1"/>
      <w:marLeft w:val="0"/>
      <w:marRight w:val="0"/>
      <w:marTop w:val="0"/>
      <w:marBottom w:val="0"/>
      <w:divBdr>
        <w:top w:val="none" w:sz="0" w:space="0" w:color="auto"/>
        <w:left w:val="none" w:sz="0" w:space="0" w:color="auto"/>
        <w:bottom w:val="none" w:sz="0" w:space="0" w:color="auto"/>
        <w:right w:val="none" w:sz="0" w:space="0" w:color="auto"/>
      </w:divBdr>
    </w:div>
    <w:div w:id="694963223">
      <w:bodyDiv w:val="1"/>
      <w:marLeft w:val="0"/>
      <w:marRight w:val="0"/>
      <w:marTop w:val="0"/>
      <w:marBottom w:val="0"/>
      <w:divBdr>
        <w:top w:val="none" w:sz="0" w:space="0" w:color="auto"/>
        <w:left w:val="none" w:sz="0" w:space="0" w:color="auto"/>
        <w:bottom w:val="none" w:sz="0" w:space="0" w:color="auto"/>
        <w:right w:val="none" w:sz="0" w:space="0" w:color="auto"/>
      </w:divBdr>
    </w:div>
    <w:div w:id="716929336">
      <w:bodyDiv w:val="1"/>
      <w:marLeft w:val="0"/>
      <w:marRight w:val="0"/>
      <w:marTop w:val="0"/>
      <w:marBottom w:val="0"/>
      <w:divBdr>
        <w:top w:val="none" w:sz="0" w:space="0" w:color="auto"/>
        <w:left w:val="none" w:sz="0" w:space="0" w:color="auto"/>
        <w:bottom w:val="none" w:sz="0" w:space="0" w:color="auto"/>
        <w:right w:val="none" w:sz="0" w:space="0" w:color="auto"/>
      </w:divBdr>
    </w:div>
    <w:div w:id="723338200">
      <w:bodyDiv w:val="1"/>
      <w:marLeft w:val="0"/>
      <w:marRight w:val="0"/>
      <w:marTop w:val="0"/>
      <w:marBottom w:val="0"/>
      <w:divBdr>
        <w:top w:val="none" w:sz="0" w:space="0" w:color="auto"/>
        <w:left w:val="none" w:sz="0" w:space="0" w:color="auto"/>
        <w:bottom w:val="none" w:sz="0" w:space="0" w:color="auto"/>
        <w:right w:val="none" w:sz="0" w:space="0" w:color="auto"/>
      </w:divBdr>
    </w:div>
    <w:div w:id="732000665">
      <w:bodyDiv w:val="1"/>
      <w:marLeft w:val="0"/>
      <w:marRight w:val="0"/>
      <w:marTop w:val="0"/>
      <w:marBottom w:val="0"/>
      <w:divBdr>
        <w:top w:val="none" w:sz="0" w:space="0" w:color="auto"/>
        <w:left w:val="none" w:sz="0" w:space="0" w:color="auto"/>
        <w:bottom w:val="none" w:sz="0" w:space="0" w:color="auto"/>
        <w:right w:val="none" w:sz="0" w:space="0" w:color="auto"/>
      </w:divBdr>
    </w:div>
    <w:div w:id="739906008">
      <w:bodyDiv w:val="1"/>
      <w:marLeft w:val="0"/>
      <w:marRight w:val="0"/>
      <w:marTop w:val="0"/>
      <w:marBottom w:val="0"/>
      <w:divBdr>
        <w:top w:val="none" w:sz="0" w:space="0" w:color="auto"/>
        <w:left w:val="none" w:sz="0" w:space="0" w:color="auto"/>
        <w:bottom w:val="none" w:sz="0" w:space="0" w:color="auto"/>
        <w:right w:val="none" w:sz="0" w:space="0" w:color="auto"/>
      </w:divBdr>
    </w:div>
    <w:div w:id="740370281">
      <w:bodyDiv w:val="1"/>
      <w:marLeft w:val="0"/>
      <w:marRight w:val="0"/>
      <w:marTop w:val="0"/>
      <w:marBottom w:val="0"/>
      <w:divBdr>
        <w:top w:val="none" w:sz="0" w:space="0" w:color="auto"/>
        <w:left w:val="none" w:sz="0" w:space="0" w:color="auto"/>
        <w:bottom w:val="none" w:sz="0" w:space="0" w:color="auto"/>
        <w:right w:val="none" w:sz="0" w:space="0" w:color="auto"/>
      </w:divBdr>
    </w:div>
    <w:div w:id="740562577">
      <w:bodyDiv w:val="1"/>
      <w:marLeft w:val="0"/>
      <w:marRight w:val="0"/>
      <w:marTop w:val="0"/>
      <w:marBottom w:val="0"/>
      <w:divBdr>
        <w:top w:val="none" w:sz="0" w:space="0" w:color="auto"/>
        <w:left w:val="none" w:sz="0" w:space="0" w:color="auto"/>
        <w:bottom w:val="none" w:sz="0" w:space="0" w:color="auto"/>
        <w:right w:val="none" w:sz="0" w:space="0" w:color="auto"/>
      </w:divBdr>
    </w:div>
    <w:div w:id="743647181">
      <w:bodyDiv w:val="1"/>
      <w:marLeft w:val="0"/>
      <w:marRight w:val="0"/>
      <w:marTop w:val="0"/>
      <w:marBottom w:val="0"/>
      <w:divBdr>
        <w:top w:val="none" w:sz="0" w:space="0" w:color="auto"/>
        <w:left w:val="none" w:sz="0" w:space="0" w:color="auto"/>
        <w:bottom w:val="none" w:sz="0" w:space="0" w:color="auto"/>
        <w:right w:val="none" w:sz="0" w:space="0" w:color="auto"/>
      </w:divBdr>
    </w:div>
    <w:div w:id="743918780">
      <w:bodyDiv w:val="1"/>
      <w:marLeft w:val="0"/>
      <w:marRight w:val="0"/>
      <w:marTop w:val="0"/>
      <w:marBottom w:val="0"/>
      <w:divBdr>
        <w:top w:val="none" w:sz="0" w:space="0" w:color="auto"/>
        <w:left w:val="none" w:sz="0" w:space="0" w:color="auto"/>
        <w:bottom w:val="none" w:sz="0" w:space="0" w:color="auto"/>
        <w:right w:val="none" w:sz="0" w:space="0" w:color="auto"/>
      </w:divBdr>
    </w:div>
    <w:div w:id="755056612">
      <w:bodyDiv w:val="1"/>
      <w:marLeft w:val="0"/>
      <w:marRight w:val="0"/>
      <w:marTop w:val="0"/>
      <w:marBottom w:val="0"/>
      <w:divBdr>
        <w:top w:val="none" w:sz="0" w:space="0" w:color="auto"/>
        <w:left w:val="none" w:sz="0" w:space="0" w:color="auto"/>
        <w:bottom w:val="none" w:sz="0" w:space="0" w:color="auto"/>
        <w:right w:val="none" w:sz="0" w:space="0" w:color="auto"/>
      </w:divBdr>
    </w:div>
    <w:div w:id="758406898">
      <w:bodyDiv w:val="1"/>
      <w:marLeft w:val="0"/>
      <w:marRight w:val="0"/>
      <w:marTop w:val="0"/>
      <w:marBottom w:val="0"/>
      <w:divBdr>
        <w:top w:val="none" w:sz="0" w:space="0" w:color="auto"/>
        <w:left w:val="none" w:sz="0" w:space="0" w:color="auto"/>
        <w:bottom w:val="none" w:sz="0" w:space="0" w:color="auto"/>
        <w:right w:val="none" w:sz="0" w:space="0" w:color="auto"/>
      </w:divBdr>
    </w:div>
    <w:div w:id="759060785">
      <w:bodyDiv w:val="1"/>
      <w:marLeft w:val="0"/>
      <w:marRight w:val="0"/>
      <w:marTop w:val="0"/>
      <w:marBottom w:val="0"/>
      <w:divBdr>
        <w:top w:val="none" w:sz="0" w:space="0" w:color="auto"/>
        <w:left w:val="none" w:sz="0" w:space="0" w:color="auto"/>
        <w:bottom w:val="none" w:sz="0" w:space="0" w:color="auto"/>
        <w:right w:val="none" w:sz="0" w:space="0" w:color="auto"/>
      </w:divBdr>
    </w:div>
    <w:div w:id="759790953">
      <w:bodyDiv w:val="1"/>
      <w:marLeft w:val="0"/>
      <w:marRight w:val="0"/>
      <w:marTop w:val="0"/>
      <w:marBottom w:val="0"/>
      <w:divBdr>
        <w:top w:val="none" w:sz="0" w:space="0" w:color="auto"/>
        <w:left w:val="none" w:sz="0" w:space="0" w:color="auto"/>
        <w:bottom w:val="none" w:sz="0" w:space="0" w:color="auto"/>
        <w:right w:val="none" w:sz="0" w:space="0" w:color="auto"/>
      </w:divBdr>
    </w:div>
    <w:div w:id="765810026">
      <w:bodyDiv w:val="1"/>
      <w:marLeft w:val="0"/>
      <w:marRight w:val="0"/>
      <w:marTop w:val="0"/>
      <w:marBottom w:val="0"/>
      <w:divBdr>
        <w:top w:val="none" w:sz="0" w:space="0" w:color="auto"/>
        <w:left w:val="none" w:sz="0" w:space="0" w:color="auto"/>
        <w:bottom w:val="none" w:sz="0" w:space="0" w:color="auto"/>
        <w:right w:val="none" w:sz="0" w:space="0" w:color="auto"/>
      </w:divBdr>
    </w:div>
    <w:div w:id="766928272">
      <w:bodyDiv w:val="1"/>
      <w:marLeft w:val="0"/>
      <w:marRight w:val="0"/>
      <w:marTop w:val="0"/>
      <w:marBottom w:val="0"/>
      <w:divBdr>
        <w:top w:val="none" w:sz="0" w:space="0" w:color="auto"/>
        <w:left w:val="none" w:sz="0" w:space="0" w:color="auto"/>
        <w:bottom w:val="none" w:sz="0" w:space="0" w:color="auto"/>
        <w:right w:val="none" w:sz="0" w:space="0" w:color="auto"/>
      </w:divBdr>
    </w:div>
    <w:div w:id="768279442">
      <w:bodyDiv w:val="1"/>
      <w:marLeft w:val="0"/>
      <w:marRight w:val="0"/>
      <w:marTop w:val="0"/>
      <w:marBottom w:val="0"/>
      <w:divBdr>
        <w:top w:val="none" w:sz="0" w:space="0" w:color="auto"/>
        <w:left w:val="none" w:sz="0" w:space="0" w:color="auto"/>
        <w:bottom w:val="none" w:sz="0" w:space="0" w:color="auto"/>
        <w:right w:val="none" w:sz="0" w:space="0" w:color="auto"/>
      </w:divBdr>
    </w:div>
    <w:div w:id="771559462">
      <w:bodyDiv w:val="1"/>
      <w:marLeft w:val="0"/>
      <w:marRight w:val="0"/>
      <w:marTop w:val="0"/>
      <w:marBottom w:val="0"/>
      <w:divBdr>
        <w:top w:val="none" w:sz="0" w:space="0" w:color="auto"/>
        <w:left w:val="none" w:sz="0" w:space="0" w:color="auto"/>
        <w:bottom w:val="none" w:sz="0" w:space="0" w:color="auto"/>
        <w:right w:val="none" w:sz="0" w:space="0" w:color="auto"/>
      </w:divBdr>
    </w:div>
    <w:div w:id="780422415">
      <w:bodyDiv w:val="1"/>
      <w:marLeft w:val="0"/>
      <w:marRight w:val="0"/>
      <w:marTop w:val="0"/>
      <w:marBottom w:val="0"/>
      <w:divBdr>
        <w:top w:val="none" w:sz="0" w:space="0" w:color="auto"/>
        <w:left w:val="none" w:sz="0" w:space="0" w:color="auto"/>
        <w:bottom w:val="none" w:sz="0" w:space="0" w:color="auto"/>
        <w:right w:val="none" w:sz="0" w:space="0" w:color="auto"/>
      </w:divBdr>
    </w:div>
    <w:div w:id="792286381">
      <w:bodyDiv w:val="1"/>
      <w:marLeft w:val="0"/>
      <w:marRight w:val="0"/>
      <w:marTop w:val="0"/>
      <w:marBottom w:val="0"/>
      <w:divBdr>
        <w:top w:val="none" w:sz="0" w:space="0" w:color="auto"/>
        <w:left w:val="none" w:sz="0" w:space="0" w:color="auto"/>
        <w:bottom w:val="none" w:sz="0" w:space="0" w:color="auto"/>
        <w:right w:val="none" w:sz="0" w:space="0" w:color="auto"/>
      </w:divBdr>
    </w:div>
    <w:div w:id="793062415">
      <w:bodyDiv w:val="1"/>
      <w:marLeft w:val="0"/>
      <w:marRight w:val="0"/>
      <w:marTop w:val="0"/>
      <w:marBottom w:val="0"/>
      <w:divBdr>
        <w:top w:val="none" w:sz="0" w:space="0" w:color="auto"/>
        <w:left w:val="none" w:sz="0" w:space="0" w:color="auto"/>
        <w:bottom w:val="none" w:sz="0" w:space="0" w:color="auto"/>
        <w:right w:val="none" w:sz="0" w:space="0" w:color="auto"/>
      </w:divBdr>
    </w:div>
    <w:div w:id="793794606">
      <w:bodyDiv w:val="1"/>
      <w:marLeft w:val="0"/>
      <w:marRight w:val="0"/>
      <w:marTop w:val="0"/>
      <w:marBottom w:val="0"/>
      <w:divBdr>
        <w:top w:val="none" w:sz="0" w:space="0" w:color="auto"/>
        <w:left w:val="none" w:sz="0" w:space="0" w:color="auto"/>
        <w:bottom w:val="none" w:sz="0" w:space="0" w:color="auto"/>
        <w:right w:val="none" w:sz="0" w:space="0" w:color="auto"/>
      </w:divBdr>
    </w:div>
    <w:div w:id="801314298">
      <w:bodyDiv w:val="1"/>
      <w:marLeft w:val="0"/>
      <w:marRight w:val="0"/>
      <w:marTop w:val="0"/>
      <w:marBottom w:val="0"/>
      <w:divBdr>
        <w:top w:val="none" w:sz="0" w:space="0" w:color="auto"/>
        <w:left w:val="none" w:sz="0" w:space="0" w:color="auto"/>
        <w:bottom w:val="none" w:sz="0" w:space="0" w:color="auto"/>
        <w:right w:val="none" w:sz="0" w:space="0" w:color="auto"/>
      </w:divBdr>
    </w:div>
    <w:div w:id="803543612">
      <w:bodyDiv w:val="1"/>
      <w:marLeft w:val="0"/>
      <w:marRight w:val="0"/>
      <w:marTop w:val="0"/>
      <w:marBottom w:val="0"/>
      <w:divBdr>
        <w:top w:val="none" w:sz="0" w:space="0" w:color="auto"/>
        <w:left w:val="none" w:sz="0" w:space="0" w:color="auto"/>
        <w:bottom w:val="none" w:sz="0" w:space="0" w:color="auto"/>
        <w:right w:val="none" w:sz="0" w:space="0" w:color="auto"/>
      </w:divBdr>
    </w:div>
    <w:div w:id="805396375">
      <w:bodyDiv w:val="1"/>
      <w:marLeft w:val="0"/>
      <w:marRight w:val="0"/>
      <w:marTop w:val="0"/>
      <w:marBottom w:val="0"/>
      <w:divBdr>
        <w:top w:val="none" w:sz="0" w:space="0" w:color="auto"/>
        <w:left w:val="none" w:sz="0" w:space="0" w:color="auto"/>
        <w:bottom w:val="none" w:sz="0" w:space="0" w:color="auto"/>
        <w:right w:val="none" w:sz="0" w:space="0" w:color="auto"/>
      </w:divBdr>
    </w:div>
    <w:div w:id="807742383">
      <w:bodyDiv w:val="1"/>
      <w:marLeft w:val="0"/>
      <w:marRight w:val="0"/>
      <w:marTop w:val="0"/>
      <w:marBottom w:val="0"/>
      <w:divBdr>
        <w:top w:val="none" w:sz="0" w:space="0" w:color="auto"/>
        <w:left w:val="none" w:sz="0" w:space="0" w:color="auto"/>
        <w:bottom w:val="none" w:sz="0" w:space="0" w:color="auto"/>
        <w:right w:val="none" w:sz="0" w:space="0" w:color="auto"/>
      </w:divBdr>
    </w:div>
    <w:div w:id="808672564">
      <w:bodyDiv w:val="1"/>
      <w:marLeft w:val="0"/>
      <w:marRight w:val="0"/>
      <w:marTop w:val="0"/>
      <w:marBottom w:val="0"/>
      <w:divBdr>
        <w:top w:val="none" w:sz="0" w:space="0" w:color="auto"/>
        <w:left w:val="none" w:sz="0" w:space="0" w:color="auto"/>
        <w:bottom w:val="none" w:sz="0" w:space="0" w:color="auto"/>
        <w:right w:val="none" w:sz="0" w:space="0" w:color="auto"/>
      </w:divBdr>
    </w:div>
    <w:div w:id="818961138">
      <w:bodyDiv w:val="1"/>
      <w:marLeft w:val="0"/>
      <w:marRight w:val="0"/>
      <w:marTop w:val="0"/>
      <w:marBottom w:val="0"/>
      <w:divBdr>
        <w:top w:val="none" w:sz="0" w:space="0" w:color="auto"/>
        <w:left w:val="none" w:sz="0" w:space="0" w:color="auto"/>
        <w:bottom w:val="none" w:sz="0" w:space="0" w:color="auto"/>
        <w:right w:val="none" w:sz="0" w:space="0" w:color="auto"/>
      </w:divBdr>
    </w:div>
    <w:div w:id="822812682">
      <w:bodyDiv w:val="1"/>
      <w:marLeft w:val="0"/>
      <w:marRight w:val="0"/>
      <w:marTop w:val="0"/>
      <w:marBottom w:val="0"/>
      <w:divBdr>
        <w:top w:val="none" w:sz="0" w:space="0" w:color="auto"/>
        <w:left w:val="none" w:sz="0" w:space="0" w:color="auto"/>
        <w:bottom w:val="none" w:sz="0" w:space="0" w:color="auto"/>
        <w:right w:val="none" w:sz="0" w:space="0" w:color="auto"/>
      </w:divBdr>
    </w:div>
    <w:div w:id="828253116">
      <w:bodyDiv w:val="1"/>
      <w:marLeft w:val="0"/>
      <w:marRight w:val="0"/>
      <w:marTop w:val="0"/>
      <w:marBottom w:val="0"/>
      <w:divBdr>
        <w:top w:val="none" w:sz="0" w:space="0" w:color="auto"/>
        <w:left w:val="none" w:sz="0" w:space="0" w:color="auto"/>
        <w:bottom w:val="none" w:sz="0" w:space="0" w:color="auto"/>
        <w:right w:val="none" w:sz="0" w:space="0" w:color="auto"/>
      </w:divBdr>
    </w:div>
    <w:div w:id="841353936">
      <w:bodyDiv w:val="1"/>
      <w:marLeft w:val="0"/>
      <w:marRight w:val="0"/>
      <w:marTop w:val="0"/>
      <w:marBottom w:val="0"/>
      <w:divBdr>
        <w:top w:val="none" w:sz="0" w:space="0" w:color="auto"/>
        <w:left w:val="none" w:sz="0" w:space="0" w:color="auto"/>
        <w:bottom w:val="none" w:sz="0" w:space="0" w:color="auto"/>
        <w:right w:val="none" w:sz="0" w:space="0" w:color="auto"/>
      </w:divBdr>
    </w:div>
    <w:div w:id="848253672">
      <w:bodyDiv w:val="1"/>
      <w:marLeft w:val="0"/>
      <w:marRight w:val="0"/>
      <w:marTop w:val="0"/>
      <w:marBottom w:val="0"/>
      <w:divBdr>
        <w:top w:val="none" w:sz="0" w:space="0" w:color="auto"/>
        <w:left w:val="none" w:sz="0" w:space="0" w:color="auto"/>
        <w:bottom w:val="none" w:sz="0" w:space="0" w:color="auto"/>
        <w:right w:val="none" w:sz="0" w:space="0" w:color="auto"/>
      </w:divBdr>
    </w:div>
    <w:div w:id="851145663">
      <w:bodyDiv w:val="1"/>
      <w:marLeft w:val="0"/>
      <w:marRight w:val="0"/>
      <w:marTop w:val="0"/>
      <w:marBottom w:val="0"/>
      <w:divBdr>
        <w:top w:val="none" w:sz="0" w:space="0" w:color="auto"/>
        <w:left w:val="none" w:sz="0" w:space="0" w:color="auto"/>
        <w:bottom w:val="none" w:sz="0" w:space="0" w:color="auto"/>
        <w:right w:val="none" w:sz="0" w:space="0" w:color="auto"/>
      </w:divBdr>
    </w:div>
    <w:div w:id="865993481">
      <w:bodyDiv w:val="1"/>
      <w:marLeft w:val="0"/>
      <w:marRight w:val="0"/>
      <w:marTop w:val="0"/>
      <w:marBottom w:val="0"/>
      <w:divBdr>
        <w:top w:val="none" w:sz="0" w:space="0" w:color="auto"/>
        <w:left w:val="none" w:sz="0" w:space="0" w:color="auto"/>
        <w:bottom w:val="none" w:sz="0" w:space="0" w:color="auto"/>
        <w:right w:val="none" w:sz="0" w:space="0" w:color="auto"/>
      </w:divBdr>
    </w:div>
    <w:div w:id="873618840">
      <w:bodyDiv w:val="1"/>
      <w:marLeft w:val="0"/>
      <w:marRight w:val="0"/>
      <w:marTop w:val="0"/>
      <w:marBottom w:val="0"/>
      <w:divBdr>
        <w:top w:val="none" w:sz="0" w:space="0" w:color="auto"/>
        <w:left w:val="none" w:sz="0" w:space="0" w:color="auto"/>
        <w:bottom w:val="none" w:sz="0" w:space="0" w:color="auto"/>
        <w:right w:val="none" w:sz="0" w:space="0" w:color="auto"/>
      </w:divBdr>
    </w:div>
    <w:div w:id="877664284">
      <w:bodyDiv w:val="1"/>
      <w:marLeft w:val="0"/>
      <w:marRight w:val="0"/>
      <w:marTop w:val="0"/>
      <w:marBottom w:val="0"/>
      <w:divBdr>
        <w:top w:val="none" w:sz="0" w:space="0" w:color="auto"/>
        <w:left w:val="none" w:sz="0" w:space="0" w:color="auto"/>
        <w:bottom w:val="none" w:sz="0" w:space="0" w:color="auto"/>
        <w:right w:val="none" w:sz="0" w:space="0" w:color="auto"/>
      </w:divBdr>
    </w:div>
    <w:div w:id="887103880">
      <w:bodyDiv w:val="1"/>
      <w:marLeft w:val="0"/>
      <w:marRight w:val="0"/>
      <w:marTop w:val="0"/>
      <w:marBottom w:val="0"/>
      <w:divBdr>
        <w:top w:val="none" w:sz="0" w:space="0" w:color="auto"/>
        <w:left w:val="none" w:sz="0" w:space="0" w:color="auto"/>
        <w:bottom w:val="none" w:sz="0" w:space="0" w:color="auto"/>
        <w:right w:val="none" w:sz="0" w:space="0" w:color="auto"/>
      </w:divBdr>
    </w:div>
    <w:div w:id="887574923">
      <w:bodyDiv w:val="1"/>
      <w:marLeft w:val="0"/>
      <w:marRight w:val="0"/>
      <w:marTop w:val="0"/>
      <w:marBottom w:val="0"/>
      <w:divBdr>
        <w:top w:val="none" w:sz="0" w:space="0" w:color="auto"/>
        <w:left w:val="none" w:sz="0" w:space="0" w:color="auto"/>
        <w:bottom w:val="none" w:sz="0" w:space="0" w:color="auto"/>
        <w:right w:val="none" w:sz="0" w:space="0" w:color="auto"/>
      </w:divBdr>
    </w:div>
    <w:div w:id="897908914">
      <w:bodyDiv w:val="1"/>
      <w:marLeft w:val="0"/>
      <w:marRight w:val="0"/>
      <w:marTop w:val="0"/>
      <w:marBottom w:val="0"/>
      <w:divBdr>
        <w:top w:val="none" w:sz="0" w:space="0" w:color="auto"/>
        <w:left w:val="none" w:sz="0" w:space="0" w:color="auto"/>
        <w:bottom w:val="none" w:sz="0" w:space="0" w:color="auto"/>
        <w:right w:val="none" w:sz="0" w:space="0" w:color="auto"/>
      </w:divBdr>
    </w:div>
    <w:div w:id="909998393">
      <w:bodyDiv w:val="1"/>
      <w:marLeft w:val="0"/>
      <w:marRight w:val="0"/>
      <w:marTop w:val="0"/>
      <w:marBottom w:val="0"/>
      <w:divBdr>
        <w:top w:val="none" w:sz="0" w:space="0" w:color="auto"/>
        <w:left w:val="none" w:sz="0" w:space="0" w:color="auto"/>
        <w:bottom w:val="none" w:sz="0" w:space="0" w:color="auto"/>
        <w:right w:val="none" w:sz="0" w:space="0" w:color="auto"/>
      </w:divBdr>
    </w:div>
    <w:div w:id="915285281">
      <w:bodyDiv w:val="1"/>
      <w:marLeft w:val="0"/>
      <w:marRight w:val="0"/>
      <w:marTop w:val="0"/>
      <w:marBottom w:val="0"/>
      <w:divBdr>
        <w:top w:val="none" w:sz="0" w:space="0" w:color="auto"/>
        <w:left w:val="none" w:sz="0" w:space="0" w:color="auto"/>
        <w:bottom w:val="none" w:sz="0" w:space="0" w:color="auto"/>
        <w:right w:val="none" w:sz="0" w:space="0" w:color="auto"/>
      </w:divBdr>
    </w:div>
    <w:div w:id="916086238">
      <w:bodyDiv w:val="1"/>
      <w:marLeft w:val="0"/>
      <w:marRight w:val="0"/>
      <w:marTop w:val="0"/>
      <w:marBottom w:val="0"/>
      <w:divBdr>
        <w:top w:val="none" w:sz="0" w:space="0" w:color="auto"/>
        <w:left w:val="none" w:sz="0" w:space="0" w:color="auto"/>
        <w:bottom w:val="none" w:sz="0" w:space="0" w:color="auto"/>
        <w:right w:val="none" w:sz="0" w:space="0" w:color="auto"/>
      </w:divBdr>
    </w:div>
    <w:div w:id="916398065">
      <w:bodyDiv w:val="1"/>
      <w:marLeft w:val="0"/>
      <w:marRight w:val="0"/>
      <w:marTop w:val="0"/>
      <w:marBottom w:val="0"/>
      <w:divBdr>
        <w:top w:val="none" w:sz="0" w:space="0" w:color="auto"/>
        <w:left w:val="none" w:sz="0" w:space="0" w:color="auto"/>
        <w:bottom w:val="none" w:sz="0" w:space="0" w:color="auto"/>
        <w:right w:val="none" w:sz="0" w:space="0" w:color="auto"/>
      </w:divBdr>
    </w:div>
    <w:div w:id="925040821">
      <w:bodyDiv w:val="1"/>
      <w:marLeft w:val="0"/>
      <w:marRight w:val="0"/>
      <w:marTop w:val="0"/>
      <w:marBottom w:val="0"/>
      <w:divBdr>
        <w:top w:val="none" w:sz="0" w:space="0" w:color="auto"/>
        <w:left w:val="none" w:sz="0" w:space="0" w:color="auto"/>
        <w:bottom w:val="none" w:sz="0" w:space="0" w:color="auto"/>
        <w:right w:val="none" w:sz="0" w:space="0" w:color="auto"/>
      </w:divBdr>
    </w:div>
    <w:div w:id="925066957">
      <w:bodyDiv w:val="1"/>
      <w:marLeft w:val="0"/>
      <w:marRight w:val="0"/>
      <w:marTop w:val="0"/>
      <w:marBottom w:val="0"/>
      <w:divBdr>
        <w:top w:val="none" w:sz="0" w:space="0" w:color="auto"/>
        <w:left w:val="none" w:sz="0" w:space="0" w:color="auto"/>
        <w:bottom w:val="none" w:sz="0" w:space="0" w:color="auto"/>
        <w:right w:val="none" w:sz="0" w:space="0" w:color="auto"/>
      </w:divBdr>
    </w:div>
    <w:div w:id="932739262">
      <w:bodyDiv w:val="1"/>
      <w:marLeft w:val="0"/>
      <w:marRight w:val="0"/>
      <w:marTop w:val="0"/>
      <w:marBottom w:val="0"/>
      <w:divBdr>
        <w:top w:val="none" w:sz="0" w:space="0" w:color="auto"/>
        <w:left w:val="none" w:sz="0" w:space="0" w:color="auto"/>
        <w:bottom w:val="none" w:sz="0" w:space="0" w:color="auto"/>
        <w:right w:val="none" w:sz="0" w:space="0" w:color="auto"/>
      </w:divBdr>
    </w:div>
    <w:div w:id="951321611">
      <w:bodyDiv w:val="1"/>
      <w:marLeft w:val="0"/>
      <w:marRight w:val="0"/>
      <w:marTop w:val="0"/>
      <w:marBottom w:val="0"/>
      <w:divBdr>
        <w:top w:val="none" w:sz="0" w:space="0" w:color="auto"/>
        <w:left w:val="none" w:sz="0" w:space="0" w:color="auto"/>
        <w:bottom w:val="none" w:sz="0" w:space="0" w:color="auto"/>
        <w:right w:val="none" w:sz="0" w:space="0" w:color="auto"/>
      </w:divBdr>
    </w:div>
    <w:div w:id="954872118">
      <w:bodyDiv w:val="1"/>
      <w:marLeft w:val="0"/>
      <w:marRight w:val="0"/>
      <w:marTop w:val="0"/>
      <w:marBottom w:val="0"/>
      <w:divBdr>
        <w:top w:val="none" w:sz="0" w:space="0" w:color="auto"/>
        <w:left w:val="none" w:sz="0" w:space="0" w:color="auto"/>
        <w:bottom w:val="none" w:sz="0" w:space="0" w:color="auto"/>
        <w:right w:val="none" w:sz="0" w:space="0" w:color="auto"/>
      </w:divBdr>
    </w:div>
    <w:div w:id="955718982">
      <w:bodyDiv w:val="1"/>
      <w:marLeft w:val="0"/>
      <w:marRight w:val="0"/>
      <w:marTop w:val="0"/>
      <w:marBottom w:val="0"/>
      <w:divBdr>
        <w:top w:val="none" w:sz="0" w:space="0" w:color="auto"/>
        <w:left w:val="none" w:sz="0" w:space="0" w:color="auto"/>
        <w:bottom w:val="none" w:sz="0" w:space="0" w:color="auto"/>
        <w:right w:val="none" w:sz="0" w:space="0" w:color="auto"/>
      </w:divBdr>
    </w:div>
    <w:div w:id="959383234">
      <w:bodyDiv w:val="1"/>
      <w:marLeft w:val="0"/>
      <w:marRight w:val="0"/>
      <w:marTop w:val="0"/>
      <w:marBottom w:val="0"/>
      <w:divBdr>
        <w:top w:val="none" w:sz="0" w:space="0" w:color="auto"/>
        <w:left w:val="none" w:sz="0" w:space="0" w:color="auto"/>
        <w:bottom w:val="none" w:sz="0" w:space="0" w:color="auto"/>
        <w:right w:val="none" w:sz="0" w:space="0" w:color="auto"/>
      </w:divBdr>
    </w:div>
    <w:div w:id="963777259">
      <w:bodyDiv w:val="1"/>
      <w:marLeft w:val="0"/>
      <w:marRight w:val="0"/>
      <w:marTop w:val="0"/>
      <w:marBottom w:val="0"/>
      <w:divBdr>
        <w:top w:val="none" w:sz="0" w:space="0" w:color="auto"/>
        <w:left w:val="none" w:sz="0" w:space="0" w:color="auto"/>
        <w:bottom w:val="none" w:sz="0" w:space="0" w:color="auto"/>
        <w:right w:val="none" w:sz="0" w:space="0" w:color="auto"/>
      </w:divBdr>
    </w:div>
    <w:div w:id="965888197">
      <w:bodyDiv w:val="1"/>
      <w:marLeft w:val="0"/>
      <w:marRight w:val="0"/>
      <w:marTop w:val="0"/>
      <w:marBottom w:val="0"/>
      <w:divBdr>
        <w:top w:val="none" w:sz="0" w:space="0" w:color="auto"/>
        <w:left w:val="none" w:sz="0" w:space="0" w:color="auto"/>
        <w:bottom w:val="none" w:sz="0" w:space="0" w:color="auto"/>
        <w:right w:val="none" w:sz="0" w:space="0" w:color="auto"/>
      </w:divBdr>
    </w:div>
    <w:div w:id="972248710">
      <w:bodyDiv w:val="1"/>
      <w:marLeft w:val="0"/>
      <w:marRight w:val="0"/>
      <w:marTop w:val="0"/>
      <w:marBottom w:val="0"/>
      <w:divBdr>
        <w:top w:val="none" w:sz="0" w:space="0" w:color="auto"/>
        <w:left w:val="none" w:sz="0" w:space="0" w:color="auto"/>
        <w:bottom w:val="none" w:sz="0" w:space="0" w:color="auto"/>
        <w:right w:val="none" w:sz="0" w:space="0" w:color="auto"/>
      </w:divBdr>
    </w:div>
    <w:div w:id="975140489">
      <w:bodyDiv w:val="1"/>
      <w:marLeft w:val="0"/>
      <w:marRight w:val="0"/>
      <w:marTop w:val="0"/>
      <w:marBottom w:val="0"/>
      <w:divBdr>
        <w:top w:val="none" w:sz="0" w:space="0" w:color="auto"/>
        <w:left w:val="none" w:sz="0" w:space="0" w:color="auto"/>
        <w:bottom w:val="none" w:sz="0" w:space="0" w:color="auto"/>
        <w:right w:val="none" w:sz="0" w:space="0" w:color="auto"/>
      </w:divBdr>
    </w:div>
    <w:div w:id="978192753">
      <w:bodyDiv w:val="1"/>
      <w:marLeft w:val="0"/>
      <w:marRight w:val="0"/>
      <w:marTop w:val="0"/>
      <w:marBottom w:val="0"/>
      <w:divBdr>
        <w:top w:val="none" w:sz="0" w:space="0" w:color="auto"/>
        <w:left w:val="none" w:sz="0" w:space="0" w:color="auto"/>
        <w:bottom w:val="none" w:sz="0" w:space="0" w:color="auto"/>
        <w:right w:val="none" w:sz="0" w:space="0" w:color="auto"/>
      </w:divBdr>
    </w:div>
    <w:div w:id="980034548">
      <w:bodyDiv w:val="1"/>
      <w:marLeft w:val="0"/>
      <w:marRight w:val="0"/>
      <w:marTop w:val="0"/>
      <w:marBottom w:val="0"/>
      <w:divBdr>
        <w:top w:val="none" w:sz="0" w:space="0" w:color="auto"/>
        <w:left w:val="none" w:sz="0" w:space="0" w:color="auto"/>
        <w:bottom w:val="none" w:sz="0" w:space="0" w:color="auto"/>
        <w:right w:val="none" w:sz="0" w:space="0" w:color="auto"/>
      </w:divBdr>
    </w:div>
    <w:div w:id="981689225">
      <w:bodyDiv w:val="1"/>
      <w:marLeft w:val="0"/>
      <w:marRight w:val="0"/>
      <w:marTop w:val="0"/>
      <w:marBottom w:val="0"/>
      <w:divBdr>
        <w:top w:val="none" w:sz="0" w:space="0" w:color="auto"/>
        <w:left w:val="none" w:sz="0" w:space="0" w:color="auto"/>
        <w:bottom w:val="none" w:sz="0" w:space="0" w:color="auto"/>
        <w:right w:val="none" w:sz="0" w:space="0" w:color="auto"/>
      </w:divBdr>
    </w:div>
    <w:div w:id="1015380012">
      <w:bodyDiv w:val="1"/>
      <w:marLeft w:val="0"/>
      <w:marRight w:val="0"/>
      <w:marTop w:val="0"/>
      <w:marBottom w:val="0"/>
      <w:divBdr>
        <w:top w:val="none" w:sz="0" w:space="0" w:color="auto"/>
        <w:left w:val="none" w:sz="0" w:space="0" w:color="auto"/>
        <w:bottom w:val="none" w:sz="0" w:space="0" w:color="auto"/>
        <w:right w:val="none" w:sz="0" w:space="0" w:color="auto"/>
      </w:divBdr>
    </w:div>
    <w:div w:id="1021126837">
      <w:bodyDiv w:val="1"/>
      <w:marLeft w:val="0"/>
      <w:marRight w:val="0"/>
      <w:marTop w:val="0"/>
      <w:marBottom w:val="0"/>
      <w:divBdr>
        <w:top w:val="none" w:sz="0" w:space="0" w:color="auto"/>
        <w:left w:val="none" w:sz="0" w:space="0" w:color="auto"/>
        <w:bottom w:val="none" w:sz="0" w:space="0" w:color="auto"/>
        <w:right w:val="none" w:sz="0" w:space="0" w:color="auto"/>
      </w:divBdr>
    </w:div>
    <w:div w:id="1030568261">
      <w:bodyDiv w:val="1"/>
      <w:marLeft w:val="0"/>
      <w:marRight w:val="0"/>
      <w:marTop w:val="0"/>
      <w:marBottom w:val="0"/>
      <w:divBdr>
        <w:top w:val="none" w:sz="0" w:space="0" w:color="auto"/>
        <w:left w:val="none" w:sz="0" w:space="0" w:color="auto"/>
        <w:bottom w:val="none" w:sz="0" w:space="0" w:color="auto"/>
        <w:right w:val="none" w:sz="0" w:space="0" w:color="auto"/>
      </w:divBdr>
    </w:div>
    <w:div w:id="1039938494">
      <w:bodyDiv w:val="1"/>
      <w:marLeft w:val="0"/>
      <w:marRight w:val="0"/>
      <w:marTop w:val="0"/>
      <w:marBottom w:val="0"/>
      <w:divBdr>
        <w:top w:val="none" w:sz="0" w:space="0" w:color="auto"/>
        <w:left w:val="none" w:sz="0" w:space="0" w:color="auto"/>
        <w:bottom w:val="none" w:sz="0" w:space="0" w:color="auto"/>
        <w:right w:val="none" w:sz="0" w:space="0" w:color="auto"/>
      </w:divBdr>
    </w:div>
    <w:div w:id="1040668794">
      <w:bodyDiv w:val="1"/>
      <w:marLeft w:val="0"/>
      <w:marRight w:val="0"/>
      <w:marTop w:val="0"/>
      <w:marBottom w:val="0"/>
      <w:divBdr>
        <w:top w:val="none" w:sz="0" w:space="0" w:color="auto"/>
        <w:left w:val="none" w:sz="0" w:space="0" w:color="auto"/>
        <w:bottom w:val="none" w:sz="0" w:space="0" w:color="auto"/>
        <w:right w:val="none" w:sz="0" w:space="0" w:color="auto"/>
      </w:divBdr>
    </w:div>
    <w:div w:id="1041513523">
      <w:bodyDiv w:val="1"/>
      <w:marLeft w:val="0"/>
      <w:marRight w:val="0"/>
      <w:marTop w:val="0"/>
      <w:marBottom w:val="0"/>
      <w:divBdr>
        <w:top w:val="none" w:sz="0" w:space="0" w:color="auto"/>
        <w:left w:val="none" w:sz="0" w:space="0" w:color="auto"/>
        <w:bottom w:val="none" w:sz="0" w:space="0" w:color="auto"/>
        <w:right w:val="none" w:sz="0" w:space="0" w:color="auto"/>
      </w:divBdr>
    </w:div>
    <w:div w:id="1041632880">
      <w:bodyDiv w:val="1"/>
      <w:marLeft w:val="0"/>
      <w:marRight w:val="0"/>
      <w:marTop w:val="0"/>
      <w:marBottom w:val="0"/>
      <w:divBdr>
        <w:top w:val="none" w:sz="0" w:space="0" w:color="auto"/>
        <w:left w:val="none" w:sz="0" w:space="0" w:color="auto"/>
        <w:bottom w:val="none" w:sz="0" w:space="0" w:color="auto"/>
        <w:right w:val="none" w:sz="0" w:space="0" w:color="auto"/>
      </w:divBdr>
    </w:div>
    <w:div w:id="1042292908">
      <w:bodyDiv w:val="1"/>
      <w:marLeft w:val="0"/>
      <w:marRight w:val="0"/>
      <w:marTop w:val="0"/>
      <w:marBottom w:val="0"/>
      <w:divBdr>
        <w:top w:val="none" w:sz="0" w:space="0" w:color="auto"/>
        <w:left w:val="none" w:sz="0" w:space="0" w:color="auto"/>
        <w:bottom w:val="none" w:sz="0" w:space="0" w:color="auto"/>
        <w:right w:val="none" w:sz="0" w:space="0" w:color="auto"/>
      </w:divBdr>
    </w:div>
    <w:div w:id="1046106984">
      <w:bodyDiv w:val="1"/>
      <w:marLeft w:val="0"/>
      <w:marRight w:val="0"/>
      <w:marTop w:val="0"/>
      <w:marBottom w:val="0"/>
      <w:divBdr>
        <w:top w:val="none" w:sz="0" w:space="0" w:color="auto"/>
        <w:left w:val="none" w:sz="0" w:space="0" w:color="auto"/>
        <w:bottom w:val="none" w:sz="0" w:space="0" w:color="auto"/>
        <w:right w:val="none" w:sz="0" w:space="0" w:color="auto"/>
      </w:divBdr>
    </w:div>
    <w:div w:id="1047024465">
      <w:bodyDiv w:val="1"/>
      <w:marLeft w:val="0"/>
      <w:marRight w:val="0"/>
      <w:marTop w:val="0"/>
      <w:marBottom w:val="0"/>
      <w:divBdr>
        <w:top w:val="none" w:sz="0" w:space="0" w:color="auto"/>
        <w:left w:val="none" w:sz="0" w:space="0" w:color="auto"/>
        <w:bottom w:val="none" w:sz="0" w:space="0" w:color="auto"/>
        <w:right w:val="none" w:sz="0" w:space="0" w:color="auto"/>
      </w:divBdr>
    </w:div>
    <w:div w:id="1051154167">
      <w:bodyDiv w:val="1"/>
      <w:marLeft w:val="0"/>
      <w:marRight w:val="0"/>
      <w:marTop w:val="0"/>
      <w:marBottom w:val="0"/>
      <w:divBdr>
        <w:top w:val="none" w:sz="0" w:space="0" w:color="auto"/>
        <w:left w:val="none" w:sz="0" w:space="0" w:color="auto"/>
        <w:bottom w:val="none" w:sz="0" w:space="0" w:color="auto"/>
        <w:right w:val="none" w:sz="0" w:space="0" w:color="auto"/>
      </w:divBdr>
    </w:div>
    <w:div w:id="1064571534">
      <w:bodyDiv w:val="1"/>
      <w:marLeft w:val="0"/>
      <w:marRight w:val="0"/>
      <w:marTop w:val="0"/>
      <w:marBottom w:val="0"/>
      <w:divBdr>
        <w:top w:val="none" w:sz="0" w:space="0" w:color="auto"/>
        <w:left w:val="none" w:sz="0" w:space="0" w:color="auto"/>
        <w:bottom w:val="none" w:sz="0" w:space="0" w:color="auto"/>
        <w:right w:val="none" w:sz="0" w:space="0" w:color="auto"/>
      </w:divBdr>
    </w:div>
    <w:div w:id="1068767833">
      <w:bodyDiv w:val="1"/>
      <w:marLeft w:val="0"/>
      <w:marRight w:val="0"/>
      <w:marTop w:val="0"/>
      <w:marBottom w:val="0"/>
      <w:divBdr>
        <w:top w:val="none" w:sz="0" w:space="0" w:color="auto"/>
        <w:left w:val="none" w:sz="0" w:space="0" w:color="auto"/>
        <w:bottom w:val="none" w:sz="0" w:space="0" w:color="auto"/>
        <w:right w:val="none" w:sz="0" w:space="0" w:color="auto"/>
      </w:divBdr>
    </w:div>
    <w:div w:id="1077822323">
      <w:bodyDiv w:val="1"/>
      <w:marLeft w:val="0"/>
      <w:marRight w:val="0"/>
      <w:marTop w:val="0"/>
      <w:marBottom w:val="0"/>
      <w:divBdr>
        <w:top w:val="none" w:sz="0" w:space="0" w:color="auto"/>
        <w:left w:val="none" w:sz="0" w:space="0" w:color="auto"/>
        <w:bottom w:val="none" w:sz="0" w:space="0" w:color="auto"/>
        <w:right w:val="none" w:sz="0" w:space="0" w:color="auto"/>
      </w:divBdr>
    </w:div>
    <w:div w:id="1081609845">
      <w:bodyDiv w:val="1"/>
      <w:marLeft w:val="0"/>
      <w:marRight w:val="0"/>
      <w:marTop w:val="0"/>
      <w:marBottom w:val="0"/>
      <w:divBdr>
        <w:top w:val="none" w:sz="0" w:space="0" w:color="auto"/>
        <w:left w:val="none" w:sz="0" w:space="0" w:color="auto"/>
        <w:bottom w:val="none" w:sz="0" w:space="0" w:color="auto"/>
        <w:right w:val="none" w:sz="0" w:space="0" w:color="auto"/>
      </w:divBdr>
    </w:div>
    <w:div w:id="1090545587">
      <w:bodyDiv w:val="1"/>
      <w:marLeft w:val="0"/>
      <w:marRight w:val="0"/>
      <w:marTop w:val="0"/>
      <w:marBottom w:val="0"/>
      <w:divBdr>
        <w:top w:val="none" w:sz="0" w:space="0" w:color="auto"/>
        <w:left w:val="none" w:sz="0" w:space="0" w:color="auto"/>
        <w:bottom w:val="none" w:sz="0" w:space="0" w:color="auto"/>
        <w:right w:val="none" w:sz="0" w:space="0" w:color="auto"/>
      </w:divBdr>
    </w:div>
    <w:div w:id="1092504700">
      <w:bodyDiv w:val="1"/>
      <w:marLeft w:val="0"/>
      <w:marRight w:val="0"/>
      <w:marTop w:val="0"/>
      <w:marBottom w:val="0"/>
      <w:divBdr>
        <w:top w:val="none" w:sz="0" w:space="0" w:color="auto"/>
        <w:left w:val="none" w:sz="0" w:space="0" w:color="auto"/>
        <w:bottom w:val="none" w:sz="0" w:space="0" w:color="auto"/>
        <w:right w:val="none" w:sz="0" w:space="0" w:color="auto"/>
      </w:divBdr>
    </w:div>
    <w:div w:id="1112935598">
      <w:bodyDiv w:val="1"/>
      <w:marLeft w:val="0"/>
      <w:marRight w:val="0"/>
      <w:marTop w:val="0"/>
      <w:marBottom w:val="0"/>
      <w:divBdr>
        <w:top w:val="none" w:sz="0" w:space="0" w:color="auto"/>
        <w:left w:val="none" w:sz="0" w:space="0" w:color="auto"/>
        <w:bottom w:val="none" w:sz="0" w:space="0" w:color="auto"/>
        <w:right w:val="none" w:sz="0" w:space="0" w:color="auto"/>
      </w:divBdr>
    </w:div>
    <w:div w:id="1116408732">
      <w:bodyDiv w:val="1"/>
      <w:marLeft w:val="0"/>
      <w:marRight w:val="0"/>
      <w:marTop w:val="0"/>
      <w:marBottom w:val="0"/>
      <w:divBdr>
        <w:top w:val="none" w:sz="0" w:space="0" w:color="auto"/>
        <w:left w:val="none" w:sz="0" w:space="0" w:color="auto"/>
        <w:bottom w:val="none" w:sz="0" w:space="0" w:color="auto"/>
        <w:right w:val="none" w:sz="0" w:space="0" w:color="auto"/>
      </w:divBdr>
    </w:div>
    <w:div w:id="1129471862">
      <w:bodyDiv w:val="1"/>
      <w:marLeft w:val="0"/>
      <w:marRight w:val="0"/>
      <w:marTop w:val="0"/>
      <w:marBottom w:val="0"/>
      <w:divBdr>
        <w:top w:val="none" w:sz="0" w:space="0" w:color="auto"/>
        <w:left w:val="none" w:sz="0" w:space="0" w:color="auto"/>
        <w:bottom w:val="none" w:sz="0" w:space="0" w:color="auto"/>
        <w:right w:val="none" w:sz="0" w:space="0" w:color="auto"/>
      </w:divBdr>
    </w:div>
    <w:div w:id="1132672255">
      <w:bodyDiv w:val="1"/>
      <w:marLeft w:val="0"/>
      <w:marRight w:val="0"/>
      <w:marTop w:val="0"/>
      <w:marBottom w:val="0"/>
      <w:divBdr>
        <w:top w:val="none" w:sz="0" w:space="0" w:color="auto"/>
        <w:left w:val="none" w:sz="0" w:space="0" w:color="auto"/>
        <w:bottom w:val="none" w:sz="0" w:space="0" w:color="auto"/>
        <w:right w:val="none" w:sz="0" w:space="0" w:color="auto"/>
      </w:divBdr>
    </w:div>
    <w:div w:id="1133669016">
      <w:bodyDiv w:val="1"/>
      <w:marLeft w:val="0"/>
      <w:marRight w:val="0"/>
      <w:marTop w:val="0"/>
      <w:marBottom w:val="0"/>
      <w:divBdr>
        <w:top w:val="none" w:sz="0" w:space="0" w:color="auto"/>
        <w:left w:val="none" w:sz="0" w:space="0" w:color="auto"/>
        <w:bottom w:val="none" w:sz="0" w:space="0" w:color="auto"/>
        <w:right w:val="none" w:sz="0" w:space="0" w:color="auto"/>
      </w:divBdr>
    </w:div>
    <w:div w:id="1134329274">
      <w:bodyDiv w:val="1"/>
      <w:marLeft w:val="0"/>
      <w:marRight w:val="0"/>
      <w:marTop w:val="0"/>
      <w:marBottom w:val="0"/>
      <w:divBdr>
        <w:top w:val="none" w:sz="0" w:space="0" w:color="auto"/>
        <w:left w:val="none" w:sz="0" w:space="0" w:color="auto"/>
        <w:bottom w:val="none" w:sz="0" w:space="0" w:color="auto"/>
        <w:right w:val="none" w:sz="0" w:space="0" w:color="auto"/>
      </w:divBdr>
    </w:div>
    <w:div w:id="1135026918">
      <w:bodyDiv w:val="1"/>
      <w:marLeft w:val="0"/>
      <w:marRight w:val="0"/>
      <w:marTop w:val="0"/>
      <w:marBottom w:val="0"/>
      <w:divBdr>
        <w:top w:val="none" w:sz="0" w:space="0" w:color="auto"/>
        <w:left w:val="none" w:sz="0" w:space="0" w:color="auto"/>
        <w:bottom w:val="none" w:sz="0" w:space="0" w:color="auto"/>
        <w:right w:val="none" w:sz="0" w:space="0" w:color="auto"/>
      </w:divBdr>
    </w:div>
    <w:div w:id="1145050132">
      <w:bodyDiv w:val="1"/>
      <w:marLeft w:val="0"/>
      <w:marRight w:val="0"/>
      <w:marTop w:val="0"/>
      <w:marBottom w:val="0"/>
      <w:divBdr>
        <w:top w:val="none" w:sz="0" w:space="0" w:color="auto"/>
        <w:left w:val="none" w:sz="0" w:space="0" w:color="auto"/>
        <w:bottom w:val="none" w:sz="0" w:space="0" w:color="auto"/>
        <w:right w:val="none" w:sz="0" w:space="0" w:color="auto"/>
      </w:divBdr>
    </w:div>
    <w:div w:id="1150944865">
      <w:bodyDiv w:val="1"/>
      <w:marLeft w:val="0"/>
      <w:marRight w:val="0"/>
      <w:marTop w:val="0"/>
      <w:marBottom w:val="0"/>
      <w:divBdr>
        <w:top w:val="none" w:sz="0" w:space="0" w:color="auto"/>
        <w:left w:val="none" w:sz="0" w:space="0" w:color="auto"/>
        <w:bottom w:val="none" w:sz="0" w:space="0" w:color="auto"/>
        <w:right w:val="none" w:sz="0" w:space="0" w:color="auto"/>
      </w:divBdr>
    </w:div>
    <w:div w:id="1151554842">
      <w:bodyDiv w:val="1"/>
      <w:marLeft w:val="0"/>
      <w:marRight w:val="0"/>
      <w:marTop w:val="0"/>
      <w:marBottom w:val="0"/>
      <w:divBdr>
        <w:top w:val="none" w:sz="0" w:space="0" w:color="auto"/>
        <w:left w:val="none" w:sz="0" w:space="0" w:color="auto"/>
        <w:bottom w:val="none" w:sz="0" w:space="0" w:color="auto"/>
        <w:right w:val="none" w:sz="0" w:space="0" w:color="auto"/>
      </w:divBdr>
    </w:div>
    <w:div w:id="1154369556">
      <w:bodyDiv w:val="1"/>
      <w:marLeft w:val="0"/>
      <w:marRight w:val="0"/>
      <w:marTop w:val="0"/>
      <w:marBottom w:val="0"/>
      <w:divBdr>
        <w:top w:val="none" w:sz="0" w:space="0" w:color="auto"/>
        <w:left w:val="none" w:sz="0" w:space="0" w:color="auto"/>
        <w:bottom w:val="none" w:sz="0" w:space="0" w:color="auto"/>
        <w:right w:val="none" w:sz="0" w:space="0" w:color="auto"/>
      </w:divBdr>
    </w:div>
    <w:div w:id="1155605588">
      <w:bodyDiv w:val="1"/>
      <w:marLeft w:val="0"/>
      <w:marRight w:val="0"/>
      <w:marTop w:val="0"/>
      <w:marBottom w:val="0"/>
      <w:divBdr>
        <w:top w:val="none" w:sz="0" w:space="0" w:color="auto"/>
        <w:left w:val="none" w:sz="0" w:space="0" w:color="auto"/>
        <w:bottom w:val="none" w:sz="0" w:space="0" w:color="auto"/>
        <w:right w:val="none" w:sz="0" w:space="0" w:color="auto"/>
      </w:divBdr>
    </w:div>
    <w:div w:id="1160579185">
      <w:bodyDiv w:val="1"/>
      <w:marLeft w:val="0"/>
      <w:marRight w:val="0"/>
      <w:marTop w:val="0"/>
      <w:marBottom w:val="0"/>
      <w:divBdr>
        <w:top w:val="none" w:sz="0" w:space="0" w:color="auto"/>
        <w:left w:val="none" w:sz="0" w:space="0" w:color="auto"/>
        <w:bottom w:val="none" w:sz="0" w:space="0" w:color="auto"/>
        <w:right w:val="none" w:sz="0" w:space="0" w:color="auto"/>
      </w:divBdr>
    </w:div>
    <w:div w:id="1160853036">
      <w:bodyDiv w:val="1"/>
      <w:marLeft w:val="0"/>
      <w:marRight w:val="0"/>
      <w:marTop w:val="0"/>
      <w:marBottom w:val="0"/>
      <w:divBdr>
        <w:top w:val="none" w:sz="0" w:space="0" w:color="auto"/>
        <w:left w:val="none" w:sz="0" w:space="0" w:color="auto"/>
        <w:bottom w:val="none" w:sz="0" w:space="0" w:color="auto"/>
        <w:right w:val="none" w:sz="0" w:space="0" w:color="auto"/>
      </w:divBdr>
    </w:div>
    <w:div w:id="1165241949">
      <w:bodyDiv w:val="1"/>
      <w:marLeft w:val="0"/>
      <w:marRight w:val="0"/>
      <w:marTop w:val="0"/>
      <w:marBottom w:val="0"/>
      <w:divBdr>
        <w:top w:val="none" w:sz="0" w:space="0" w:color="auto"/>
        <w:left w:val="none" w:sz="0" w:space="0" w:color="auto"/>
        <w:bottom w:val="none" w:sz="0" w:space="0" w:color="auto"/>
        <w:right w:val="none" w:sz="0" w:space="0" w:color="auto"/>
      </w:divBdr>
    </w:div>
    <w:div w:id="1165439731">
      <w:bodyDiv w:val="1"/>
      <w:marLeft w:val="0"/>
      <w:marRight w:val="0"/>
      <w:marTop w:val="0"/>
      <w:marBottom w:val="0"/>
      <w:divBdr>
        <w:top w:val="none" w:sz="0" w:space="0" w:color="auto"/>
        <w:left w:val="none" w:sz="0" w:space="0" w:color="auto"/>
        <w:bottom w:val="none" w:sz="0" w:space="0" w:color="auto"/>
        <w:right w:val="none" w:sz="0" w:space="0" w:color="auto"/>
      </w:divBdr>
    </w:div>
    <w:div w:id="1167868060">
      <w:bodyDiv w:val="1"/>
      <w:marLeft w:val="0"/>
      <w:marRight w:val="0"/>
      <w:marTop w:val="0"/>
      <w:marBottom w:val="0"/>
      <w:divBdr>
        <w:top w:val="none" w:sz="0" w:space="0" w:color="auto"/>
        <w:left w:val="none" w:sz="0" w:space="0" w:color="auto"/>
        <w:bottom w:val="none" w:sz="0" w:space="0" w:color="auto"/>
        <w:right w:val="none" w:sz="0" w:space="0" w:color="auto"/>
      </w:divBdr>
    </w:div>
    <w:div w:id="1170294250">
      <w:bodyDiv w:val="1"/>
      <w:marLeft w:val="0"/>
      <w:marRight w:val="0"/>
      <w:marTop w:val="0"/>
      <w:marBottom w:val="0"/>
      <w:divBdr>
        <w:top w:val="none" w:sz="0" w:space="0" w:color="auto"/>
        <w:left w:val="none" w:sz="0" w:space="0" w:color="auto"/>
        <w:bottom w:val="none" w:sz="0" w:space="0" w:color="auto"/>
        <w:right w:val="none" w:sz="0" w:space="0" w:color="auto"/>
      </w:divBdr>
    </w:div>
    <w:div w:id="1173255552">
      <w:bodyDiv w:val="1"/>
      <w:marLeft w:val="0"/>
      <w:marRight w:val="0"/>
      <w:marTop w:val="0"/>
      <w:marBottom w:val="0"/>
      <w:divBdr>
        <w:top w:val="none" w:sz="0" w:space="0" w:color="auto"/>
        <w:left w:val="none" w:sz="0" w:space="0" w:color="auto"/>
        <w:bottom w:val="none" w:sz="0" w:space="0" w:color="auto"/>
        <w:right w:val="none" w:sz="0" w:space="0" w:color="auto"/>
      </w:divBdr>
    </w:div>
    <w:div w:id="1174221879">
      <w:bodyDiv w:val="1"/>
      <w:marLeft w:val="0"/>
      <w:marRight w:val="0"/>
      <w:marTop w:val="0"/>
      <w:marBottom w:val="0"/>
      <w:divBdr>
        <w:top w:val="none" w:sz="0" w:space="0" w:color="auto"/>
        <w:left w:val="none" w:sz="0" w:space="0" w:color="auto"/>
        <w:bottom w:val="none" w:sz="0" w:space="0" w:color="auto"/>
        <w:right w:val="none" w:sz="0" w:space="0" w:color="auto"/>
      </w:divBdr>
    </w:div>
    <w:div w:id="1177227389">
      <w:bodyDiv w:val="1"/>
      <w:marLeft w:val="0"/>
      <w:marRight w:val="0"/>
      <w:marTop w:val="0"/>
      <w:marBottom w:val="0"/>
      <w:divBdr>
        <w:top w:val="none" w:sz="0" w:space="0" w:color="auto"/>
        <w:left w:val="none" w:sz="0" w:space="0" w:color="auto"/>
        <w:bottom w:val="none" w:sz="0" w:space="0" w:color="auto"/>
        <w:right w:val="none" w:sz="0" w:space="0" w:color="auto"/>
      </w:divBdr>
    </w:div>
    <w:div w:id="1177423796">
      <w:bodyDiv w:val="1"/>
      <w:marLeft w:val="0"/>
      <w:marRight w:val="0"/>
      <w:marTop w:val="0"/>
      <w:marBottom w:val="0"/>
      <w:divBdr>
        <w:top w:val="none" w:sz="0" w:space="0" w:color="auto"/>
        <w:left w:val="none" w:sz="0" w:space="0" w:color="auto"/>
        <w:bottom w:val="none" w:sz="0" w:space="0" w:color="auto"/>
        <w:right w:val="none" w:sz="0" w:space="0" w:color="auto"/>
      </w:divBdr>
    </w:div>
    <w:div w:id="1178351761">
      <w:bodyDiv w:val="1"/>
      <w:marLeft w:val="0"/>
      <w:marRight w:val="0"/>
      <w:marTop w:val="0"/>
      <w:marBottom w:val="0"/>
      <w:divBdr>
        <w:top w:val="none" w:sz="0" w:space="0" w:color="auto"/>
        <w:left w:val="none" w:sz="0" w:space="0" w:color="auto"/>
        <w:bottom w:val="none" w:sz="0" w:space="0" w:color="auto"/>
        <w:right w:val="none" w:sz="0" w:space="0" w:color="auto"/>
      </w:divBdr>
    </w:div>
    <w:div w:id="1184368274">
      <w:bodyDiv w:val="1"/>
      <w:marLeft w:val="0"/>
      <w:marRight w:val="0"/>
      <w:marTop w:val="0"/>
      <w:marBottom w:val="0"/>
      <w:divBdr>
        <w:top w:val="none" w:sz="0" w:space="0" w:color="auto"/>
        <w:left w:val="none" w:sz="0" w:space="0" w:color="auto"/>
        <w:bottom w:val="none" w:sz="0" w:space="0" w:color="auto"/>
        <w:right w:val="none" w:sz="0" w:space="0" w:color="auto"/>
      </w:divBdr>
    </w:div>
    <w:div w:id="1185823399">
      <w:bodyDiv w:val="1"/>
      <w:marLeft w:val="0"/>
      <w:marRight w:val="0"/>
      <w:marTop w:val="0"/>
      <w:marBottom w:val="0"/>
      <w:divBdr>
        <w:top w:val="none" w:sz="0" w:space="0" w:color="auto"/>
        <w:left w:val="none" w:sz="0" w:space="0" w:color="auto"/>
        <w:bottom w:val="none" w:sz="0" w:space="0" w:color="auto"/>
        <w:right w:val="none" w:sz="0" w:space="0" w:color="auto"/>
      </w:divBdr>
    </w:div>
    <w:div w:id="1189560015">
      <w:bodyDiv w:val="1"/>
      <w:marLeft w:val="0"/>
      <w:marRight w:val="0"/>
      <w:marTop w:val="0"/>
      <w:marBottom w:val="0"/>
      <w:divBdr>
        <w:top w:val="none" w:sz="0" w:space="0" w:color="auto"/>
        <w:left w:val="none" w:sz="0" w:space="0" w:color="auto"/>
        <w:bottom w:val="none" w:sz="0" w:space="0" w:color="auto"/>
        <w:right w:val="none" w:sz="0" w:space="0" w:color="auto"/>
      </w:divBdr>
    </w:div>
    <w:div w:id="1189954607">
      <w:bodyDiv w:val="1"/>
      <w:marLeft w:val="0"/>
      <w:marRight w:val="0"/>
      <w:marTop w:val="0"/>
      <w:marBottom w:val="0"/>
      <w:divBdr>
        <w:top w:val="none" w:sz="0" w:space="0" w:color="auto"/>
        <w:left w:val="none" w:sz="0" w:space="0" w:color="auto"/>
        <w:bottom w:val="none" w:sz="0" w:space="0" w:color="auto"/>
        <w:right w:val="none" w:sz="0" w:space="0" w:color="auto"/>
      </w:divBdr>
    </w:div>
    <w:div w:id="1194004580">
      <w:bodyDiv w:val="1"/>
      <w:marLeft w:val="0"/>
      <w:marRight w:val="0"/>
      <w:marTop w:val="0"/>
      <w:marBottom w:val="0"/>
      <w:divBdr>
        <w:top w:val="none" w:sz="0" w:space="0" w:color="auto"/>
        <w:left w:val="none" w:sz="0" w:space="0" w:color="auto"/>
        <w:bottom w:val="none" w:sz="0" w:space="0" w:color="auto"/>
        <w:right w:val="none" w:sz="0" w:space="0" w:color="auto"/>
      </w:divBdr>
    </w:div>
    <w:div w:id="1196850893">
      <w:bodyDiv w:val="1"/>
      <w:marLeft w:val="0"/>
      <w:marRight w:val="0"/>
      <w:marTop w:val="0"/>
      <w:marBottom w:val="0"/>
      <w:divBdr>
        <w:top w:val="none" w:sz="0" w:space="0" w:color="auto"/>
        <w:left w:val="none" w:sz="0" w:space="0" w:color="auto"/>
        <w:bottom w:val="none" w:sz="0" w:space="0" w:color="auto"/>
        <w:right w:val="none" w:sz="0" w:space="0" w:color="auto"/>
      </w:divBdr>
    </w:div>
    <w:div w:id="1197423508">
      <w:bodyDiv w:val="1"/>
      <w:marLeft w:val="0"/>
      <w:marRight w:val="0"/>
      <w:marTop w:val="0"/>
      <w:marBottom w:val="0"/>
      <w:divBdr>
        <w:top w:val="none" w:sz="0" w:space="0" w:color="auto"/>
        <w:left w:val="none" w:sz="0" w:space="0" w:color="auto"/>
        <w:bottom w:val="none" w:sz="0" w:space="0" w:color="auto"/>
        <w:right w:val="none" w:sz="0" w:space="0" w:color="auto"/>
      </w:divBdr>
    </w:div>
    <w:div w:id="1203177524">
      <w:bodyDiv w:val="1"/>
      <w:marLeft w:val="0"/>
      <w:marRight w:val="0"/>
      <w:marTop w:val="0"/>
      <w:marBottom w:val="0"/>
      <w:divBdr>
        <w:top w:val="none" w:sz="0" w:space="0" w:color="auto"/>
        <w:left w:val="none" w:sz="0" w:space="0" w:color="auto"/>
        <w:bottom w:val="none" w:sz="0" w:space="0" w:color="auto"/>
        <w:right w:val="none" w:sz="0" w:space="0" w:color="auto"/>
      </w:divBdr>
    </w:div>
    <w:div w:id="1203782768">
      <w:bodyDiv w:val="1"/>
      <w:marLeft w:val="0"/>
      <w:marRight w:val="0"/>
      <w:marTop w:val="0"/>
      <w:marBottom w:val="0"/>
      <w:divBdr>
        <w:top w:val="none" w:sz="0" w:space="0" w:color="auto"/>
        <w:left w:val="none" w:sz="0" w:space="0" w:color="auto"/>
        <w:bottom w:val="none" w:sz="0" w:space="0" w:color="auto"/>
        <w:right w:val="none" w:sz="0" w:space="0" w:color="auto"/>
      </w:divBdr>
    </w:div>
    <w:div w:id="1211769996">
      <w:bodyDiv w:val="1"/>
      <w:marLeft w:val="0"/>
      <w:marRight w:val="0"/>
      <w:marTop w:val="0"/>
      <w:marBottom w:val="0"/>
      <w:divBdr>
        <w:top w:val="none" w:sz="0" w:space="0" w:color="auto"/>
        <w:left w:val="none" w:sz="0" w:space="0" w:color="auto"/>
        <w:bottom w:val="none" w:sz="0" w:space="0" w:color="auto"/>
        <w:right w:val="none" w:sz="0" w:space="0" w:color="auto"/>
      </w:divBdr>
    </w:div>
    <w:div w:id="1212617306">
      <w:bodyDiv w:val="1"/>
      <w:marLeft w:val="0"/>
      <w:marRight w:val="0"/>
      <w:marTop w:val="0"/>
      <w:marBottom w:val="0"/>
      <w:divBdr>
        <w:top w:val="none" w:sz="0" w:space="0" w:color="auto"/>
        <w:left w:val="none" w:sz="0" w:space="0" w:color="auto"/>
        <w:bottom w:val="none" w:sz="0" w:space="0" w:color="auto"/>
        <w:right w:val="none" w:sz="0" w:space="0" w:color="auto"/>
      </w:divBdr>
    </w:div>
    <w:div w:id="1212956628">
      <w:bodyDiv w:val="1"/>
      <w:marLeft w:val="0"/>
      <w:marRight w:val="0"/>
      <w:marTop w:val="0"/>
      <w:marBottom w:val="0"/>
      <w:divBdr>
        <w:top w:val="none" w:sz="0" w:space="0" w:color="auto"/>
        <w:left w:val="none" w:sz="0" w:space="0" w:color="auto"/>
        <w:bottom w:val="none" w:sz="0" w:space="0" w:color="auto"/>
        <w:right w:val="none" w:sz="0" w:space="0" w:color="auto"/>
      </w:divBdr>
    </w:div>
    <w:div w:id="1221284637">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36016155">
      <w:bodyDiv w:val="1"/>
      <w:marLeft w:val="0"/>
      <w:marRight w:val="0"/>
      <w:marTop w:val="0"/>
      <w:marBottom w:val="0"/>
      <w:divBdr>
        <w:top w:val="none" w:sz="0" w:space="0" w:color="auto"/>
        <w:left w:val="none" w:sz="0" w:space="0" w:color="auto"/>
        <w:bottom w:val="none" w:sz="0" w:space="0" w:color="auto"/>
        <w:right w:val="none" w:sz="0" w:space="0" w:color="auto"/>
      </w:divBdr>
    </w:div>
    <w:div w:id="1237932761">
      <w:bodyDiv w:val="1"/>
      <w:marLeft w:val="0"/>
      <w:marRight w:val="0"/>
      <w:marTop w:val="0"/>
      <w:marBottom w:val="0"/>
      <w:divBdr>
        <w:top w:val="none" w:sz="0" w:space="0" w:color="auto"/>
        <w:left w:val="none" w:sz="0" w:space="0" w:color="auto"/>
        <w:bottom w:val="none" w:sz="0" w:space="0" w:color="auto"/>
        <w:right w:val="none" w:sz="0" w:space="0" w:color="auto"/>
      </w:divBdr>
    </w:div>
    <w:div w:id="1238782427">
      <w:bodyDiv w:val="1"/>
      <w:marLeft w:val="0"/>
      <w:marRight w:val="0"/>
      <w:marTop w:val="0"/>
      <w:marBottom w:val="0"/>
      <w:divBdr>
        <w:top w:val="none" w:sz="0" w:space="0" w:color="auto"/>
        <w:left w:val="none" w:sz="0" w:space="0" w:color="auto"/>
        <w:bottom w:val="none" w:sz="0" w:space="0" w:color="auto"/>
        <w:right w:val="none" w:sz="0" w:space="0" w:color="auto"/>
      </w:divBdr>
    </w:div>
    <w:div w:id="1239705940">
      <w:bodyDiv w:val="1"/>
      <w:marLeft w:val="0"/>
      <w:marRight w:val="0"/>
      <w:marTop w:val="0"/>
      <w:marBottom w:val="0"/>
      <w:divBdr>
        <w:top w:val="none" w:sz="0" w:space="0" w:color="auto"/>
        <w:left w:val="none" w:sz="0" w:space="0" w:color="auto"/>
        <w:bottom w:val="none" w:sz="0" w:space="0" w:color="auto"/>
        <w:right w:val="none" w:sz="0" w:space="0" w:color="auto"/>
      </w:divBdr>
    </w:div>
    <w:div w:id="1240869457">
      <w:bodyDiv w:val="1"/>
      <w:marLeft w:val="0"/>
      <w:marRight w:val="0"/>
      <w:marTop w:val="0"/>
      <w:marBottom w:val="0"/>
      <w:divBdr>
        <w:top w:val="none" w:sz="0" w:space="0" w:color="auto"/>
        <w:left w:val="none" w:sz="0" w:space="0" w:color="auto"/>
        <w:bottom w:val="none" w:sz="0" w:space="0" w:color="auto"/>
        <w:right w:val="none" w:sz="0" w:space="0" w:color="auto"/>
      </w:divBdr>
    </w:div>
    <w:div w:id="1250500468">
      <w:bodyDiv w:val="1"/>
      <w:marLeft w:val="0"/>
      <w:marRight w:val="0"/>
      <w:marTop w:val="0"/>
      <w:marBottom w:val="0"/>
      <w:divBdr>
        <w:top w:val="none" w:sz="0" w:space="0" w:color="auto"/>
        <w:left w:val="none" w:sz="0" w:space="0" w:color="auto"/>
        <w:bottom w:val="none" w:sz="0" w:space="0" w:color="auto"/>
        <w:right w:val="none" w:sz="0" w:space="0" w:color="auto"/>
      </w:divBdr>
    </w:div>
    <w:div w:id="1251349208">
      <w:bodyDiv w:val="1"/>
      <w:marLeft w:val="0"/>
      <w:marRight w:val="0"/>
      <w:marTop w:val="0"/>
      <w:marBottom w:val="0"/>
      <w:divBdr>
        <w:top w:val="none" w:sz="0" w:space="0" w:color="auto"/>
        <w:left w:val="none" w:sz="0" w:space="0" w:color="auto"/>
        <w:bottom w:val="none" w:sz="0" w:space="0" w:color="auto"/>
        <w:right w:val="none" w:sz="0" w:space="0" w:color="auto"/>
      </w:divBdr>
    </w:div>
    <w:div w:id="1252205590">
      <w:bodyDiv w:val="1"/>
      <w:marLeft w:val="0"/>
      <w:marRight w:val="0"/>
      <w:marTop w:val="0"/>
      <w:marBottom w:val="0"/>
      <w:divBdr>
        <w:top w:val="none" w:sz="0" w:space="0" w:color="auto"/>
        <w:left w:val="none" w:sz="0" w:space="0" w:color="auto"/>
        <w:bottom w:val="none" w:sz="0" w:space="0" w:color="auto"/>
        <w:right w:val="none" w:sz="0" w:space="0" w:color="auto"/>
      </w:divBdr>
    </w:div>
    <w:div w:id="1262683128">
      <w:bodyDiv w:val="1"/>
      <w:marLeft w:val="0"/>
      <w:marRight w:val="0"/>
      <w:marTop w:val="0"/>
      <w:marBottom w:val="0"/>
      <w:divBdr>
        <w:top w:val="none" w:sz="0" w:space="0" w:color="auto"/>
        <w:left w:val="none" w:sz="0" w:space="0" w:color="auto"/>
        <w:bottom w:val="none" w:sz="0" w:space="0" w:color="auto"/>
        <w:right w:val="none" w:sz="0" w:space="0" w:color="auto"/>
      </w:divBdr>
    </w:div>
    <w:div w:id="1267495016">
      <w:bodyDiv w:val="1"/>
      <w:marLeft w:val="0"/>
      <w:marRight w:val="0"/>
      <w:marTop w:val="0"/>
      <w:marBottom w:val="0"/>
      <w:divBdr>
        <w:top w:val="none" w:sz="0" w:space="0" w:color="auto"/>
        <w:left w:val="none" w:sz="0" w:space="0" w:color="auto"/>
        <w:bottom w:val="none" w:sz="0" w:space="0" w:color="auto"/>
        <w:right w:val="none" w:sz="0" w:space="0" w:color="auto"/>
      </w:divBdr>
    </w:div>
    <w:div w:id="1269704181">
      <w:bodyDiv w:val="1"/>
      <w:marLeft w:val="0"/>
      <w:marRight w:val="0"/>
      <w:marTop w:val="0"/>
      <w:marBottom w:val="0"/>
      <w:divBdr>
        <w:top w:val="none" w:sz="0" w:space="0" w:color="auto"/>
        <w:left w:val="none" w:sz="0" w:space="0" w:color="auto"/>
        <w:bottom w:val="none" w:sz="0" w:space="0" w:color="auto"/>
        <w:right w:val="none" w:sz="0" w:space="0" w:color="auto"/>
      </w:divBdr>
    </w:div>
    <w:div w:id="1276060418">
      <w:bodyDiv w:val="1"/>
      <w:marLeft w:val="0"/>
      <w:marRight w:val="0"/>
      <w:marTop w:val="0"/>
      <w:marBottom w:val="0"/>
      <w:divBdr>
        <w:top w:val="none" w:sz="0" w:space="0" w:color="auto"/>
        <w:left w:val="none" w:sz="0" w:space="0" w:color="auto"/>
        <w:bottom w:val="none" w:sz="0" w:space="0" w:color="auto"/>
        <w:right w:val="none" w:sz="0" w:space="0" w:color="auto"/>
      </w:divBdr>
    </w:div>
    <w:div w:id="1278486056">
      <w:bodyDiv w:val="1"/>
      <w:marLeft w:val="0"/>
      <w:marRight w:val="0"/>
      <w:marTop w:val="0"/>
      <w:marBottom w:val="0"/>
      <w:divBdr>
        <w:top w:val="none" w:sz="0" w:space="0" w:color="auto"/>
        <w:left w:val="none" w:sz="0" w:space="0" w:color="auto"/>
        <w:bottom w:val="none" w:sz="0" w:space="0" w:color="auto"/>
        <w:right w:val="none" w:sz="0" w:space="0" w:color="auto"/>
      </w:divBdr>
    </w:div>
    <w:div w:id="1286691553">
      <w:bodyDiv w:val="1"/>
      <w:marLeft w:val="0"/>
      <w:marRight w:val="0"/>
      <w:marTop w:val="0"/>
      <w:marBottom w:val="0"/>
      <w:divBdr>
        <w:top w:val="none" w:sz="0" w:space="0" w:color="auto"/>
        <w:left w:val="none" w:sz="0" w:space="0" w:color="auto"/>
        <w:bottom w:val="none" w:sz="0" w:space="0" w:color="auto"/>
        <w:right w:val="none" w:sz="0" w:space="0" w:color="auto"/>
      </w:divBdr>
    </w:div>
    <w:div w:id="1288122172">
      <w:bodyDiv w:val="1"/>
      <w:marLeft w:val="0"/>
      <w:marRight w:val="0"/>
      <w:marTop w:val="0"/>
      <w:marBottom w:val="0"/>
      <w:divBdr>
        <w:top w:val="none" w:sz="0" w:space="0" w:color="auto"/>
        <w:left w:val="none" w:sz="0" w:space="0" w:color="auto"/>
        <w:bottom w:val="none" w:sz="0" w:space="0" w:color="auto"/>
        <w:right w:val="none" w:sz="0" w:space="0" w:color="auto"/>
      </w:divBdr>
    </w:div>
    <w:div w:id="1290042231">
      <w:bodyDiv w:val="1"/>
      <w:marLeft w:val="0"/>
      <w:marRight w:val="0"/>
      <w:marTop w:val="0"/>
      <w:marBottom w:val="0"/>
      <w:divBdr>
        <w:top w:val="none" w:sz="0" w:space="0" w:color="auto"/>
        <w:left w:val="none" w:sz="0" w:space="0" w:color="auto"/>
        <w:bottom w:val="none" w:sz="0" w:space="0" w:color="auto"/>
        <w:right w:val="none" w:sz="0" w:space="0" w:color="auto"/>
      </w:divBdr>
    </w:div>
    <w:div w:id="1292591759">
      <w:bodyDiv w:val="1"/>
      <w:marLeft w:val="0"/>
      <w:marRight w:val="0"/>
      <w:marTop w:val="0"/>
      <w:marBottom w:val="0"/>
      <w:divBdr>
        <w:top w:val="none" w:sz="0" w:space="0" w:color="auto"/>
        <w:left w:val="none" w:sz="0" w:space="0" w:color="auto"/>
        <w:bottom w:val="none" w:sz="0" w:space="0" w:color="auto"/>
        <w:right w:val="none" w:sz="0" w:space="0" w:color="auto"/>
      </w:divBdr>
    </w:div>
    <w:div w:id="1295020792">
      <w:bodyDiv w:val="1"/>
      <w:marLeft w:val="0"/>
      <w:marRight w:val="0"/>
      <w:marTop w:val="0"/>
      <w:marBottom w:val="0"/>
      <w:divBdr>
        <w:top w:val="none" w:sz="0" w:space="0" w:color="auto"/>
        <w:left w:val="none" w:sz="0" w:space="0" w:color="auto"/>
        <w:bottom w:val="none" w:sz="0" w:space="0" w:color="auto"/>
        <w:right w:val="none" w:sz="0" w:space="0" w:color="auto"/>
      </w:divBdr>
    </w:div>
    <w:div w:id="1296059042">
      <w:bodyDiv w:val="1"/>
      <w:marLeft w:val="0"/>
      <w:marRight w:val="0"/>
      <w:marTop w:val="0"/>
      <w:marBottom w:val="0"/>
      <w:divBdr>
        <w:top w:val="none" w:sz="0" w:space="0" w:color="auto"/>
        <w:left w:val="none" w:sz="0" w:space="0" w:color="auto"/>
        <w:bottom w:val="none" w:sz="0" w:space="0" w:color="auto"/>
        <w:right w:val="none" w:sz="0" w:space="0" w:color="auto"/>
      </w:divBdr>
    </w:div>
    <w:div w:id="1302274561">
      <w:bodyDiv w:val="1"/>
      <w:marLeft w:val="0"/>
      <w:marRight w:val="0"/>
      <w:marTop w:val="0"/>
      <w:marBottom w:val="0"/>
      <w:divBdr>
        <w:top w:val="none" w:sz="0" w:space="0" w:color="auto"/>
        <w:left w:val="none" w:sz="0" w:space="0" w:color="auto"/>
        <w:bottom w:val="none" w:sz="0" w:space="0" w:color="auto"/>
        <w:right w:val="none" w:sz="0" w:space="0" w:color="auto"/>
      </w:divBdr>
    </w:div>
    <w:div w:id="1307471859">
      <w:bodyDiv w:val="1"/>
      <w:marLeft w:val="0"/>
      <w:marRight w:val="0"/>
      <w:marTop w:val="0"/>
      <w:marBottom w:val="0"/>
      <w:divBdr>
        <w:top w:val="none" w:sz="0" w:space="0" w:color="auto"/>
        <w:left w:val="none" w:sz="0" w:space="0" w:color="auto"/>
        <w:bottom w:val="none" w:sz="0" w:space="0" w:color="auto"/>
        <w:right w:val="none" w:sz="0" w:space="0" w:color="auto"/>
      </w:divBdr>
    </w:div>
    <w:div w:id="1310746277">
      <w:bodyDiv w:val="1"/>
      <w:marLeft w:val="0"/>
      <w:marRight w:val="0"/>
      <w:marTop w:val="0"/>
      <w:marBottom w:val="0"/>
      <w:divBdr>
        <w:top w:val="none" w:sz="0" w:space="0" w:color="auto"/>
        <w:left w:val="none" w:sz="0" w:space="0" w:color="auto"/>
        <w:bottom w:val="none" w:sz="0" w:space="0" w:color="auto"/>
        <w:right w:val="none" w:sz="0" w:space="0" w:color="auto"/>
      </w:divBdr>
    </w:div>
    <w:div w:id="1311522214">
      <w:bodyDiv w:val="1"/>
      <w:marLeft w:val="0"/>
      <w:marRight w:val="0"/>
      <w:marTop w:val="0"/>
      <w:marBottom w:val="0"/>
      <w:divBdr>
        <w:top w:val="none" w:sz="0" w:space="0" w:color="auto"/>
        <w:left w:val="none" w:sz="0" w:space="0" w:color="auto"/>
        <w:bottom w:val="none" w:sz="0" w:space="0" w:color="auto"/>
        <w:right w:val="none" w:sz="0" w:space="0" w:color="auto"/>
      </w:divBdr>
    </w:div>
    <w:div w:id="1311708130">
      <w:bodyDiv w:val="1"/>
      <w:marLeft w:val="0"/>
      <w:marRight w:val="0"/>
      <w:marTop w:val="0"/>
      <w:marBottom w:val="0"/>
      <w:divBdr>
        <w:top w:val="none" w:sz="0" w:space="0" w:color="auto"/>
        <w:left w:val="none" w:sz="0" w:space="0" w:color="auto"/>
        <w:bottom w:val="none" w:sz="0" w:space="0" w:color="auto"/>
        <w:right w:val="none" w:sz="0" w:space="0" w:color="auto"/>
      </w:divBdr>
    </w:div>
    <w:div w:id="1316763283">
      <w:bodyDiv w:val="1"/>
      <w:marLeft w:val="0"/>
      <w:marRight w:val="0"/>
      <w:marTop w:val="0"/>
      <w:marBottom w:val="0"/>
      <w:divBdr>
        <w:top w:val="none" w:sz="0" w:space="0" w:color="auto"/>
        <w:left w:val="none" w:sz="0" w:space="0" w:color="auto"/>
        <w:bottom w:val="none" w:sz="0" w:space="0" w:color="auto"/>
        <w:right w:val="none" w:sz="0" w:space="0" w:color="auto"/>
      </w:divBdr>
    </w:div>
    <w:div w:id="1318219232">
      <w:bodyDiv w:val="1"/>
      <w:marLeft w:val="0"/>
      <w:marRight w:val="0"/>
      <w:marTop w:val="0"/>
      <w:marBottom w:val="0"/>
      <w:divBdr>
        <w:top w:val="none" w:sz="0" w:space="0" w:color="auto"/>
        <w:left w:val="none" w:sz="0" w:space="0" w:color="auto"/>
        <w:bottom w:val="none" w:sz="0" w:space="0" w:color="auto"/>
        <w:right w:val="none" w:sz="0" w:space="0" w:color="auto"/>
      </w:divBdr>
    </w:div>
    <w:div w:id="1322001114">
      <w:bodyDiv w:val="1"/>
      <w:marLeft w:val="0"/>
      <w:marRight w:val="0"/>
      <w:marTop w:val="0"/>
      <w:marBottom w:val="0"/>
      <w:divBdr>
        <w:top w:val="none" w:sz="0" w:space="0" w:color="auto"/>
        <w:left w:val="none" w:sz="0" w:space="0" w:color="auto"/>
        <w:bottom w:val="none" w:sz="0" w:space="0" w:color="auto"/>
        <w:right w:val="none" w:sz="0" w:space="0" w:color="auto"/>
      </w:divBdr>
    </w:div>
    <w:div w:id="1325817178">
      <w:bodyDiv w:val="1"/>
      <w:marLeft w:val="0"/>
      <w:marRight w:val="0"/>
      <w:marTop w:val="0"/>
      <w:marBottom w:val="0"/>
      <w:divBdr>
        <w:top w:val="none" w:sz="0" w:space="0" w:color="auto"/>
        <w:left w:val="none" w:sz="0" w:space="0" w:color="auto"/>
        <w:bottom w:val="none" w:sz="0" w:space="0" w:color="auto"/>
        <w:right w:val="none" w:sz="0" w:space="0" w:color="auto"/>
      </w:divBdr>
    </w:div>
    <w:div w:id="1328632115">
      <w:bodyDiv w:val="1"/>
      <w:marLeft w:val="0"/>
      <w:marRight w:val="0"/>
      <w:marTop w:val="0"/>
      <w:marBottom w:val="0"/>
      <w:divBdr>
        <w:top w:val="none" w:sz="0" w:space="0" w:color="auto"/>
        <w:left w:val="none" w:sz="0" w:space="0" w:color="auto"/>
        <w:bottom w:val="none" w:sz="0" w:space="0" w:color="auto"/>
        <w:right w:val="none" w:sz="0" w:space="0" w:color="auto"/>
      </w:divBdr>
    </w:div>
    <w:div w:id="1334143360">
      <w:bodyDiv w:val="1"/>
      <w:marLeft w:val="0"/>
      <w:marRight w:val="0"/>
      <w:marTop w:val="0"/>
      <w:marBottom w:val="0"/>
      <w:divBdr>
        <w:top w:val="none" w:sz="0" w:space="0" w:color="auto"/>
        <w:left w:val="none" w:sz="0" w:space="0" w:color="auto"/>
        <w:bottom w:val="none" w:sz="0" w:space="0" w:color="auto"/>
        <w:right w:val="none" w:sz="0" w:space="0" w:color="auto"/>
      </w:divBdr>
    </w:div>
    <w:div w:id="1335456762">
      <w:bodyDiv w:val="1"/>
      <w:marLeft w:val="0"/>
      <w:marRight w:val="0"/>
      <w:marTop w:val="0"/>
      <w:marBottom w:val="0"/>
      <w:divBdr>
        <w:top w:val="none" w:sz="0" w:space="0" w:color="auto"/>
        <w:left w:val="none" w:sz="0" w:space="0" w:color="auto"/>
        <w:bottom w:val="none" w:sz="0" w:space="0" w:color="auto"/>
        <w:right w:val="none" w:sz="0" w:space="0" w:color="auto"/>
      </w:divBdr>
    </w:div>
    <w:div w:id="1348097747">
      <w:bodyDiv w:val="1"/>
      <w:marLeft w:val="0"/>
      <w:marRight w:val="0"/>
      <w:marTop w:val="0"/>
      <w:marBottom w:val="0"/>
      <w:divBdr>
        <w:top w:val="none" w:sz="0" w:space="0" w:color="auto"/>
        <w:left w:val="none" w:sz="0" w:space="0" w:color="auto"/>
        <w:bottom w:val="none" w:sz="0" w:space="0" w:color="auto"/>
        <w:right w:val="none" w:sz="0" w:space="0" w:color="auto"/>
      </w:divBdr>
    </w:div>
    <w:div w:id="1350401936">
      <w:bodyDiv w:val="1"/>
      <w:marLeft w:val="0"/>
      <w:marRight w:val="0"/>
      <w:marTop w:val="0"/>
      <w:marBottom w:val="0"/>
      <w:divBdr>
        <w:top w:val="none" w:sz="0" w:space="0" w:color="auto"/>
        <w:left w:val="none" w:sz="0" w:space="0" w:color="auto"/>
        <w:bottom w:val="none" w:sz="0" w:space="0" w:color="auto"/>
        <w:right w:val="none" w:sz="0" w:space="0" w:color="auto"/>
      </w:divBdr>
    </w:div>
    <w:div w:id="1350446791">
      <w:bodyDiv w:val="1"/>
      <w:marLeft w:val="0"/>
      <w:marRight w:val="0"/>
      <w:marTop w:val="0"/>
      <w:marBottom w:val="0"/>
      <w:divBdr>
        <w:top w:val="none" w:sz="0" w:space="0" w:color="auto"/>
        <w:left w:val="none" w:sz="0" w:space="0" w:color="auto"/>
        <w:bottom w:val="none" w:sz="0" w:space="0" w:color="auto"/>
        <w:right w:val="none" w:sz="0" w:space="0" w:color="auto"/>
      </w:divBdr>
    </w:div>
    <w:div w:id="1364556594">
      <w:bodyDiv w:val="1"/>
      <w:marLeft w:val="0"/>
      <w:marRight w:val="0"/>
      <w:marTop w:val="0"/>
      <w:marBottom w:val="0"/>
      <w:divBdr>
        <w:top w:val="none" w:sz="0" w:space="0" w:color="auto"/>
        <w:left w:val="none" w:sz="0" w:space="0" w:color="auto"/>
        <w:bottom w:val="none" w:sz="0" w:space="0" w:color="auto"/>
        <w:right w:val="none" w:sz="0" w:space="0" w:color="auto"/>
      </w:divBdr>
    </w:div>
    <w:div w:id="1378893738">
      <w:bodyDiv w:val="1"/>
      <w:marLeft w:val="0"/>
      <w:marRight w:val="0"/>
      <w:marTop w:val="0"/>
      <w:marBottom w:val="0"/>
      <w:divBdr>
        <w:top w:val="none" w:sz="0" w:space="0" w:color="auto"/>
        <w:left w:val="none" w:sz="0" w:space="0" w:color="auto"/>
        <w:bottom w:val="none" w:sz="0" w:space="0" w:color="auto"/>
        <w:right w:val="none" w:sz="0" w:space="0" w:color="auto"/>
      </w:divBdr>
    </w:div>
    <w:div w:id="1385133652">
      <w:bodyDiv w:val="1"/>
      <w:marLeft w:val="0"/>
      <w:marRight w:val="0"/>
      <w:marTop w:val="0"/>
      <w:marBottom w:val="0"/>
      <w:divBdr>
        <w:top w:val="none" w:sz="0" w:space="0" w:color="auto"/>
        <w:left w:val="none" w:sz="0" w:space="0" w:color="auto"/>
        <w:bottom w:val="none" w:sz="0" w:space="0" w:color="auto"/>
        <w:right w:val="none" w:sz="0" w:space="0" w:color="auto"/>
      </w:divBdr>
    </w:div>
    <w:div w:id="1385371660">
      <w:bodyDiv w:val="1"/>
      <w:marLeft w:val="0"/>
      <w:marRight w:val="0"/>
      <w:marTop w:val="0"/>
      <w:marBottom w:val="0"/>
      <w:divBdr>
        <w:top w:val="none" w:sz="0" w:space="0" w:color="auto"/>
        <w:left w:val="none" w:sz="0" w:space="0" w:color="auto"/>
        <w:bottom w:val="none" w:sz="0" w:space="0" w:color="auto"/>
        <w:right w:val="none" w:sz="0" w:space="0" w:color="auto"/>
      </w:divBdr>
    </w:div>
    <w:div w:id="1392843978">
      <w:bodyDiv w:val="1"/>
      <w:marLeft w:val="0"/>
      <w:marRight w:val="0"/>
      <w:marTop w:val="0"/>
      <w:marBottom w:val="0"/>
      <w:divBdr>
        <w:top w:val="none" w:sz="0" w:space="0" w:color="auto"/>
        <w:left w:val="none" w:sz="0" w:space="0" w:color="auto"/>
        <w:bottom w:val="none" w:sz="0" w:space="0" w:color="auto"/>
        <w:right w:val="none" w:sz="0" w:space="0" w:color="auto"/>
      </w:divBdr>
    </w:div>
    <w:div w:id="1398287153">
      <w:bodyDiv w:val="1"/>
      <w:marLeft w:val="0"/>
      <w:marRight w:val="0"/>
      <w:marTop w:val="0"/>
      <w:marBottom w:val="0"/>
      <w:divBdr>
        <w:top w:val="none" w:sz="0" w:space="0" w:color="auto"/>
        <w:left w:val="none" w:sz="0" w:space="0" w:color="auto"/>
        <w:bottom w:val="none" w:sz="0" w:space="0" w:color="auto"/>
        <w:right w:val="none" w:sz="0" w:space="0" w:color="auto"/>
      </w:divBdr>
    </w:div>
    <w:div w:id="1401710092">
      <w:bodyDiv w:val="1"/>
      <w:marLeft w:val="0"/>
      <w:marRight w:val="0"/>
      <w:marTop w:val="0"/>
      <w:marBottom w:val="0"/>
      <w:divBdr>
        <w:top w:val="none" w:sz="0" w:space="0" w:color="auto"/>
        <w:left w:val="none" w:sz="0" w:space="0" w:color="auto"/>
        <w:bottom w:val="none" w:sz="0" w:space="0" w:color="auto"/>
        <w:right w:val="none" w:sz="0" w:space="0" w:color="auto"/>
      </w:divBdr>
    </w:div>
    <w:div w:id="1408921347">
      <w:bodyDiv w:val="1"/>
      <w:marLeft w:val="0"/>
      <w:marRight w:val="0"/>
      <w:marTop w:val="0"/>
      <w:marBottom w:val="0"/>
      <w:divBdr>
        <w:top w:val="none" w:sz="0" w:space="0" w:color="auto"/>
        <w:left w:val="none" w:sz="0" w:space="0" w:color="auto"/>
        <w:bottom w:val="none" w:sz="0" w:space="0" w:color="auto"/>
        <w:right w:val="none" w:sz="0" w:space="0" w:color="auto"/>
      </w:divBdr>
    </w:div>
    <w:div w:id="1411804001">
      <w:bodyDiv w:val="1"/>
      <w:marLeft w:val="0"/>
      <w:marRight w:val="0"/>
      <w:marTop w:val="0"/>
      <w:marBottom w:val="0"/>
      <w:divBdr>
        <w:top w:val="none" w:sz="0" w:space="0" w:color="auto"/>
        <w:left w:val="none" w:sz="0" w:space="0" w:color="auto"/>
        <w:bottom w:val="none" w:sz="0" w:space="0" w:color="auto"/>
        <w:right w:val="none" w:sz="0" w:space="0" w:color="auto"/>
      </w:divBdr>
    </w:div>
    <w:div w:id="1412891268">
      <w:bodyDiv w:val="1"/>
      <w:marLeft w:val="0"/>
      <w:marRight w:val="0"/>
      <w:marTop w:val="0"/>
      <w:marBottom w:val="0"/>
      <w:divBdr>
        <w:top w:val="none" w:sz="0" w:space="0" w:color="auto"/>
        <w:left w:val="none" w:sz="0" w:space="0" w:color="auto"/>
        <w:bottom w:val="none" w:sz="0" w:space="0" w:color="auto"/>
        <w:right w:val="none" w:sz="0" w:space="0" w:color="auto"/>
      </w:divBdr>
    </w:div>
    <w:div w:id="1419869233">
      <w:bodyDiv w:val="1"/>
      <w:marLeft w:val="0"/>
      <w:marRight w:val="0"/>
      <w:marTop w:val="0"/>
      <w:marBottom w:val="0"/>
      <w:divBdr>
        <w:top w:val="none" w:sz="0" w:space="0" w:color="auto"/>
        <w:left w:val="none" w:sz="0" w:space="0" w:color="auto"/>
        <w:bottom w:val="none" w:sz="0" w:space="0" w:color="auto"/>
        <w:right w:val="none" w:sz="0" w:space="0" w:color="auto"/>
      </w:divBdr>
    </w:div>
    <w:div w:id="1424063239">
      <w:bodyDiv w:val="1"/>
      <w:marLeft w:val="0"/>
      <w:marRight w:val="0"/>
      <w:marTop w:val="0"/>
      <w:marBottom w:val="0"/>
      <w:divBdr>
        <w:top w:val="none" w:sz="0" w:space="0" w:color="auto"/>
        <w:left w:val="none" w:sz="0" w:space="0" w:color="auto"/>
        <w:bottom w:val="none" w:sz="0" w:space="0" w:color="auto"/>
        <w:right w:val="none" w:sz="0" w:space="0" w:color="auto"/>
      </w:divBdr>
    </w:div>
    <w:div w:id="1426684443">
      <w:bodyDiv w:val="1"/>
      <w:marLeft w:val="0"/>
      <w:marRight w:val="0"/>
      <w:marTop w:val="0"/>
      <w:marBottom w:val="0"/>
      <w:divBdr>
        <w:top w:val="none" w:sz="0" w:space="0" w:color="auto"/>
        <w:left w:val="none" w:sz="0" w:space="0" w:color="auto"/>
        <w:bottom w:val="none" w:sz="0" w:space="0" w:color="auto"/>
        <w:right w:val="none" w:sz="0" w:space="0" w:color="auto"/>
      </w:divBdr>
    </w:div>
    <w:div w:id="1427077020">
      <w:bodyDiv w:val="1"/>
      <w:marLeft w:val="0"/>
      <w:marRight w:val="0"/>
      <w:marTop w:val="0"/>
      <w:marBottom w:val="0"/>
      <w:divBdr>
        <w:top w:val="none" w:sz="0" w:space="0" w:color="auto"/>
        <w:left w:val="none" w:sz="0" w:space="0" w:color="auto"/>
        <w:bottom w:val="none" w:sz="0" w:space="0" w:color="auto"/>
        <w:right w:val="none" w:sz="0" w:space="0" w:color="auto"/>
      </w:divBdr>
    </w:div>
    <w:div w:id="1427994064">
      <w:bodyDiv w:val="1"/>
      <w:marLeft w:val="0"/>
      <w:marRight w:val="0"/>
      <w:marTop w:val="0"/>
      <w:marBottom w:val="0"/>
      <w:divBdr>
        <w:top w:val="none" w:sz="0" w:space="0" w:color="auto"/>
        <w:left w:val="none" w:sz="0" w:space="0" w:color="auto"/>
        <w:bottom w:val="none" w:sz="0" w:space="0" w:color="auto"/>
        <w:right w:val="none" w:sz="0" w:space="0" w:color="auto"/>
      </w:divBdr>
    </w:div>
    <w:div w:id="1431048988">
      <w:bodyDiv w:val="1"/>
      <w:marLeft w:val="0"/>
      <w:marRight w:val="0"/>
      <w:marTop w:val="0"/>
      <w:marBottom w:val="0"/>
      <w:divBdr>
        <w:top w:val="none" w:sz="0" w:space="0" w:color="auto"/>
        <w:left w:val="none" w:sz="0" w:space="0" w:color="auto"/>
        <w:bottom w:val="none" w:sz="0" w:space="0" w:color="auto"/>
        <w:right w:val="none" w:sz="0" w:space="0" w:color="auto"/>
      </w:divBdr>
    </w:div>
    <w:div w:id="1444416503">
      <w:bodyDiv w:val="1"/>
      <w:marLeft w:val="0"/>
      <w:marRight w:val="0"/>
      <w:marTop w:val="0"/>
      <w:marBottom w:val="0"/>
      <w:divBdr>
        <w:top w:val="none" w:sz="0" w:space="0" w:color="auto"/>
        <w:left w:val="none" w:sz="0" w:space="0" w:color="auto"/>
        <w:bottom w:val="none" w:sz="0" w:space="0" w:color="auto"/>
        <w:right w:val="none" w:sz="0" w:space="0" w:color="auto"/>
      </w:divBdr>
    </w:div>
    <w:div w:id="1451509686">
      <w:bodyDiv w:val="1"/>
      <w:marLeft w:val="0"/>
      <w:marRight w:val="0"/>
      <w:marTop w:val="0"/>
      <w:marBottom w:val="0"/>
      <w:divBdr>
        <w:top w:val="none" w:sz="0" w:space="0" w:color="auto"/>
        <w:left w:val="none" w:sz="0" w:space="0" w:color="auto"/>
        <w:bottom w:val="none" w:sz="0" w:space="0" w:color="auto"/>
        <w:right w:val="none" w:sz="0" w:space="0" w:color="auto"/>
      </w:divBdr>
    </w:div>
    <w:div w:id="1452744265">
      <w:bodyDiv w:val="1"/>
      <w:marLeft w:val="0"/>
      <w:marRight w:val="0"/>
      <w:marTop w:val="0"/>
      <w:marBottom w:val="0"/>
      <w:divBdr>
        <w:top w:val="none" w:sz="0" w:space="0" w:color="auto"/>
        <w:left w:val="none" w:sz="0" w:space="0" w:color="auto"/>
        <w:bottom w:val="none" w:sz="0" w:space="0" w:color="auto"/>
        <w:right w:val="none" w:sz="0" w:space="0" w:color="auto"/>
      </w:divBdr>
    </w:div>
    <w:div w:id="1454668205">
      <w:bodyDiv w:val="1"/>
      <w:marLeft w:val="0"/>
      <w:marRight w:val="0"/>
      <w:marTop w:val="0"/>
      <w:marBottom w:val="0"/>
      <w:divBdr>
        <w:top w:val="none" w:sz="0" w:space="0" w:color="auto"/>
        <w:left w:val="none" w:sz="0" w:space="0" w:color="auto"/>
        <w:bottom w:val="none" w:sz="0" w:space="0" w:color="auto"/>
        <w:right w:val="none" w:sz="0" w:space="0" w:color="auto"/>
      </w:divBdr>
    </w:div>
    <w:div w:id="1456944754">
      <w:bodyDiv w:val="1"/>
      <w:marLeft w:val="0"/>
      <w:marRight w:val="0"/>
      <w:marTop w:val="0"/>
      <w:marBottom w:val="0"/>
      <w:divBdr>
        <w:top w:val="none" w:sz="0" w:space="0" w:color="auto"/>
        <w:left w:val="none" w:sz="0" w:space="0" w:color="auto"/>
        <w:bottom w:val="none" w:sz="0" w:space="0" w:color="auto"/>
        <w:right w:val="none" w:sz="0" w:space="0" w:color="auto"/>
      </w:divBdr>
    </w:div>
    <w:div w:id="1456949989">
      <w:bodyDiv w:val="1"/>
      <w:marLeft w:val="0"/>
      <w:marRight w:val="0"/>
      <w:marTop w:val="0"/>
      <w:marBottom w:val="0"/>
      <w:divBdr>
        <w:top w:val="none" w:sz="0" w:space="0" w:color="auto"/>
        <w:left w:val="none" w:sz="0" w:space="0" w:color="auto"/>
        <w:bottom w:val="none" w:sz="0" w:space="0" w:color="auto"/>
        <w:right w:val="none" w:sz="0" w:space="0" w:color="auto"/>
      </w:divBdr>
    </w:div>
    <w:div w:id="1458142663">
      <w:bodyDiv w:val="1"/>
      <w:marLeft w:val="0"/>
      <w:marRight w:val="0"/>
      <w:marTop w:val="0"/>
      <w:marBottom w:val="0"/>
      <w:divBdr>
        <w:top w:val="none" w:sz="0" w:space="0" w:color="auto"/>
        <w:left w:val="none" w:sz="0" w:space="0" w:color="auto"/>
        <w:bottom w:val="none" w:sz="0" w:space="0" w:color="auto"/>
        <w:right w:val="none" w:sz="0" w:space="0" w:color="auto"/>
      </w:divBdr>
    </w:div>
    <w:div w:id="1459690098">
      <w:bodyDiv w:val="1"/>
      <w:marLeft w:val="0"/>
      <w:marRight w:val="0"/>
      <w:marTop w:val="0"/>
      <w:marBottom w:val="0"/>
      <w:divBdr>
        <w:top w:val="none" w:sz="0" w:space="0" w:color="auto"/>
        <w:left w:val="none" w:sz="0" w:space="0" w:color="auto"/>
        <w:bottom w:val="none" w:sz="0" w:space="0" w:color="auto"/>
        <w:right w:val="none" w:sz="0" w:space="0" w:color="auto"/>
      </w:divBdr>
    </w:div>
    <w:div w:id="1462073045">
      <w:bodyDiv w:val="1"/>
      <w:marLeft w:val="0"/>
      <w:marRight w:val="0"/>
      <w:marTop w:val="0"/>
      <w:marBottom w:val="0"/>
      <w:divBdr>
        <w:top w:val="none" w:sz="0" w:space="0" w:color="auto"/>
        <w:left w:val="none" w:sz="0" w:space="0" w:color="auto"/>
        <w:bottom w:val="none" w:sz="0" w:space="0" w:color="auto"/>
        <w:right w:val="none" w:sz="0" w:space="0" w:color="auto"/>
      </w:divBdr>
    </w:div>
    <w:div w:id="1466461114">
      <w:bodyDiv w:val="1"/>
      <w:marLeft w:val="0"/>
      <w:marRight w:val="0"/>
      <w:marTop w:val="0"/>
      <w:marBottom w:val="0"/>
      <w:divBdr>
        <w:top w:val="none" w:sz="0" w:space="0" w:color="auto"/>
        <w:left w:val="none" w:sz="0" w:space="0" w:color="auto"/>
        <w:bottom w:val="none" w:sz="0" w:space="0" w:color="auto"/>
        <w:right w:val="none" w:sz="0" w:space="0" w:color="auto"/>
      </w:divBdr>
    </w:div>
    <w:div w:id="1469056051">
      <w:bodyDiv w:val="1"/>
      <w:marLeft w:val="0"/>
      <w:marRight w:val="0"/>
      <w:marTop w:val="0"/>
      <w:marBottom w:val="0"/>
      <w:divBdr>
        <w:top w:val="none" w:sz="0" w:space="0" w:color="auto"/>
        <w:left w:val="none" w:sz="0" w:space="0" w:color="auto"/>
        <w:bottom w:val="none" w:sz="0" w:space="0" w:color="auto"/>
        <w:right w:val="none" w:sz="0" w:space="0" w:color="auto"/>
      </w:divBdr>
    </w:div>
    <w:div w:id="1469393543">
      <w:bodyDiv w:val="1"/>
      <w:marLeft w:val="0"/>
      <w:marRight w:val="0"/>
      <w:marTop w:val="0"/>
      <w:marBottom w:val="0"/>
      <w:divBdr>
        <w:top w:val="none" w:sz="0" w:space="0" w:color="auto"/>
        <w:left w:val="none" w:sz="0" w:space="0" w:color="auto"/>
        <w:bottom w:val="none" w:sz="0" w:space="0" w:color="auto"/>
        <w:right w:val="none" w:sz="0" w:space="0" w:color="auto"/>
      </w:divBdr>
    </w:div>
    <w:div w:id="1477449762">
      <w:bodyDiv w:val="1"/>
      <w:marLeft w:val="0"/>
      <w:marRight w:val="0"/>
      <w:marTop w:val="0"/>
      <w:marBottom w:val="0"/>
      <w:divBdr>
        <w:top w:val="none" w:sz="0" w:space="0" w:color="auto"/>
        <w:left w:val="none" w:sz="0" w:space="0" w:color="auto"/>
        <w:bottom w:val="none" w:sz="0" w:space="0" w:color="auto"/>
        <w:right w:val="none" w:sz="0" w:space="0" w:color="auto"/>
      </w:divBdr>
    </w:div>
    <w:div w:id="1487745571">
      <w:bodyDiv w:val="1"/>
      <w:marLeft w:val="0"/>
      <w:marRight w:val="0"/>
      <w:marTop w:val="0"/>
      <w:marBottom w:val="0"/>
      <w:divBdr>
        <w:top w:val="none" w:sz="0" w:space="0" w:color="auto"/>
        <w:left w:val="none" w:sz="0" w:space="0" w:color="auto"/>
        <w:bottom w:val="none" w:sz="0" w:space="0" w:color="auto"/>
        <w:right w:val="none" w:sz="0" w:space="0" w:color="auto"/>
      </w:divBdr>
    </w:div>
    <w:div w:id="1491755407">
      <w:bodyDiv w:val="1"/>
      <w:marLeft w:val="0"/>
      <w:marRight w:val="0"/>
      <w:marTop w:val="0"/>
      <w:marBottom w:val="0"/>
      <w:divBdr>
        <w:top w:val="none" w:sz="0" w:space="0" w:color="auto"/>
        <w:left w:val="none" w:sz="0" w:space="0" w:color="auto"/>
        <w:bottom w:val="none" w:sz="0" w:space="0" w:color="auto"/>
        <w:right w:val="none" w:sz="0" w:space="0" w:color="auto"/>
      </w:divBdr>
    </w:div>
    <w:div w:id="1493641117">
      <w:bodyDiv w:val="1"/>
      <w:marLeft w:val="0"/>
      <w:marRight w:val="0"/>
      <w:marTop w:val="0"/>
      <w:marBottom w:val="0"/>
      <w:divBdr>
        <w:top w:val="none" w:sz="0" w:space="0" w:color="auto"/>
        <w:left w:val="none" w:sz="0" w:space="0" w:color="auto"/>
        <w:bottom w:val="none" w:sz="0" w:space="0" w:color="auto"/>
        <w:right w:val="none" w:sz="0" w:space="0" w:color="auto"/>
      </w:divBdr>
    </w:div>
    <w:div w:id="1512642052">
      <w:bodyDiv w:val="1"/>
      <w:marLeft w:val="0"/>
      <w:marRight w:val="0"/>
      <w:marTop w:val="0"/>
      <w:marBottom w:val="0"/>
      <w:divBdr>
        <w:top w:val="none" w:sz="0" w:space="0" w:color="auto"/>
        <w:left w:val="none" w:sz="0" w:space="0" w:color="auto"/>
        <w:bottom w:val="none" w:sz="0" w:space="0" w:color="auto"/>
        <w:right w:val="none" w:sz="0" w:space="0" w:color="auto"/>
      </w:divBdr>
    </w:div>
    <w:div w:id="1519614504">
      <w:bodyDiv w:val="1"/>
      <w:marLeft w:val="0"/>
      <w:marRight w:val="0"/>
      <w:marTop w:val="0"/>
      <w:marBottom w:val="0"/>
      <w:divBdr>
        <w:top w:val="none" w:sz="0" w:space="0" w:color="auto"/>
        <w:left w:val="none" w:sz="0" w:space="0" w:color="auto"/>
        <w:bottom w:val="none" w:sz="0" w:space="0" w:color="auto"/>
        <w:right w:val="none" w:sz="0" w:space="0" w:color="auto"/>
      </w:divBdr>
    </w:div>
    <w:div w:id="1526482686">
      <w:bodyDiv w:val="1"/>
      <w:marLeft w:val="0"/>
      <w:marRight w:val="0"/>
      <w:marTop w:val="0"/>
      <w:marBottom w:val="0"/>
      <w:divBdr>
        <w:top w:val="none" w:sz="0" w:space="0" w:color="auto"/>
        <w:left w:val="none" w:sz="0" w:space="0" w:color="auto"/>
        <w:bottom w:val="none" w:sz="0" w:space="0" w:color="auto"/>
        <w:right w:val="none" w:sz="0" w:space="0" w:color="auto"/>
      </w:divBdr>
    </w:div>
    <w:div w:id="1528175729">
      <w:bodyDiv w:val="1"/>
      <w:marLeft w:val="0"/>
      <w:marRight w:val="0"/>
      <w:marTop w:val="0"/>
      <w:marBottom w:val="0"/>
      <w:divBdr>
        <w:top w:val="none" w:sz="0" w:space="0" w:color="auto"/>
        <w:left w:val="none" w:sz="0" w:space="0" w:color="auto"/>
        <w:bottom w:val="none" w:sz="0" w:space="0" w:color="auto"/>
        <w:right w:val="none" w:sz="0" w:space="0" w:color="auto"/>
      </w:divBdr>
    </w:div>
    <w:div w:id="1544095790">
      <w:bodyDiv w:val="1"/>
      <w:marLeft w:val="0"/>
      <w:marRight w:val="0"/>
      <w:marTop w:val="0"/>
      <w:marBottom w:val="0"/>
      <w:divBdr>
        <w:top w:val="none" w:sz="0" w:space="0" w:color="auto"/>
        <w:left w:val="none" w:sz="0" w:space="0" w:color="auto"/>
        <w:bottom w:val="none" w:sz="0" w:space="0" w:color="auto"/>
        <w:right w:val="none" w:sz="0" w:space="0" w:color="auto"/>
      </w:divBdr>
    </w:div>
    <w:div w:id="1545556090">
      <w:bodyDiv w:val="1"/>
      <w:marLeft w:val="0"/>
      <w:marRight w:val="0"/>
      <w:marTop w:val="0"/>
      <w:marBottom w:val="0"/>
      <w:divBdr>
        <w:top w:val="none" w:sz="0" w:space="0" w:color="auto"/>
        <w:left w:val="none" w:sz="0" w:space="0" w:color="auto"/>
        <w:bottom w:val="none" w:sz="0" w:space="0" w:color="auto"/>
        <w:right w:val="none" w:sz="0" w:space="0" w:color="auto"/>
      </w:divBdr>
    </w:div>
    <w:div w:id="1552427300">
      <w:bodyDiv w:val="1"/>
      <w:marLeft w:val="0"/>
      <w:marRight w:val="0"/>
      <w:marTop w:val="0"/>
      <w:marBottom w:val="0"/>
      <w:divBdr>
        <w:top w:val="none" w:sz="0" w:space="0" w:color="auto"/>
        <w:left w:val="none" w:sz="0" w:space="0" w:color="auto"/>
        <w:bottom w:val="none" w:sz="0" w:space="0" w:color="auto"/>
        <w:right w:val="none" w:sz="0" w:space="0" w:color="auto"/>
      </w:divBdr>
    </w:div>
    <w:div w:id="1556157886">
      <w:bodyDiv w:val="1"/>
      <w:marLeft w:val="0"/>
      <w:marRight w:val="0"/>
      <w:marTop w:val="0"/>
      <w:marBottom w:val="0"/>
      <w:divBdr>
        <w:top w:val="none" w:sz="0" w:space="0" w:color="auto"/>
        <w:left w:val="none" w:sz="0" w:space="0" w:color="auto"/>
        <w:bottom w:val="none" w:sz="0" w:space="0" w:color="auto"/>
        <w:right w:val="none" w:sz="0" w:space="0" w:color="auto"/>
      </w:divBdr>
    </w:div>
    <w:div w:id="1562642196">
      <w:bodyDiv w:val="1"/>
      <w:marLeft w:val="0"/>
      <w:marRight w:val="0"/>
      <w:marTop w:val="0"/>
      <w:marBottom w:val="0"/>
      <w:divBdr>
        <w:top w:val="none" w:sz="0" w:space="0" w:color="auto"/>
        <w:left w:val="none" w:sz="0" w:space="0" w:color="auto"/>
        <w:bottom w:val="none" w:sz="0" w:space="0" w:color="auto"/>
        <w:right w:val="none" w:sz="0" w:space="0" w:color="auto"/>
      </w:divBdr>
    </w:div>
    <w:div w:id="1566572847">
      <w:bodyDiv w:val="1"/>
      <w:marLeft w:val="0"/>
      <w:marRight w:val="0"/>
      <w:marTop w:val="0"/>
      <w:marBottom w:val="0"/>
      <w:divBdr>
        <w:top w:val="none" w:sz="0" w:space="0" w:color="auto"/>
        <w:left w:val="none" w:sz="0" w:space="0" w:color="auto"/>
        <w:bottom w:val="none" w:sz="0" w:space="0" w:color="auto"/>
        <w:right w:val="none" w:sz="0" w:space="0" w:color="auto"/>
      </w:divBdr>
    </w:div>
    <w:div w:id="1567302770">
      <w:bodyDiv w:val="1"/>
      <w:marLeft w:val="0"/>
      <w:marRight w:val="0"/>
      <w:marTop w:val="0"/>
      <w:marBottom w:val="0"/>
      <w:divBdr>
        <w:top w:val="none" w:sz="0" w:space="0" w:color="auto"/>
        <w:left w:val="none" w:sz="0" w:space="0" w:color="auto"/>
        <w:bottom w:val="none" w:sz="0" w:space="0" w:color="auto"/>
        <w:right w:val="none" w:sz="0" w:space="0" w:color="auto"/>
      </w:divBdr>
    </w:div>
    <w:div w:id="1569851144">
      <w:bodyDiv w:val="1"/>
      <w:marLeft w:val="0"/>
      <w:marRight w:val="0"/>
      <w:marTop w:val="0"/>
      <w:marBottom w:val="0"/>
      <w:divBdr>
        <w:top w:val="none" w:sz="0" w:space="0" w:color="auto"/>
        <w:left w:val="none" w:sz="0" w:space="0" w:color="auto"/>
        <w:bottom w:val="none" w:sz="0" w:space="0" w:color="auto"/>
        <w:right w:val="none" w:sz="0" w:space="0" w:color="auto"/>
      </w:divBdr>
    </w:div>
    <w:div w:id="1570111832">
      <w:bodyDiv w:val="1"/>
      <w:marLeft w:val="0"/>
      <w:marRight w:val="0"/>
      <w:marTop w:val="0"/>
      <w:marBottom w:val="0"/>
      <w:divBdr>
        <w:top w:val="none" w:sz="0" w:space="0" w:color="auto"/>
        <w:left w:val="none" w:sz="0" w:space="0" w:color="auto"/>
        <w:bottom w:val="none" w:sz="0" w:space="0" w:color="auto"/>
        <w:right w:val="none" w:sz="0" w:space="0" w:color="auto"/>
      </w:divBdr>
    </w:div>
    <w:div w:id="1571689966">
      <w:bodyDiv w:val="1"/>
      <w:marLeft w:val="0"/>
      <w:marRight w:val="0"/>
      <w:marTop w:val="0"/>
      <w:marBottom w:val="0"/>
      <w:divBdr>
        <w:top w:val="none" w:sz="0" w:space="0" w:color="auto"/>
        <w:left w:val="none" w:sz="0" w:space="0" w:color="auto"/>
        <w:bottom w:val="none" w:sz="0" w:space="0" w:color="auto"/>
        <w:right w:val="none" w:sz="0" w:space="0" w:color="auto"/>
      </w:divBdr>
    </w:div>
    <w:div w:id="1582907026">
      <w:bodyDiv w:val="1"/>
      <w:marLeft w:val="0"/>
      <w:marRight w:val="0"/>
      <w:marTop w:val="0"/>
      <w:marBottom w:val="0"/>
      <w:divBdr>
        <w:top w:val="none" w:sz="0" w:space="0" w:color="auto"/>
        <w:left w:val="none" w:sz="0" w:space="0" w:color="auto"/>
        <w:bottom w:val="none" w:sz="0" w:space="0" w:color="auto"/>
        <w:right w:val="none" w:sz="0" w:space="0" w:color="auto"/>
      </w:divBdr>
    </w:div>
    <w:div w:id="1583023277">
      <w:bodyDiv w:val="1"/>
      <w:marLeft w:val="0"/>
      <w:marRight w:val="0"/>
      <w:marTop w:val="0"/>
      <w:marBottom w:val="0"/>
      <w:divBdr>
        <w:top w:val="none" w:sz="0" w:space="0" w:color="auto"/>
        <w:left w:val="none" w:sz="0" w:space="0" w:color="auto"/>
        <w:bottom w:val="none" w:sz="0" w:space="0" w:color="auto"/>
        <w:right w:val="none" w:sz="0" w:space="0" w:color="auto"/>
      </w:divBdr>
    </w:div>
    <w:div w:id="1586528063">
      <w:bodyDiv w:val="1"/>
      <w:marLeft w:val="0"/>
      <w:marRight w:val="0"/>
      <w:marTop w:val="0"/>
      <w:marBottom w:val="0"/>
      <w:divBdr>
        <w:top w:val="none" w:sz="0" w:space="0" w:color="auto"/>
        <w:left w:val="none" w:sz="0" w:space="0" w:color="auto"/>
        <w:bottom w:val="none" w:sz="0" w:space="0" w:color="auto"/>
        <w:right w:val="none" w:sz="0" w:space="0" w:color="auto"/>
      </w:divBdr>
    </w:div>
    <w:div w:id="1591892944">
      <w:bodyDiv w:val="1"/>
      <w:marLeft w:val="0"/>
      <w:marRight w:val="0"/>
      <w:marTop w:val="0"/>
      <w:marBottom w:val="0"/>
      <w:divBdr>
        <w:top w:val="none" w:sz="0" w:space="0" w:color="auto"/>
        <w:left w:val="none" w:sz="0" w:space="0" w:color="auto"/>
        <w:bottom w:val="none" w:sz="0" w:space="0" w:color="auto"/>
        <w:right w:val="none" w:sz="0" w:space="0" w:color="auto"/>
      </w:divBdr>
    </w:div>
    <w:div w:id="1595473931">
      <w:bodyDiv w:val="1"/>
      <w:marLeft w:val="0"/>
      <w:marRight w:val="0"/>
      <w:marTop w:val="0"/>
      <w:marBottom w:val="0"/>
      <w:divBdr>
        <w:top w:val="none" w:sz="0" w:space="0" w:color="auto"/>
        <w:left w:val="none" w:sz="0" w:space="0" w:color="auto"/>
        <w:bottom w:val="none" w:sz="0" w:space="0" w:color="auto"/>
        <w:right w:val="none" w:sz="0" w:space="0" w:color="auto"/>
      </w:divBdr>
    </w:div>
    <w:div w:id="1602685821">
      <w:bodyDiv w:val="1"/>
      <w:marLeft w:val="0"/>
      <w:marRight w:val="0"/>
      <w:marTop w:val="0"/>
      <w:marBottom w:val="0"/>
      <w:divBdr>
        <w:top w:val="none" w:sz="0" w:space="0" w:color="auto"/>
        <w:left w:val="none" w:sz="0" w:space="0" w:color="auto"/>
        <w:bottom w:val="none" w:sz="0" w:space="0" w:color="auto"/>
        <w:right w:val="none" w:sz="0" w:space="0" w:color="auto"/>
      </w:divBdr>
    </w:div>
    <w:div w:id="1606577484">
      <w:bodyDiv w:val="1"/>
      <w:marLeft w:val="0"/>
      <w:marRight w:val="0"/>
      <w:marTop w:val="0"/>
      <w:marBottom w:val="0"/>
      <w:divBdr>
        <w:top w:val="none" w:sz="0" w:space="0" w:color="auto"/>
        <w:left w:val="none" w:sz="0" w:space="0" w:color="auto"/>
        <w:bottom w:val="none" w:sz="0" w:space="0" w:color="auto"/>
        <w:right w:val="none" w:sz="0" w:space="0" w:color="auto"/>
      </w:divBdr>
    </w:div>
    <w:div w:id="1607346427">
      <w:bodyDiv w:val="1"/>
      <w:marLeft w:val="0"/>
      <w:marRight w:val="0"/>
      <w:marTop w:val="0"/>
      <w:marBottom w:val="0"/>
      <w:divBdr>
        <w:top w:val="none" w:sz="0" w:space="0" w:color="auto"/>
        <w:left w:val="none" w:sz="0" w:space="0" w:color="auto"/>
        <w:bottom w:val="none" w:sz="0" w:space="0" w:color="auto"/>
        <w:right w:val="none" w:sz="0" w:space="0" w:color="auto"/>
      </w:divBdr>
    </w:div>
    <w:div w:id="1610964177">
      <w:bodyDiv w:val="1"/>
      <w:marLeft w:val="0"/>
      <w:marRight w:val="0"/>
      <w:marTop w:val="0"/>
      <w:marBottom w:val="0"/>
      <w:divBdr>
        <w:top w:val="none" w:sz="0" w:space="0" w:color="auto"/>
        <w:left w:val="none" w:sz="0" w:space="0" w:color="auto"/>
        <w:bottom w:val="none" w:sz="0" w:space="0" w:color="auto"/>
        <w:right w:val="none" w:sz="0" w:space="0" w:color="auto"/>
      </w:divBdr>
    </w:div>
    <w:div w:id="1611664048">
      <w:bodyDiv w:val="1"/>
      <w:marLeft w:val="0"/>
      <w:marRight w:val="0"/>
      <w:marTop w:val="0"/>
      <w:marBottom w:val="0"/>
      <w:divBdr>
        <w:top w:val="none" w:sz="0" w:space="0" w:color="auto"/>
        <w:left w:val="none" w:sz="0" w:space="0" w:color="auto"/>
        <w:bottom w:val="none" w:sz="0" w:space="0" w:color="auto"/>
        <w:right w:val="none" w:sz="0" w:space="0" w:color="auto"/>
      </w:divBdr>
    </w:div>
    <w:div w:id="1615018974">
      <w:bodyDiv w:val="1"/>
      <w:marLeft w:val="0"/>
      <w:marRight w:val="0"/>
      <w:marTop w:val="0"/>
      <w:marBottom w:val="0"/>
      <w:divBdr>
        <w:top w:val="none" w:sz="0" w:space="0" w:color="auto"/>
        <w:left w:val="none" w:sz="0" w:space="0" w:color="auto"/>
        <w:bottom w:val="none" w:sz="0" w:space="0" w:color="auto"/>
        <w:right w:val="none" w:sz="0" w:space="0" w:color="auto"/>
      </w:divBdr>
    </w:div>
    <w:div w:id="1615019994">
      <w:bodyDiv w:val="1"/>
      <w:marLeft w:val="0"/>
      <w:marRight w:val="0"/>
      <w:marTop w:val="0"/>
      <w:marBottom w:val="0"/>
      <w:divBdr>
        <w:top w:val="none" w:sz="0" w:space="0" w:color="auto"/>
        <w:left w:val="none" w:sz="0" w:space="0" w:color="auto"/>
        <w:bottom w:val="none" w:sz="0" w:space="0" w:color="auto"/>
        <w:right w:val="none" w:sz="0" w:space="0" w:color="auto"/>
      </w:divBdr>
    </w:div>
    <w:div w:id="1623262975">
      <w:bodyDiv w:val="1"/>
      <w:marLeft w:val="0"/>
      <w:marRight w:val="0"/>
      <w:marTop w:val="0"/>
      <w:marBottom w:val="0"/>
      <w:divBdr>
        <w:top w:val="none" w:sz="0" w:space="0" w:color="auto"/>
        <w:left w:val="none" w:sz="0" w:space="0" w:color="auto"/>
        <w:bottom w:val="none" w:sz="0" w:space="0" w:color="auto"/>
        <w:right w:val="none" w:sz="0" w:space="0" w:color="auto"/>
      </w:divBdr>
    </w:div>
    <w:div w:id="1628199206">
      <w:bodyDiv w:val="1"/>
      <w:marLeft w:val="0"/>
      <w:marRight w:val="0"/>
      <w:marTop w:val="0"/>
      <w:marBottom w:val="0"/>
      <w:divBdr>
        <w:top w:val="none" w:sz="0" w:space="0" w:color="auto"/>
        <w:left w:val="none" w:sz="0" w:space="0" w:color="auto"/>
        <w:bottom w:val="none" w:sz="0" w:space="0" w:color="auto"/>
        <w:right w:val="none" w:sz="0" w:space="0" w:color="auto"/>
      </w:divBdr>
    </w:div>
    <w:div w:id="1632129232">
      <w:bodyDiv w:val="1"/>
      <w:marLeft w:val="0"/>
      <w:marRight w:val="0"/>
      <w:marTop w:val="0"/>
      <w:marBottom w:val="0"/>
      <w:divBdr>
        <w:top w:val="none" w:sz="0" w:space="0" w:color="auto"/>
        <w:left w:val="none" w:sz="0" w:space="0" w:color="auto"/>
        <w:bottom w:val="none" w:sz="0" w:space="0" w:color="auto"/>
        <w:right w:val="none" w:sz="0" w:space="0" w:color="auto"/>
      </w:divBdr>
    </w:div>
    <w:div w:id="1645505058">
      <w:bodyDiv w:val="1"/>
      <w:marLeft w:val="0"/>
      <w:marRight w:val="0"/>
      <w:marTop w:val="0"/>
      <w:marBottom w:val="0"/>
      <w:divBdr>
        <w:top w:val="none" w:sz="0" w:space="0" w:color="auto"/>
        <w:left w:val="none" w:sz="0" w:space="0" w:color="auto"/>
        <w:bottom w:val="none" w:sz="0" w:space="0" w:color="auto"/>
        <w:right w:val="none" w:sz="0" w:space="0" w:color="auto"/>
      </w:divBdr>
    </w:div>
    <w:div w:id="1664426942">
      <w:bodyDiv w:val="1"/>
      <w:marLeft w:val="0"/>
      <w:marRight w:val="0"/>
      <w:marTop w:val="0"/>
      <w:marBottom w:val="0"/>
      <w:divBdr>
        <w:top w:val="none" w:sz="0" w:space="0" w:color="auto"/>
        <w:left w:val="none" w:sz="0" w:space="0" w:color="auto"/>
        <w:bottom w:val="none" w:sz="0" w:space="0" w:color="auto"/>
        <w:right w:val="none" w:sz="0" w:space="0" w:color="auto"/>
      </w:divBdr>
    </w:div>
    <w:div w:id="1666783652">
      <w:bodyDiv w:val="1"/>
      <w:marLeft w:val="0"/>
      <w:marRight w:val="0"/>
      <w:marTop w:val="0"/>
      <w:marBottom w:val="0"/>
      <w:divBdr>
        <w:top w:val="none" w:sz="0" w:space="0" w:color="auto"/>
        <w:left w:val="none" w:sz="0" w:space="0" w:color="auto"/>
        <w:bottom w:val="none" w:sz="0" w:space="0" w:color="auto"/>
        <w:right w:val="none" w:sz="0" w:space="0" w:color="auto"/>
      </w:divBdr>
    </w:div>
    <w:div w:id="1671518102">
      <w:bodyDiv w:val="1"/>
      <w:marLeft w:val="0"/>
      <w:marRight w:val="0"/>
      <w:marTop w:val="0"/>
      <w:marBottom w:val="0"/>
      <w:divBdr>
        <w:top w:val="none" w:sz="0" w:space="0" w:color="auto"/>
        <w:left w:val="none" w:sz="0" w:space="0" w:color="auto"/>
        <w:bottom w:val="none" w:sz="0" w:space="0" w:color="auto"/>
        <w:right w:val="none" w:sz="0" w:space="0" w:color="auto"/>
      </w:divBdr>
    </w:div>
    <w:div w:id="1673291819">
      <w:bodyDiv w:val="1"/>
      <w:marLeft w:val="0"/>
      <w:marRight w:val="0"/>
      <w:marTop w:val="0"/>
      <w:marBottom w:val="0"/>
      <w:divBdr>
        <w:top w:val="none" w:sz="0" w:space="0" w:color="auto"/>
        <w:left w:val="none" w:sz="0" w:space="0" w:color="auto"/>
        <w:bottom w:val="none" w:sz="0" w:space="0" w:color="auto"/>
        <w:right w:val="none" w:sz="0" w:space="0" w:color="auto"/>
      </w:divBdr>
    </w:div>
    <w:div w:id="1675065138">
      <w:bodyDiv w:val="1"/>
      <w:marLeft w:val="0"/>
      <w:marRight w:val="0"/>
      <w:marTop w:val="0"/>
      <w:marBottom w:val="0"/>
      <w:divBdr>
        <w:top w:val="none" w:sz="0" w:space="0" w:color="auto"/>
        <w:left w:val="none" w:sz="0" w:space="0" w:color="auto"/>
        <w:bottom w:val="none" w:sz="0" w:space="0" w:color="auto"/>
        <w:right w:val="none" w:sz="0" w:space="0" w:color="auto"/>
      </w:divBdr>
    </w:div>
    <w:div w:id="1678967373">
      <w:bodyDiv w:val="1"/>
      <w:marLeft w:val="0"/>
      <w:marRight w:val="0"/>
      <w:marTop w:val="0"/>
      <w:marBottom w:val="0"/>
      <w:divBdr>
        <w:top w:val="none" w:sz="0" w:space="0" w:color="auto"/>
        <w:left w:val="none" w:sz="0" w:space="0" w:color="auto"/>
        <w:bottom w:val="none" w:sz="0" w:space="0" w:color="auto"/>
        <w:right w:val="none" w:sz="0" w:space="0" w:color="auto"/>
      </w:divBdr>
    </w:div>
    <w:div w:id="1682118718">
      <w:bodyDiv w:val="1"/>
      <w:marLeft w:val="0"/>
      <w:marRight w:val="0"/>
      <w:marTop w:val="0"/>
      <w:marBottom w:val="0"/>
      <w:divBdr>
        <w:top w:val="none" w:sz="0" w:space="0" w:color="auto"/>
        <w:left w:val="none" w:sz="0" w:space="0" w:color="auto"/>
        <w:bottom w:val="none" w:sz="0" w:space="0" w:color="auto"/>
        <w:right w:val="none" w:sz="0" w:space="0" w:color="auto"/>
      </w:divBdr>
    </w:div>
    <w:div w:id="1684361320">
      <w:bodyDiv w:val="1"/>
      <w:marLeft w:val="0"/>
      <w:marRight w:val="0"/>
      <w:marTop w:val="0"/>
      <w:marBottom w:val="0"/>
      <w:divBdr>
        <w:top w:val="none" w:sz="0" w:space="0" w:color="auto"/>
        <w:left w:val="none" w:sz="0" w:space="0" w:color="auto"/>
        <w:bottom w:val="none" w:sz="0" w:space="0" w:color="auto"/>
        <w:right w:val="none" w:sz="0" w:space="0" w:color="auto"/>
      </w:divBdr>
    </w:div>
    <w:div w:id="1692141248">
      <w:bodyDiv w:val="1"/>
      <w:marLeft w:val="0"/>
      <w:marRight w:val="0"/>
      <w:marTop w:val="0"/>
      <w:marBottom w:val="0"/>
      <w:divBdr>
        <w:top w:val="none" w:sz="0" w:space="0" w:color="auto"/>
        <w:left w:val="none" w:sz="0" w:space="0" w:color="auto"/>
        <w:bottom w:val="none" w:sz="0" w:space="0" w:color="auto"/>
        <w:right w:val="none" w:sz="0" w:space="0" w:color="auto"/>
      </w:divBdr>
    </w:div>
    <w:div w:id="1693917788">
      <w:bodyDiv w:val="1"/>
      <w:marLeft w:val="0"/>
      <w:marRight w:val="0"/>
      <w:marTop w:val="0"/>
      <w:marBottom w:val="0"/>
      <w:divBdr>
        <w:top w:val="none" w:sz="0" w:space="0" w:color="auto"/>
        <w:left w:val="none" w:sz="0" w:space="0" w:color="auto"/>
        <w:bottom w:val="none" w:sz="0" w:space="0" w:color="auto"/>
        <w:right w:val="none" w:sz="0" w:space="0" w:color="auto"/>
      </w:divBdr>
    </w:div>
    <w:div w:id="1698778615">
      <w:bodyDiv w:val="1"/>
      <w:marLeft w:val="0"/>
      <w:marRight w:val="0"/>
      <w:marTop w:val="0"/>
      <w:marBottom w:val="0"/>
      <w:divBdr>
        <w:top w:val="none" w:sz="0" w:space="0" w:color="auto"/>
        <w:left w:val="none" w:sz="0" w:space="0" w:color="auto"/>
        <w:bottom w:val="none" w:sz="0" w:space="0" w:color="auto"/>
        <w:right w:val="none" w:sz="0" w:space="0" w:color="auto"/>
      </w:divBdr>
    </w:div>
    <w:div w:id="1704358732">
      <w:bodyDiv w:val="1"/>
      <w:marLeft w:val="0"/>
      <w:marRight w:val="0"/>
      <w:marTop w:val="0"/>
      <w:marBottom w:val="0"/>
      <w:divBdr>
        <w:top w:val="none" w:sz="0" w:space="0" w:color="auto"/>
        <w:left w:val="none" w:sz="0" w:space="0" w:color="auto"/>
        <w:bottom w:val="none" w:sz="0" w:space="0" w:color="auto"/>
        <w:right w:val="none" w:sz="0" w:space="0" w:color="auto"/>
      </w:divBdr>
    </w:div>
    <w:div w:id="1708215427">
      <w:bodyDiv w:val="1"/>
      <w:marLeft w:val="0"/>
      <w:marRight w:val="0"/>
      <w:marTop w:val="0"/>
      <w:marBottom w:val="0"/>
      <w:divBdr>
        <w:top w:val="none" w:sz="0" w:space="0" w:color="auto"/>
        <w:left w:val="none" w:sz="0" w:space="0" w:color="auto"/>
        <w:bottom w:val="none" w:sz="0" w:space="0" w:color="auto"/>
        <w:right w:val="none" w:sz="0" w:space="0" w:color="auto"/>
      </w:divBdr>
    </w:div>
    <w:div w:id="1711955134">
      <w:bodyDiv w:val="1"/>
      <w:marLeft w:val="0"/>
      <w:marRight w:val="0"/>
      <w:marTop w:val="0"/>
      <w:marBottom w:val="0"/>
      <w:divBdr>
        <w:top w:val="none" w:sz="0" w:space="0" w:color="auto"/>
        <w:left w:val="none" w:sz="0" w:space="0" w:color="auto"/>
        <w:bottom w:val="none" w:sz="0" w:space="0" w:color="auto"/>
        <w:right w:val="none" w:sz="0" w:space="0" w:color="auto"/>
      </w:divBdr>
    </w:div>
    <w:div w:id="1727100950">
      <w:bodyDiv w:val="1"/>
      <w:marLeft w:val="0"/>
      <w:marRight w:val="0"/>
      <w:marTop w:val="0"/>
      <w:marBottom w:val="0"/>
      <w:divBdr>
        <w:top w:val="none" w:sz="0" w:space="0" w:color="auto"/>
        <w:left w:val="none" w:sz="0" w:space="0" w:color="auto"/>
        <w:bottom w:val="none" w:sz="0" w:space="0" w:color="auto"/>
        <w:right w:val="none" w:sz="0" w:space="0" w:color="auto"/>
      </w:divBdr>
    </w:div>
    <w:div w:id="1727413032">
      <w:bodyDiv w:val="1"/>
      <w:marLeft w:val="0"/>
      <w:marRight w:val="0"/>
      <w:marTop w:val="0"/>
      <w:marBottom w:val="0"/>
      <w:divBdr>
        <w:top w:val="none" w:sz="0" w:space="0" w:color="auto"/>
        <w:left w:val="none" w:sz="0" w:space="0" w:color="auto"/>
        <w:bottom w:val="none" w:sz="0" w:space="0" w:color="auto"/>
        <w:right w:val="none" w:sz="0" w:space="0" w:color="auto"/>
      </w:divBdr>
    </w:div>
    <w:div w:id="1729643303">
      <w:bodyDiv w:val="1"/>
      <w:marLeft w:val="0"/>
      <w:marRight w:val="0"/>
      <w:marTop w:val="0"/>
      <w:marBottom w:val="0"/>
      <w:divBdr>
        <w:top w:val="none" w:sz="0" w:space="0" w:color="auto"/>
        <w:left w:val="none" w:sz="0" w:space="0" w:color="auto"/>
        <w:bottom w:val="none" w:sz="0" w:space="0" w:color="auto"/>
        <w:right w:val="none" w:sz="0" w:space="0" w:color="auto"/>
      </w:divBdr>
    </w:div>
    <w:div w:id="1732314863">
      <w:bodyDiv w:val="1"/>
      <w:marLeft w:val="0"/>
      <w:marRight w:val="0"/>
      <w:marTop w:val="0"/>
      <w:marBottom w:val="0"/>
      <w:divBdr>
        <w:top w:val="none" w:sz="0" w:space="0" w:color="auto"/>
        <w:left w:val="none" w:sz="0" w:space="0" w:color="auto"/>
        <w:bottom w:val="none" w:sz="0" w:space="0" w:color="auto"/>
        <w:right w:val="none" w:sz="0" w:space="0" w:color="auto"/>
      </w:divBdr>
    </w:div>
    <w:div w:id="1734083982">
      <w:bodyDiv w:val="1"/>
      <w:marLeft w:val="0"/>
      <w:marRight w:val="0"/>
      <w:marTop w:val="0"/>
      <w:marBottom w:val="0"/>
      <w:divBdr>
        <w:top w:val="none" w:sz="0" w:space="0" w:color="auto"/>
        <w:left w:val="none" w:sz="0" w:space="0" w:color="auto"/>
        <w:bottom w:val="none" w:sz="0" w:space="0" w:color="auto"/>
        <w:right w:val="none" w:sz="0" w:space="0" w:color="auto"/>
      </w:divBdr>
    </w:div>
    <w:div w:id="1748454794">
      <w:bodyDiv w:val="1"/>
      <w:marLeft w:val="0"/>
      <w:marRight w:val="0"/>
      <w:marTop w:val="0"/>
      <w:marBottom w:val="0"/>
      <w:divBdr>
        <w:top w:val="none" w:sz="0" w:space="0" w:color="auto"/>
        <w:left w:val="none" w:sz="0" w:space="0" w:color="auto"/>
        <w:bottom w:val="none" w:sz="0" w:space="0" w:color="auto"/>
        <w:right w:val="none" w:sz="0" w:space="0" w:color="auto"/>
      </w:divBdr>
      <w:divsChild>
        <w:div w:id="1794712600">
          <w:marLeft w:val="547"/>
          <w:marRight w:val="0"/>
          <w:marTop w:val="0"/>
          <w:marBottom w:val="320"/>
          <w:divBdr>
            <w:top w:val="none" w:sz="0" w:space="0" w:color="auto"/>
            <w:left w:val="none" w:sz="0" w:space="0" w:color="auto"/>
            <w:bottom w:val="none" w:sz="0" w:space="0" w:color="auto"/>
            <w:right w:val="none" w:sz="0" w:space="0" w:color="auto"/>
          </w:divBdr>
        </w:div>
        <w:div w:id="1229850213">
          <w:marLeft w:val="547"/>
          <w:marRight w:val="0"/>
          <w:marTop w:val="0"/>
          <w:marBottom w:val="320"/>
          <w:divBdr>
            <w:top w:val="none" w:sz="0" w:space="0" w:color="auto"/>
            <w:left w:val="none" w:sz="0" w:space="0" w:color="auto"/>
            <w:bottom w:val="none" w:sz="0" w:space="0" w:color="auto"/>
            <w:right w:val="none" w:sz="0" w:space="0" w:color="auto"/>
          </w:divBdr>
        </w:div>
      </w:divsChild>
    </w:div>
    <w:div w:id="1751075530">
      <w:bodyDiv w:val="1"/>
      <w:marLeft w:val="0"/>
      <w:marRight w:val="0"/>
      <w:marTop w:val="0"/>
      <w:marBottom w:val="0"/>
      <w:divBdr>
        <w:top w:val="none" w:sz="0" w:space="0" w:color="auto"/>
        <w:left w:val="none" w:sz="0" w:space="0" w:color="auto"/>
        <w:bottom w:val="none" w:sz="0" w:space="0" w:color="auto"/>
        <w:right w:val="none" w:sz="0" w:space="0" w:color="auto"/>
      </w:divBdr>
    </w:div>
    <w:div w:id="1751540634">
      <w:bodyDiv w:val="1"/>
      <w:marLeft w:val="0"/>
      <w:marRight w:val="0"/>
      <w:marTop w:val="0"/>
      <w:marBottom w:val="0"/>
      <w:divBdr>
        <w:top w:val="none" w:sz="0" w:space="0" w:color="auto"/>
        <w:left w:val="none" w:sz="0" w:space="0" w:color="auto"/>
        <w:bottom w:val="none" w:sz="0" w:space="0" w:color="auto"/>
        <w:right w:val="none" w:sz="0" w:space="0" w:color="auto"/>
      </w:divBdr>
    </w:div>
    <w:div w:id="1751655789">
      <w:bodyDiv w:val="1"/>
      <w:marLeft w:val="0"/>
      <w:marRight w:val="0"/>
      <w:marTop w:val="0"/>
      <w:marBottom w:val="0"/>
      <w:divBdr>
        <w:top w:val="none" w:sz="0" w:space="0" w:color="auto"/>
        <w:left w:val="none" w:sz="0" w:space="0" w:color="auto"/>
        <w:bottom w:val="none" w:sz="0" w:space="0" w:color="auto"/>
        <w:right w:val="none" w:sz="0" w:space="0" w:color="auto"/>
      </w:divBdr>
    </w:div>
    <w:div w:id="1760832002">
      <w:bodyDiv w:val="1"/>
      <w:marLeft w:val="0"/>
      <w:marRight w:val="0"/>
      <w:marTop w:val="0"/>
      <w:marBottom w:val="0"/>
      <w:divBdr>
        <w:top w:val="none" w:sz="0" w:space="0" w:color="auto"/>
        <w:left w:val="none" w:sz="0" w:space="0" w:color="auto"/>
        <w:bottom w:val="none" w:sz="0" w:space="0" w:color="auto"/>
        <w:right w:val="none" w:sz="0" w:space="0" w:color="auto"/>
      </w:divBdr>
    </w:div>
    <w:div w:id="1767388403">
      <w:bodyDiv w:val="1"/>
      <w:marLeft w:val="0"/>
      <w:marRight w:val="0"/>
      <w:marTop w:val="0"/>
      <w:marBottom w:val="0"/>
      <w:divBdr>
        <w:top w:val="none" w:sz="0" w:space="0" w:color="auto"/>
        <w:left w:val="none" w:sz="0" w:space="0" w:color="auto"/>
        <w:bottom w:val="none" w:sz="0" w:space="0" w:color="auto"/>
        <w:right w:val="none" w:sz="0" w:space="0" w:color="auto"/>
      </w:divBdr>
    </w:div>
    <w:div w:id="1768034622">
      <w:bodyDiv w:val="1"/>
      <w:marLeft w:val="0"/>
      <w:marRight w:val="0"/>
      <w:marTop w:val="0"/>
      <w:marBottom w:val="0"/>
      <w:divBdr>
        <w:top w:val="none" w:sz="0" w:space="0" w:color="auto"/>
        <w:left w:val="none" w:sz="0" w:space="0" w:color="auto"/>
        <w:bottom w:val="none" w:sz="0" w:space="0" w:color="auto"/>
        <w:right w:val="none" w:sz="0" w:space="0" w:color="auto"/>
      </w:divBdr>
    </w:div>
    <w:div w:id="1769614882">
      <w:bodyDiv w:val="1"/>
      <w:marLeft w:val="0"/>
      <w:marRight w:val="0"/>
      <w:marTop w:val="0"/>
      <w:marBottom w:val="0"/>
      <w:divBdr>
        <w:top w:val="none" w:sz="0" w:space="0" w:color="auto"/>
        <w:left w:val="none" w:sz="0" w:space="0" w:color="auto"/>
        <w:bottom w:val="none" w:sz="0" w:space="0" w:color="auto"/>
        <w:right w:val="none" w:sz="0" w:space="0" w:color="auto"/>
      </w:divBdr>
    </w:div>
    <w:div w:id="1770814560">
      <w:bodyDiv w:val="1"/>
      <w:marLeft w:val="0"/>
      <w:marRight w:val="0"/>
      <w:marTop w:val="0"/>
      <w:marBottom w:val="0"/>
      <w:divBdr>
        <w:top w:val="none" w:sz="0" w:space="0" w:color="auto"/>
        <w:left w:val="none" w:sz="0" w:space="0" w:color="auto"/>
        <w:bottom w:val="none" w:sz="0" w:space="0" w:color="auto"/>
        <w:right w:val="none" w:sz="0" w:space="0" w:color="auto"/>
      </w:divBdr>
    </w:div>
    <w:div w:id="1772168437">
      <w:bodyDiv w:val="1"/>
      <w:marLeft w:val="0"/>
      <w:marRight w:val="0"/>
      <w:marTop w:val="0"/>
      <w:marBottom w:val="0"/>
      <w:divBdr>
        <w:top w:val="none" w:sz="0" w:space="0" w:color="auto"/>
        <w:left w:val="none" w:sz="0" w:space="0" w:color="auto"/>
        <w:bottom w:val="none" w:sz="0" w:space="0" w:color="auto"/>
        <w:right w:val="none" w:sz="0" w:space="0" w:color="auto"/>
      </w:divBdr>
    </w:div>
    <w:div w:id="1773941180">
      <w:bodyDiv w:val="1"/>
      <w:marLeft w:val="0"/>
      <w:marRight w:val="0"/>
      <w:marTop w:val="0"/>
      <w:marBottom w:val="0"/>
      <w:divBdr>
        <w:top w:val="none" w:sz="0" w:space="0" w:color="auto"/>
        <w:left w:val="none" w:sz="0" w:space="0" w:color="auto"/>
        <w:bottom w:val="none" w:sz="0" w:space="0" w:color="auto"/>
        <w:right w:val="none" w:sz="0" w:space="0" w:color="auto"/>
      </w:divBdr>
    </w:div>
    <w:div w:id="1780685427">
      <w:bodyDiv w:val="1"/>
      <w:marLeft w:val="0"/>
      <w:marRight w:val="0"/>
      <w:marTop w:val="0"/>
      <w:marBottom w:val="0"/>
      <w:divBdr>
        <w:top w:val="none" w:sz="0" w:space="0" w:color="auto"/>
        <w:left w:val="none" w:sz="0" w:space="0" w:color="auto"/>
        <w:bottom w:val="none" w:sz="0" w:space="0" w:color="auto"/>
        <w:right w:val="none" w:sz="0" w:space="0" w:color="auto"/>
      </w:divBdr>
    </w:div>
    <w:div w:id="1786650954">
      <w:bodyDiv w:val="1"/>
      <w:marLeft w:val="0"/>
      <w:marRight w:val="0"/>
      <w:marTop w:val="0"/>
      <w:marBottom w:val="0"/>
      <w:divBdr>
        <w:top w:val="none" w:sz="0" w:space="0" w:color="auto"/>
        <w:left w:val="none" w:sz="0" w:space="0" w:color="auto"/>
        <w:bottom w:val="none" w:sz="0" w:space="0" w:color="auto"/>
        <w:right w:val="none" w:sz="0" w:space="0" w:color="auto"/>
      </w:divBdr>
    </w:div>
    <w:div w:id="1787769469">
      <w:bodyDiv w:val="1"/>
      <w:marLeft w:val="0"/>
      <w:marRight w:val="0"/>
      <w:marTop w:val="0"/>
      <w:marBottom w:val="0"/>
      <w:divBdr>
        <w:top w:val="none" w:sz="0" w:space="0" w:color="auto"/>
        <w:left w:val="none" w:sz="0" w:space="0" w:color="auto"/>
        <w:bottom w:val="none" w:sz="0" w:space="0" w:color="auto"/>
        <w:right w:val="none" w:sz="0" w:space="0" w:color="auto"/>
      </w:divBdr>
    </w:div>
    <w:div w:id="1788351393">
      <w:bodyDiv w:val="1"/>
      <w:marLeft w:val="0"/>
      <w:marRight w:val="0"/>
      <w:marTop w:val="0"/>
      <w:marBottom w:val="0"/>
      <w:divBdr>
        <w:top w:val="none" w:sz="0" w:space="0" w:color="auto"/>
        <w:left w:val="none" w:sz="0" w:space="0" w:color="auto"/>
        <w:bottom w:val="none" w:sz="0" w:space="0" w:color="auto"/>
        <w:right w:val="none" w:sz="0" w:space="0" w:color="auto"/>
      </w:divBdr>
    </w:div>
    <w:div w:id="1789929097">
      <w:bodyDiv w:val="1"/>
      <w:marLeft w:val="0"/>
      <w:marRight w:val="0"/>
      <w:marTop w:val="0"/>
      <w:marBottom w:val="0"/>
      <w:divBdr>
        <w:top w:val="none" w:sz="0" w:space="0" w:color="auto"/>
        <w:left w:val="none" w:sz="0" w:space="0" w:color="auto"/>
        <w:bottom w:val="none" w:sz="0" w:space="0" w:color="auto"/>
        <w:right w:val="none" w:sz="0" w:space="0" w:color="auto"/>
      </w:divBdr>
    </w:div>
    <w:div w:id="1793353725">
      <w:bodyDiv w:val="1"/>
      <w:marLeft w:val="0"/>
      <w:marRight w:val="0"/>
      <w:marTop w:val="0"/>
      <w:marBottom w:val="0"/>
      <w:divBdr>
        <w:top w:val="none" w:sz="0" w:space="0" w:color="auto"/>
        <w:left w:val="none" w:sz="0" w:space="0" w:color="auto"/>
        <w:bottom w:val="none" w:sz="0" w:space="0" w:color="auto"/>
        <w:right w:val="none" w:sz="0" w:space="0" w:color="auto"/>
      </w:divBdr>
    </w:div>
    <w:div w:id="1793672770">
      <w:bodyDiv w:val="1"/>
      <w:marLeft w:val="0"/>
      <w:marRight w:val="0"/>
      <w:marTop w:val="0"/>
      <w:marBottom w:val="0"/>
      <w:divBdr>
        <w:top w:val="none" w:sz="0" w:space="0" w:color="auto"/>
        <w:left w:val="none" w:sz="0" w:space="0" w:color="auto"/>
        <w:bottom w:val="none" w:sz="0" w:space="0" w:color="auto"/>
        <w:right w:val="none" w:sz="0" w:space="0" w:color="auto"/>
      </w:divBdr>
    </w:div>
    <w:div w:id="1801655905">
      <w:bodyDiv w:val="1"/>
      <w:marLeft w:val="0"/>
      <w:marRight w:val="0"/>
      <w:marTop w:val="0"/>
      <w:marBottom w:val="0"/>
      <w:divBdr>
        <w:top w:val="none" w:sz="0" w:space="0" w:color="auto"/>
        <w:left w:val="none" w:sz="0" w:space="0" w:color="auto"/>
        <w:bottom w:val="none" w:sz="0" w:space="0" w:color="auto"/>
        <w:right w:val="none" w:sz="0" w:space="0" w:color="auto"/>
      </w:divBdr>
    </w:div>
    <w:div w:id="1805077640">
      <w:bodyDiv w:val="1"/>
      <w:marLeft w:val="0"/>
      <w:marRight w:val="0"/>
      <w:marTop w:val="0"/>
      <w:marBottom w:val="0"/>
      <w:divBdr>
        <w:top w:val="none" w:sz="0" w:space="0" w:color="auto"/>
        <w:left w:val="none" w:sz="0" w:space="0" w:color="auto"/>
        <w:bottom w:val="none" w:sz="0" w:space="0" w:color="auto"/>
        <w:right w:val="none" w:sz="0" w:space="0" w:color="auto"/>
      </w:divBdr>
    </w:div>
    <w:div w:id="1825078075">
      <w:bodyDiv w:val="1"/>
      <w:marLeft w:val="0"/>
      <w:marRight w:val="0"/>
      <w:marTop w:val="0"/>
      <w:marBottom w:val="0"/>
      <w:divBdr>
        <w:top w:val="none" w:sz="0" w:space="0" w:color="auto"/>
        <w:left w:val="none" w:sz="0" w:space="0" w:color="auto"/>
        <w:bottom w:val="none" w:sz="0" w:space="0" w:color="auto"/>
        <w:right w:val="none" w:sz="0" w:space="0" w:color="auto"/>
      </w:divBdr>
    </w:div>
    <w:div w:id="1825198004">
      <w:bodyDiv w:val="1"/>
      <w:marLeft w:val="0"/>
      <w:marRight w:val="0"/>
      <w:marTop w:val="0"/>
      <w:marBottom w:val="0"/>
      <w:divBdr>
        <w:top w:val="none" w:sz="0" w:space="0" w:color="auto"/>
        <w:left w:val="none" w:sz="0" w:space="0" w:color="auto"/>
        <w:bottom w:val="none" w:sz="0" w:space="0" w:color="auto"/>
        <w:right w:val="none" w:sz="0" w:space="0" w:color="auto"/>
      </w:divBdr>
    </w:div>
    <w:div w:id="1829861000">
      <w:bodyDiv w:val="1"/>
      <w:marLeft w:val="0"/>
      <w:marRight w:val="0"/>
      <w:marTop w:val="0"/>
      <w:marBottom w:val="0"/>
      <w:divBdr>
        <w:top w:val="none" w:sz="0" w:space="0" w:color="auto"/>
        <w:left w:val="none" w:sz="0" w:space="0" w:color="auto"/>
        <w:bottom w:val="none" w:sz="0" w:space="0" w:color="auto"/>
        <w:right w:val="none" w:sz="0" w:space="0" w:color="auto"/>
      </w:divBdr>
    </w:div>
    <w:div w:id="1832214520">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34907882">
      <w:bodyDiv w:val="1"/>
      <w:marLeft w:val="0"/>
      <w:marRight w:val="0"/>
      <w:marTop w:val="0"/>
      <w:marBottom w:val="0"/>
      <w:divBdr>
        <w:top w:val="none" w:sz="0" w:space="0" w:color="auto"/>
        <w:left w:val="none" w:sz="0" w:space="0" w:color="auto"/>
        <w:bottom w:val="none" w:sz="0" w:space="0" w:color="auto"/>
        <w:right w:val="none" w:sz="0" w:space="0" w:color="auto"/>
      </w:divBdr>
    </w:div>
    <w:div w:id="1843857112">
      <w:bodyDiv w:val="1"/>
      <w:marLeft w:val="0"/>
      <w:marRight w:val="0"/>
      <w:marTop w:val="0"/>
      <w:marBottom w:val="0"/>
      <w:divBdr>
        <w:top w:val="none" w:sz="0" w:space="0" w:color="auto"/>
        <w:left w:val="none" w:sz="0" w:space="0" w:color="auto"/>
        <w:bottom w:val="none" w:sz="0" w:space="0" w:color="auto"/>
        <w:right w:val="none" w:sz="0" w:space="0" w:color="auto"/>
      </w:divBdr>
    </w:div>
    <w:div w:id="1844005131">
      <w:bodyDiv w:val="1"/>
      <w:marLeft w:val="0"/>
      <w:marRight w:val="0"/>
      <w:marTop w:val="0"/>
      <w:marBottom w:val="0"/>
      <w:divBdr>
        <w:top w:val="none" w:sz="0" w:space="0" w:color="auto"/>
        <w:left w:val="none" w:sz="0" w:space="0" w:color="auto"/>
        <w:bottom w:val="none" w:sz="0" w:space="0" w:color="auto"/>
        <w:right w:val="none" w:sz="0" w:space="0" w:color="auto"/>
      </w:divBdr>
    </w:div>
    <w:div w:id="1845783764">
      <w:bodyDiv w:val="1"/>
      <w:marLeft w:val="0"/>
      <w:marRight w:val="0"/>
      <w:marTop w:val="0"/>
      <w:marBottom w:val="0"/>
      <w:divBdr>
        <w:top w:val="none" w:sz="0" w:space="0" w:color="auto"/>
        <w:left w:val="none" w:sz="0" w:space="0" w:color="auto"/>
        <w:bottom w:val="none" w:sz="0" w:space="0" w:color="auto"/>
        <w:right w:val="none" w:sz="0" w:space="0" w:color="auto"/>
      </w:divBdr>
    </w:div>
    <w:div w:id="1854294837">
      <w:bodyDiv w:val="1"/>
      <w:marLeft w:val="0"/>
      <w:marRight w:val="0"/>
      <w:marTop w:val="0"/>
      <w:marBottom w:val="0"/>
      <w:divBdr>
        <w:top w:val="none" w:sz="0" w:space="0" w:color="auto"/>
        <w:left w:val="none" w:sz="0" w:space="0" w:color="auto"/>
        <w:bottom w:val="none" w:sz="0" w:space="0" w:color="auto"/>
        <w:right w:val="none" w:sz="0" w:space="0" w:color="auto"/>
      </w:divBdr>
    </w:div>
    <w:div w:id="1858275311">
      <w:bodyDiv w:val="1"/>
      <w:marLeft w:val="0"/>
      <w:marRight w:val="0"/>
      <w:marTop w:val="0"/>
      <w:marBottom w:val="0"/>
      <w:divBdr>
        <w:top w:val="none" w:sz="0" w:space="0" w:color="auto"/>
        <w:left w:val="none" w:sz="0" w:space="0" w:color="auto"/>
        <w:bottom w:val="none" w:sz="0" w:space="0" w:color="auto"/>
        <w:right w:val="none" w:sz="0" w:space="0" w:color="auto"/>
      </w:divBdr>
    </w:div>
    <w:div w:id="1865093250">
      <w:bodyDiv w:val="1"/>
      <w:marLeft w:val="0"/>
      <w:marRight w:val="0"/>
      <w:marTop w:val="0"/>
      <w:marBottom w:val="0"/>
      <w:divBdr>
        <w:top w:val="none" w:sz="0" w:space="0" w:color="auto"/>
        <w:left w:val="none" w:sz="0" w:space="0" w:color="auto"/>
        <w:bottom w:val="none" w:sz="0" w:space="0" w:color="auto"/>
        <w:right w:val="none" w:sz="0" w:space="0" w:color="auto"/>
      </w:divBdr>
    </w:div>
    <w:div w:id="1871144808">
      <w:bodyDiv w:val="1"/>
      <w:marLeft w:val="0"/>
      <w:marRight w:val="0"/>
      <w:marTop w:val="0"/>
      <w:marBottom w:val="0"/>
      <w:divBdr>
        <w:top w:val="none" w:sz="0" w:space="0" w:color="auto"/>
        <w:left w:val="none" w:sz="0" w:space="0" w:color="auto"/>
        <w:bottom w:val="none" w:sz="0" w:space="0" w:color="auto"/>
        <w:right w:val="none" w:sz="0" w:space="0" w:color="auto"/>
      </w:divBdr>
    </w:div>
    <w:div w:id="1871604038">
      <w:bodyDiv w:val="1"/>
      <w:marLeft w:val="0"/>
      <w:marRight w:val="0"/>
      <w:marTop w:val="0"/>
      <w:marBottom w:val="0"/>
      <w:divBdr>
        <w:top w:val="none" w:sz="0" w:space="0" w:color="auto"/>
        <w:left w:val="none" w:sz="0" w:space="0" w:color="auto"/>
        <w:bottom w:val="none" w:sz="0" w:space="0" w:color="auto"/>
        <w:right w:val="none" w:sz="0" w:space="0" w:color="auto"/>
      </w:divBdr>
    </w:div>
    <w:div w:id="1872182362">
      <w:bodyDiv w:val="1"/>
      <w:marLeft w:val="0"/>
      <w:marRight w:val="0"/>
      <w:marTop w:val="0"/>
      <w:marBottom w:val="0"/>
      <w:divBdr>
        <w:top w:val="none" w:sz="0" w:space="0" w:color="auto"/>
        <w:left w:val="none" w:sz="0" w:space="0" w:color="auto"/>
        <w:bottom w:val="none" w:sz="0" w:space="0" w:color="auto"/>
        <w:right w:val="none" w:sz="0" w:space="0" w:color="auto"/>
      </w:divBdr>
    </w:div>
    <w:div w:id="1873378711">
      <w:bodyDiv w:val="1"/>
      <w:marLeft w:val="0"/>
      <w:marRight w:val="0"/>
      <w:marTop w:val="0"/>
      <w:marBottom w:val="0"/>
      <w:divBdr>
        <w:top w:val="none" w:sz="0" w:space="0" w:color="auto"/>
        <w:left w:val="none" w:sz="0" w:space="0" w:color="auto"/>
        <w:bottom w:val="none" w:sz="0" w:space="0" w:color="auto"/>
        <w:right w:val="none" w:sz="0" w:space="0" w:color="auto"/>
      </w:divBdr>
    </w:div>
    <w:div w:id="1881629339">
      <w:bodyDiv w:val="1"/>
      <w:marLeft w:val="0"/>
      <w:marRight w:val="0"/>
      <w:marTop w:val="0"/>
      <w:marBottom w:val="0"/>
      <w:divBdr>
        <w:top w:val="none" w:sz="0" w:space="0" w:color="auto"/>
        <w:left w:val="none" w:sz="0" w:space="0" w:color="auto"/>
        <w:bottom w:val="none" w:sz="0" w:space="0" w:color="auto"/>
        <w:right w:val="none" w:sz="0" w:space="0" w:color="auto"/>
      </w:divBdr>
    </w:div>
    <w:div w:id="1882328842">
      <w:bodyDiv w:val="1"/>
      <w:marLeft w:val="0"/>
      <w:marRight w:val="0"/>
      <w:marTop w:val="0"/>
      <w:marBottom w:val="0"/>
      <w:divBdr>
        <w:top w:val="none" w:sz="0" w:space="0" w:color="auto"/>
        <w:left w:val="none" w:sz="0" w:space="0" w:color="auto"/>
        <w:bottom w:val="none" w:sz="0" w:space="0" w:color="auto"/>
        <w:right w:val="none" w:sz="0" w:space="0" w:color="auto"/>
      </w:divBdr>
    </w:div>
    <w:div w:id="1889612434">
      <w:bodyDiv w:val="1"/>
      <w:marLeft w:val="0"/>
      <w:marRight w:val="0"/>
      <w:marTop w:val="0"/>
      <w:marBottom w:val="0"/>
      <w:divBdr>
        <w:top w:val="none" w:sz="0" w:space="0" w:color="auto"/>
        <w:left w:val="none" w:sz="0" w:space="0" w:color="auto"/>
        <w:bottom w:val="none" w:sz="0" w:space="0" w:color="auto"/>
        <w:right w:val="none" w:sz="0" w:space="0" w:color="auto"/>
      </w:divBdr>
    </w:div>
    <w:div w:id="1890528905">
      <w:bodyDiv w:val="1"/>
      <w:marLeft w:val="0"/>
      <w:marRight w:val="0"/>
      <w:marTop w:val="0"/>
      <w:marBottom w:val="0"/>
      <w:divBdr>
        <w:top w:val="none" w:sz="0" w:space="0" w:color="auto"/>
        <w:left w:val="none" w:sz="0" w:space="0" w:color="auto"/>
        <w:bottom w:val="none" w:sz="0" w:space="0" w:color="auto"/>
        <w:right w:val="none" w:sz="0" w:space="0" w:color="auto"/>
      </w:divBdr>
    </w:div>
    <w:div w:id="1894152960">
      <w:bodyDiv w:val="1"/>
      <w:marLeft w:val="0"/>
      <w:marRight w:val="0"/>
      <w:marTop w:val="0"/>
      <w:marBottom w:val="0"/>
      <w:divBdr>
        <w:top w:val="none" w:sz="0" w:space="0" w:color="auto"/>
        <w:left w:val="none" w:sz="0" w:space="0" w:color="auto"/>
        <w:bottom w:val="none" w:sz="0" w:space="0" w:color="auto"/>
        <w:right w:val="none" w:sz="0" w:space="0" w:color="auto"/>
      </w:divBdr>
    </w:div>
    <w:div w:id="1895237470">
      <w:bodyDiv w:val="1"/>
      <w:marLeft w:val="0"/>
      <w:marRight w:val="0"/>
      <w:marTop w:val="0"/>
      <w:marBottom w:val="0"/>
      <w:divBdr>
        <w:top w:val="none" w:sz="0" w:space="0" w:color="auto"/>
        <w:left w:val="none" w:sz="0" w:space="0" w:color="auto"/>
        <w:bottom w:val="none" w:sz="0" w:space="0" w:color="auto"/>
        <w:right w:val="none" w:sz="0" w:space="0" w:color="auto"/>
      </w:divBdr>
    </w:div>
    <w:div w:id="1900282588">
      <w:bodyDiv w:val="1"/>
      <w:marLeft w:val="0"/>
      <w:marRight w:val="0"/>
      <w:marTop w:val="0"/>
      <w:marBottom w:val="0"/>
      <w:divBdr>
        <w:top w:val="none" w:sz="0" w:space="0" w:color="auto"/>
        <w:left w:val="none" w:sz="0" w:space="0" w:color="auto"/>
        <w:bottom w:val="none" w:sz="0" w:space="0" w:color="auto"/>
        <w:right w:val="none" w:sz="0" w:space="0" w:color="auto"/>
      </w:divBdr>
    </w:div>
    <w:div w:id="1906404501">
      <w:bodyDiv w:val="1"/>
      <w:marLeft w:val="0"/>
      <w:marRight w:val="0"/>
      <w:marTop w:val="0"/>
      <w:marBottom w:val="0"/>
      <w:divBdr>
        <w:top w:val="none" w:sz="0" w:space="0" w:color="auto"/>
        <w:left w:val="none" w:sz="0" w:space="0" w:color="auto"/>
        <w:bottom w:val="none" w:sz="0" w:space="0" w:color="auto"/>
        <w:right w:val="none" w:sz="0" w:space="0" w:color="auto"/>
      </w:divBdr>
    </w:div>
    <w:div w:id="1907177633">
      <w:bodyDiv w:val="1"/>
      <w:marLeft w:val="0"/>
      <w:marRight w:val="0"/>
      <w:marTop w:val="0"/>
      <w:marBottom w:val="0"/>
      <w:divBdr>
        <w:top w:val="none" w:sz="0" w:space="0" w:color="auto"/>
        <w:left w:val="none" w:sz="0" w:space="0" w:color="auto"/>
        <w:bottom w:val="none" w:sz="0" w:space="0" w:color="auto"/>
        <w:right w:val="none" w:sz="0" w:space="0" w:color="auto"/>
      </w:divBdr>
    </w:div>
    <w:div w:id="1909151642">
      <w:bodyDiv w:val="1"/>
      <w:marLeft w:val="0"/>
      <w:marRight w:val="0"/>
      <w:marTop w:val="0"/>
      <w:marBottom w:val="0"/>
      <w:divBdr>
        <w:top w:val="none" w:sz="0" w:space="0" w:color="auto"/>
        <w:left w:val="none" w:sz="0" w:space="0" w:color="auto"/>
        <w:bottom w:val="none" w:sz="0" w:space="0" w:color="auto"/>
        <w:right w:val="none" w:sz="0" w:space="0" w:color="auto"/>
      </w:divBdr>
    </w:div>
    <w:div w:id="1915433381">
      <w:bodyDiv w:val="1"/>
      <w:marLeft w:val="0"/>
      <w:marRight w:val="0"/>
      <w:marTop w:val="0"/>
      <w:marBottom w:val="0"/>
      <w:divBdr>
        <w:top w:val="none" w:sz="0" w:space="0" w:color="auto"/>
        <w:left w:val="none" w:sz="0" w:space="0" w:color="auto"/>
        <w:bottom w:val="none" w:sz="0" w:space="0" w:color="auto"/>
        <w:right w:val="none" w:sz="0" w:space="0" w:color="auto"/>
      </w:divBdr>
    </w:div>
    <w:div w:id="1916161840">
      <w:bodyDiv w:val="1"/>
      <w:marLeft w:val="0"/>
      <w:marRight w:val="0"/>
      <w:marTop w:val="0"/>
      <w:marBottom w:val="0"/>
      <w:divBdr>
        <w:top w:val="none" w:sz="0" w:space="0" w:color="auto"/>
        <w:left w:val="none" w:sz="0" w:space="0" w:color="auto"/>
        <w:bottom w:val="none" w:sz="0" w:space="0" w:color="auto"/>
        <w:right w:val="none" w:sz="0" w:space="0" w:color="auto"/>
      </w:divBdr>
    </w:div>
    <w:div w:id="1919557170">
      <w:bodyDiv w:val="1"/>
      <w:marLeft w:val="0"/>
      <w:marRight w:val="0"/>
      <w:marTop w:val="0"/>
      <w:marBottom w:val="0"/>
      <w:divBdr>
        <w:top w:val="none" w:sz="0" w:space="0" w:color="auto"/>
        <w:left w:val="none" w:sz="0" w:space="0" w:color="auto"/>
        <w:bottom w:val="none" w:sz="0" w:space="0" w:color="auto"/>
        <w:right w:val="none" w:sz="0" w:space="0" w:color="auto"/>
      </w:divBdr>
    </w:div>
    <w:div w:id="1923836813">
      <w:bodyDiv w:val="1"/>
      <w:marLeft w:val="0"/>
      <w:marRight w:val="0"/>
      <w:marTop w:val="0"/>
      <w:marBottom w:val="0"/>
      <w:divBdr>
        <w:top w:val="none" w:sz="0" w:space="0" w:color="auto"/>
        <w:left w:val="none" w:sz="0" w:space="0" w:color="auto"/>
        <w:bottom w:val="none" w:sz="0" w:space="0" w:color="auto"/>
        <w:right w:val="none" w:sz="0" w:space="0" w:color="auto"/>
      </w:divBdr>
    </w:div>
    <w:div w:id="1924601247">
      <w:bodyDiv w:val="1"/>
      <w:marLeft w:val="0"/>
      <w:marRight w:val="0"/>
      <w:marTop w:val="0"/>
      <w:marBottom w:val="0"/>
      <w:divBdr>
        <w:top w:val="none" w:sz="0" w:space="0" w:color="auto"/>
        <w:left w:val="none" w:sz="0" w:space="0" w:color="auto"/>
        <w:bottom w:val="none" w:sz="0" w:space="0" w:color="auto"/>
        <w:right w:val="none" w:sz="0" w:space="0" w:color="auto"/>
      </w:divBdr>
    </w:div>
    <w:div w:id="1929148740">
      <w:bodyDiv w:val="1"/>
      <w:marLeft w:val="0"/>
      <w:marRight w:val="0"/>
      <w:marTop w:val="0"/>
      <w:marBottom w:val="0"/>
      <w:divBdr>
        <w:top w:val="none" w:sz="0" w:space="0" w:color="auto"/>
        <w:left w:val="none" w:sz="0" w:space="0" w:color="auto"/>
        <w:bottom w:val="none" w:sz="0" w:space="0" w:color="auto"/>
        <w:right w:val="none" w:sz="0" w:space="0" w:color="auto"/>
      </w:divBdr>
    </w:div>
    <w:div w:id="1930237140">
      <w:bodyDiv w:val="1"/>
      <w:marLeft w:val="0"/>
      <w:marRight w:val="0"/>
      <w:marTop w:val="0"/>
      <w:marBottom w:val="0"/>
      <w:divBdr>
        <w:top w:val="none" w:sz="0" w:space="0" w:color="auto"/>
        <w:left w:val="none" w:sz="0" w:space="0" w:color="auto"/>
        <w:bottom w:val="none" w:sz="0" w:space="0" w:color="auto"/>
        <w:right w:val="none" w:sz="0" w:space="0" w:color="auto"/>
      </w:divBdr>
    </w:div>
    <w:div w:id="1938325285">
      <w:bodyDiv w:val="1"/>
      <w:marLeft w:val="0"/>
      <w:marRight w:val="0"/>
      <w:marTop w:val="0"/>
      <w:marBottom w:val="0"/>
      <w:divBdr>
        <w:top w:val="none" w:sz="0" w:space="0" w:color="auto"/>
        <w:left w:val="none" w:sz="0" w:space="0" w:color="auto"/>
        <w:bottom w:val="none" w:sz="0" w:space="0" w:color="auto"/>
        <w:right w:val="none" w:sz="0" w:space="0" w:color="auto"/>
      </w:divBdr>
    </w:div>
    <w:div w:id="1938518944">
      <w:bodyDiv w:val="1"/>
      <w:marLeft w:val="0"/>
      <w:marRight w:val="0"/>
      <w:marTop w:val="0"/>
      <w:marBottom w:val="0"/>
      <w:divBdr>
        <w:top w:val="none" w:sz="0" w:space="0" w:color="auto"/>
        <w:left w:val="none" w:sz="0" w:space="0" w:color="auto"/>
        <w:bottom w:val="none" w:sz="0" w:space="0" w:color="auto"/>
        <w:right w:val="none" w:sz="0" w:space="0" w:color="auto"/>
      </w:divBdr>
    </w:div>
    <w:div w:id="1941720471">
      <w:bodyDiv w:val="1"/>
      <w:marLeft w:val="0"/>
      <w:marRight w:val="0"/>
      <w:marTop w:val="0"/>
      <w:marBottom w:val="0"/>
      <w:divBdr>
        <w:top w:val="none" w:sz="0" w:space="0" w:color="auto"/>
        <w:left w:val="none" w:sz="0" w:space="0" w:color="auto"/>
        <w:bottom w:val="none" w:sz="0" w:space="0" w:color="auto"/>
        <w:right w:val="none" w:sz="0" w:space="0" w:color="auto"/>
      </w:divBdr>
    </w:div>
    <w:div w:id="1944074160">
      <w:bodyDiv w:val="1"/>
      <w:marLeft w:val="0"/>
      <w:marRight w:val="0"/>
      <w:marTop w:val="0"/>
      <w:marBottom w:val="0"/>
      <w:divBdr>
        <w:top w:val="none" w:sz="0" w:space="0" w:color="auto"/>
        <w:left w:val="none" w:sz="0" w:space="0" w:color="auto"/>
        <w:bottom w:val="none" w:sz="0" w:space="0" w:color="auto"/>
        <w:right w:val="none" w:sz="0" w:space="0" w:color="auto"/>
      </w:divBdr>
    </w:div>
    <w:div w:id="1946427473">
      <w:bodyDiv w:val="1"/>
      <w:marLeft w:val="0"/>
      <w:marRight w:val="0"/>
      <w:marTop w:val="0"/>
      <w:marBottom w:val="0"/>
      <w:divBdr>
        <w:top w:val="none" w:sz="0" w:space="0" w:color="auto"/>
        <w:left w:val="none" w:sz="0" w:space="0" w:color="auto"/>
        <w:bottom w:val="none" w:sz="0" w:space="0" w:color="auto"/>
        <w:right w:val="none" w:sz="0" w:space="0" w:color="auto"/>
      </w:divBdr>
    </w:div>
    <w:div w:id="1965186860">
      <w:bodyDiv w:val="1"/>
      <w:marLeft w:val="0"/>
      <w:marRight w:val="0"/>
      <w:marTop w:val="0"/>
      <w:marBottom w:val="0"/>
      <w:divBdr>
        <w:top w:val="none" w:sz="0" w:space="0" w:color="auto"/>
        <w:left w:val="none" w:sz="0" w:space="0" w:color="auto"/>
        <w:bottom w:val="none" w:sz="0" w:space="0" w:color="auto"/>
        <w:right w:val="none" w:sz="0" w:space="0" w:color="auto"/>
      </w:divBdr>
    </w:div>
    <w:div w:id="1968966740">
      <w:bodyDiv w:val="1"/>
      <w:marLeft w:val="0"/>
      <w:marRight w:val="0"/>
      <w:marTop w:val="0"/>
      <w:marBottom w:val="0"/>
      <w:divBdr>
        <w:top w:val="none" w:sz="0" w:space="0" w:color="auto"/>
        <w:left w:val="none" w:sz="0" w:space="0" w:color="auto"/>
        <w:bottom w:val="none" w:sz="0" w:space="0" w:color="auto"/>
        <w:right w:val="none" w:sz="0" w:space="0" w:color="auto"/>
      </w:divBdr>
    </w:div>
    <w:div w:id="1982152710">
      <w:bodyDiv w:val="1"/>
      <w:marLeft w:val="0"/>
      <w:marRight w:val="0"/>
      <w:marTop w:val="0"/>
      <w:marBottom w:val="0"/>
      <w:divBdr>
        <w:top w:val="none" w:sz="0" w:space="0" w:color="auto"/>
        <w:left w:val="none" w:sz="0" w:space="0" w:color="auto"/>
        <w:bottom w:val="none" w:sz="0" w:space="0" w:color="auto"/>
        <w:right w:val="none" w:sz="0" w:space="0" w:color="auto"/>
      </w:divBdr>
    </w:div>
    <w:div w:id="1984890963">
      <w:bodyDiv w:val="1"/>
      <w:marLeft w:val="0"/>
      <w:marRight w:val="0"/>
      <w:marTop w:val="0"/>
      <w:marBottom w:val="0"/>
      <w:divBdr>
        <w:top w:val="none" w:sz="0" w:space="0" w:color="auto"/>
        <w:left w:val="none" w:sz="0" w:space="0" w:color="auto"/>
        <w:bottom w:val="none" w:sz="0" w:space="0" w:color="auto"/>
        <w:right w:val="none" w:sz="0" w:space="0" w:color="auto"/>
      </w:divBdr>
    </w:div>
    <w:div w:id="1986661383">
      <w:bodyDiv w:val="1"/>
      <w:marLeft w:val="0"/>
      <w:marRight w:val="0"/>
      <w:marTop w:val="0"/>
      <w:marBottom w:val="0"/>
      <w:divBdr>
        <w:top w:val="none" w:sz="0" w:space="0" w:color="auto"/>
        <w:left w:val="none" w:sz="0" w:space="0" w:color="auto"/>
        <w:bottom w:val="none" w:sz="0" w:space="0" w:color="auto"/>
        <w:right w:val="none" w:sz="0" w:space="0" w:color="auto"/>
      </w:divBdr>
      <w:divsChild>
        <w:div w:id="2019307357">
          <w:marLeft w:val="547"/>
          <w:marRight w:val="0"/>
          <w:marTop w:val="0"/>
          <w:marBottom w:val="320"/>
          <w:divBdr>
            <w:top w:val="none" w:sz="0" w:space="0" w:color="auto"/>
            <w:left w:val="none" w:sz="0" w:space="0" w:color="auto"/>
            <w:bottom w:val="none" w:sz="0" w:space="0" w:color="auto"/>
            <w:right w:val="none" w:sz="0" w:space="0" w:color="auto"/>
          </w:divBdr>
        </w:div>
        <w:div w:id="656035949">
          <w:marLeft w:val="547"/>
          <w:marRight w:val="0"/>
          <w:marTop w:val="0"/>
          <w:marBottom w:val="320"/>
          <w:divBdr>
            <w:top w:val="none" w:sz="0" w:space="0" w:color="auto"/>
            <w:left w:val="none" w:sz="0" w:space="0" w:color="auto"/>
            <w:bottom w:val="none" w:sz="0" w:space="0" w:color="auto"/>
            <w:right w:val="none" w:sz="0" w:space="0" w:color="auto"/>
          </w:divBdr>
        </w:div>
      </w:divsChild>
    </w:div>
    <w:div w:id="1990283450">
      <w:bodyDiv w:val="1"/>
      <w:marLeft w:val="0"/>
      <w:marRight w:val="0"/>
      <w:marTop w:val="0"/>
      <w:marBottom w:val="0"/>
      <w:divBdr>
        <w:top w:val="none" w:sz="0" w:space="0" w:color="auto"/>
        <w:left w:val="none" w:sz="0" w:space="0" w:color="auto"/>
        <w:bottom w:val="none" w:sz="0" w:space="0" w:color="auto"/>
        <w:right w:val="none" w:sz="0" w:space="0" w:color="auto"/>
      </w:divBdr>
    </w:div>
    <w:div w:id="1990740946">
      <w:bodyDiv w:val="1"/>
      <w:marLeft w:val="0"/>
      <w:marRight w:val="0"/>
      <w:marTop w:val="0"/>
      <w:marBottom w:val="0"/>
      <w:divBdr>
        <w:top w:val="none" w:sz="0" w:space="0" w:color="auto"/>
        <w:left w:val="none" w:sz="0" w:space="0" w:color="auto"/>
        <w:bottom w:val="none" w:sz="0" w:space="0" w:color="auto"/>
        <w:right w:val="none" w:sz="0" w:space="0" w:color="auto"/>
      </w:divBdr>
    </w:div>
    <w:div w:id="1994598964">
      <w:bodyDiv w:val="1"/>
      <w:marLeft w:val="0"/>
      <w:marRight w:val="0"/>
      <w:marTop w:val="0"/>
      <w:marBottom w:val="0"/>
      <w:divBdr>
        <w:top w:val="none" w:sz="0" w:space="0" w:color="auto"/>
        <w:left w:val="none" w:sz="0" w:space="0" w:color="auto"/>
        <w:bottom w:val="none" w:sz="0" w:space="0" w:color="auto"/>
        <w:right w:val="none" w:sz="0" w:space="0" w:color="auto"/>
      </w:divBdr>
    </w:div>
    <w:div w:id="1995184069">
      <w:bodyDiv w:val="1"/>
      <w:marLeft w:val="0"/>
      <w:marRight w:val="0"/>
      <w:marTop w:val="0"/>
      <w:marBottom w:val="0"/>
      <w:divBdr>
        <w:top w:val="none" w:sz="0" w:space="0" w:color="auto"/>
        <w:left w:val="none" w:sz="0" w:space="0" w:color="auto"/>
        <w:bottom w:val="none" w:sz="0" w:space="0" w:color="auto"/>
        <w:right w:val="none" w:sz="0" w:space="0" w:color="auto"/>
      </w:divBdr>
    </w:div>
    <w:div w:id="2001081251">
      <w:bodyDiv w:val="1"/>
      <w:marLeft w:val="0"/>
      <w:marRight w:val="0"/>
      <w:marTop w:val="0"/>
      <w:marBottom w:val="0"/>
      <w:divBdr>
        <w:top w:val="none" w:sz="0" w:space="0" w:color="auto"/>
        <w:left w:val="none" w:sz="0" w:space="0" w:color="auto"/>
        <w:bottom w:val="none" w:sz="0" w:space="0" w:color="auto"/>
        <w:right w:val="none" w:sz="0" w:space="0" w:color="auto"/>
      </w:divBdr>
    </w:div>
    <w:div w:id="2003118698">
      <w:bodyDiv w:val="1"/>
      <w:marLeft w:val="0"/>
      <w:marRight w:val="0"/>
      <w:marTop w:val="0"/>
      <w:marBottom w:val="0"/>
      <w:divBdr>
        <w:top w:val="none" w:sz="0" w:space="0" w:color="auto"/>
        <w:left w:val="none" w:sz="0" w:space="0" w:color="auto"/>
        <w:bottom w:val="none" w:sz="0" w:space="0" w:color="auto"/>
        <w:right w:val="none" w:sz="0" w:space="0" w:color="auto"/>
      </w:divBdr>
    </w:div>
    <w:div w:id="2003501823">
      <w:bodyDiv w:val="1"/>
      <w:marLeft w:val="0"/>
      <w:marRight w:val="0"/>
      <w:marTop w:val="0"/>
      <w:marBottom w:val="0"/>
      <w:divBdr>
        <w:top w:val="none" w:sz="0" w:space="0" w:color="auto"/>
        <w:left w:val="none" w:sz="0" w:space="0" w:color="auto"/>
        <w:bottom w:val="none" w:sz="0" w:space="0" w:color="auto"/>
        <w:right w:val="none" w:sz="0" w:space="0" w:color="auto"/>
      </w:divBdr>
    </w:div>
    <w:div w:id="2004310059">
      <w:bodyDiv w:val="1"/>
      <w:marLeft w:val="0"/>
      <w:marRight w:val="0"/>
      <w:marTop w:val="0"/>
      <w:marBottom w:val="0"/>
      <w:divBdr>
        <w:top w:val="none" w:sz="0" w:space="0" w:color="auto"/>
        <w:left w:val="none" w:sz="0" w:space="0" w:color="auto"/>
        <w:bottom w:val="none" w:sz="0" w:space="0" w:color="auto"/>
        <w:right w:val="none" w:sz="0" w:space="0" w:color="auto"/>
      </w:divBdr>
    </w:div>
    <w:div w:id="2004552080">
      <w:bodyDiv w:val="1"/>
      <w:marLeft w:val="0"/>
      <w:marRight w:val="0"/>
      <w:marTop w:val="0"/>
      <w:marBottom w:val="0"/>
      <w:divBdr>
        <w:top w:val="none" w:sz="0" w:space="0" w:color="auto"/>
        <w:left w:val="none" w:sz="0" w:space="0" w:color="auto"/>
        <w:bottom w:val="none" w:sz="0" w:space="0" w:color="auto"/>
        <w:right w:val="none" w:sz="0" w:space="0" w:color="auto"/>
      </w:divBdr>
    </w:div>
    <w:div w:id="2008941491">
      <w:bodyDiv w:val="1"/>
      <w:marLeft w:val="0"/>
      <w:marRight w:val="0"/>
      <w:marTop w:val="0"/>
      <w:marBottom w:val="0"/>
      <w:divBdr>
        <w:top w:val="none" w:sz="0" w:space="0" w:color="auto"/>
        <w:left w:val="none" w:sz="0" w:space="0" w:color="auto"/>
        <w:bottom w:val="none" w:sz="0" w:space="0" w:color="auto"/>
        <w:right w:val="none" w:sz="0" w:space="0" w:color="auto"/>
      </w:divBdr>
    </w:div>
    <w:div w:id="2014186246">
      <w:bodyDiv w:val="1"/>
      <w:marLeft w:val="0"/>
      <w:marRight w:val="0"/>
      <w:marTop w:val="0"/>
      <w:marBottom w:val="0"/>
      <w:divBdr>
        <w:top w:val="none" w:sz="0" w:space="0" w:color="auto"/>
        <w:left w:val="none" w:sz="0" w:space="0" w:color="auto"/>
        <w:bottom w:val="none" w:sz="0" w:space="0" w:color="auto"/>
        <w:right w:val="none" w:sz="0" w:space="0" w:color="auto"/>
      </w:divBdr>
    </w:div>
    <w:div w:id="2016685277">
      <w:bodyDiv w:val="1"/>
      <w:marLeft w:val="0"/>
      <w:marRight w:val="0"/>
      <w:marTop w:val="0"/>
      <w:marBottom w:val="0"/>
      <w:divBdr>
        <w:top w:val="none" w:sz="0" w:space="0" w:color="auto"/>
        <w:left w:val="none" w:sz="0" w:space="0" w:color="auto"/>
        <w:bottom w:val="none" w:sz="0" w:space="0" w:color="auto"/>
        <w:right w:val="none" w:sz="0" w:space="0" w:color="auto"/>
      </w:divBdr>
    </w:div>
    <w:div w:id="2021005726">
      <w:bodyDiv w:val="1"/>
      <w:marLeft w:val="0"/>
      <w:marRight w:val="0"/>
      <w:marTop w:val="0"/>
      <w:marBottom w:val="0"/>
      <w:divBdr>
        <w:top w:val="none" w:sz="0" w:space="0" w:color="auto"/>
        <w:left w:val="none" w:sz="0" w:space="0" w:color="auto"/>
        <w:bottom w:val="none" w:sz="0" w:space="0" w:color="auto"/>
        <w:right w:val="none" w:sz="0" w:space="0" w:color="auto"/>
      </w:divBdr>
    </w:div>
    <w:div w:id="2023822386">
      <w:bodyDiv w:val="1"/>
      <w:marLeft w:val="0"/>
      <w:marRight w:val="0"/>
      <w:marTop w:val="0"/>
      <w:marBottom w:val="0"/>
      <w:divBdr>
        <w:top w:val="none" w:sz="0" w:space="0" w:color="auto"/>
        <w:left w:val="none" w:sz="0" w:space="0" w:color="auto"/>
        <w:bottom w:val="none" w:sz="0" w:space="0" w:color="auto"/>
        <w:right w:val="none" w:sz="0" w:space="0" w:color="auto"/>
      </w:divBdr>
    </w:div>
    <w:div w:id="2027292937">
      <w:bodyDiv w:val="1"/>
      <w:marLeft w:val="0"/>
      <w:marRight w:val="0"/>
      <w:marTop w:val="0"/>
      <w:marBottom w:val="0"/>
      <w:divBdr>
        <w:top w:val="none" w:sz="0" w:space="0" w:color="auto"/>
        <w:left w:val="none" w:sz="0" w:space="0" w:color="auto"/>
        <w:bottom w:val="none" w:sz="0" w:space="0" w:color="auto"/>
        <w:right w:val="none" w:sz="0" w:space="0" w:color="auto"/>
      </w:divBdr>
    </w:div>
    <w:div w:id="2043431003">
      <w:bodyDiv w:val="1"/>
      <w:marLeft w:val="0"/>
      <w:marRight w:val="0"/>
      <w:marTop w:val="0"/>
      <w:marBottom w:val="0"/>
      <w:divBdr>
        <w:top w:val="none" w:sz="0" w:space="0" w:color="auto"/>
        <w:left w:val="none" w:sz="0" w:space="0" w:color="auto"/>
        <w:bottom w:val="none" w:sz="0" w:space="0" w:color="auto"/>
        <w:right w:val="none" w:sz="0" w:space="0" w:color="auto"/>
      </w:divBdr>
    </w:div>
    <w:div w:id="2047366054">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 w:id="2054620925">
      <w:bodyDiv w:val="1"/>
      <w:marLeft w:val="0"/>
      <w:marRight w:val="0"/>
      <w:marTop w:val="0"/>
      <w:marBottom w:val="0"/>
      <w:divBdr>
        <w:top w:val="none" w:sz="0" w:space="0" w:color="auto"/>
        <w:left w:val="none" w:sz="0" w:space="0" w:color="auto"/>
        <w:bottom w:val="none" w:sz="0" w:space="0" w:color="auto"/>
        <w:right w:val="none" w:sz="0" w:space="0" w:color="auto"/>
      </w:divBdr>
    </w:div>
    <w:div w:id="2055960464">
      <w:bodyDiv w:val="1"/>
      <w:marLeft w:val="0"/>
      <w:marRight w:val="0"/>
      <w:marTop w:val="0"/>
      <w:marBottom w:val="0"/>
      <w:divBdr>
        <w:top w:val="none" w:sz="0" w:space="0" w:color="auto"/>
        <w:left w:val="none" w:sz="0" w:space="0" w:color="auto"/>
        <w:bottom w:val="none" w:sz="0" w:space="0" w:color="auto"/>
        <w:right w:val="none" w:sz="0" w:space="0" w:color="auto"/>
      </w:divBdr>
    </w:div>
    <w:div w:id="2057704576">
      <w:bodyDiv w:val="1"/>
      <w:marLeft w:val="0"/>
      <w:marRight w:val="0"/>
      <w:marTop w:val="0"/>
      <w:marBottom w:val="0"/>
      <w:divBdr>
        <w:top w:val="none" w:sz="0" w:space="0" w:color="auto"/>
        <w:left w:val="none" w:sz="0" w:space="0" w:color="auto"/>
        <w:bottom w:val="none" w:sz="0" w:space="0" w:color="auto"/>
        <w:right w:val="none" w:sz="0" w:space="0" w:color="auto"/>
      </w:divBdr>
    </w:div>
    <w:div w:id="2060663367">
      <w:bodyDiv w:val="1"/>
      <w:marLeft w:val="0"/>
      <w:marRight w:val="0"/>
      <w:marTop w:val="0"/>
      <w:marBottom w:val="0"/>
      <w:divBdr>
        <w:top w:val="none" w:sz="0" w:space="0" w:color="auto"/>
        <w:left w:val="none" w:sz="0" w:space="0" w:color="auto"/>
        <w:bottom w:val="none" w:sz="0" w:space="0" w:color="auto"/>
        <w:right w:val="none" w:sz="0" w:space="0" w:color="auto"/>
      </w:divBdr>
    </w:div>
    <w:div w:id="2063212247">
      <w:bodyDiv w:val="1"/>
      <w:marLeft w:val="0"/>
      <w:marRight w:val="0"/>
      <w:marTop w:val="0"/>
      <w:marBottom w:val="0"/>
      <w:divBdr>
        <w:top w:val="none" w:sz="0" w:space="0" w:color="auto"/>
        <w:left w:val="none" w:sz="0" w:space="0" w:color="auto"/>
        <w:bottom w:val="none" w:sz="0" w:space="0" w:color="auto"/>
        <w:right w:val="none" w:sz="0" w:space="0" w:color="auto"/>
      </w:divBdr>
    </w:div>
    <w:div w:id="2063866058">
      <w:bodyDiv w:val="1"/>
      <w:marLeft w:val="0"/>
      <w:marRight w:val="0"/>
      <w:marTop w:val="0"/>
      <w:marBottom w:val="0"/>
      <w:divBdr>
        <w:top w:val="none" w:sz="0" w:space="0" w:color="auto"/>
        <w:left w:val="none" w:sz="0" w:space="0" w:color="auto"/>
        <w:bottom w:val="none" w:sz="0" w:space="0" w:color="auto"/>
        <w:right w:val="none" w:sz="0" w:space="0" w:color="auto"/>
      </w:divBdr>
    </w:div>
    <w:div w:id="2070498034">
      <w:bodyDiv w:val="1"/>
      <w:marLeft w:val="0"/>
      <w:marRight w:val="0"/>
      <w:marTop w:val="0"/>
      <w:marBottom w:val="0"/>
      <w:divBdr>
        <w:top w:val="none" w:sz="0" w:space="0" w:color="auto"/>
        <w:left w:val="none" w:sz="0" w:space="0" w:color="auto"/>
        <w:bottom w:val="none" w:sz="0" w:space="0" w:color="auto"/>
        <w:right w:val="none" w:sz="0" w:space="0" w:color="auto"/>
      </w:divBdr>
    </w:div>
    <w:div w:id="2084136804">
      <w:bodyDiv w:val="1"/>
      <w:marLeft w:val="0"/>
      <w:marRight w:val="0"/>
      <w:marTop w:val="0"/>
      <w:marBottom w:val="0"/>
      <w:divBdr>
        <w:top w:val="none" w:sz="0" w:space="0" w:color="auto"/>
        <w:left w:val="none" w:sz="0" w:space="0" w:color="auto"/>
        <w:bottom w:val="none" w:sz="0" w:space="0" w:color="auto"/>
        <w:right w:val="none" w:sz="0" w:space="0" w:color="auto"/>
      </w:divBdr>
    </w:div>
    <w:div w:id="2087915600">
      <w:bodyDiv w:val="1"/>
      <w:marLeft w:val="0"/>
      <w:marRight w:val="0"/>
      <w:marTop w:val="0"/>
      <w:marBottom w:val="0"/>
      <w:divBdr>
        <w:top w:val="none" w:sz="0" w:space="0" w:color="auto"/>
        <w:left w:val="none" w:sz="0" w:space="0" w:color="auto"/>
        <w:bottom w:val="none" w:sz="0" w:space="0" w:color="auto"/>
        <w:right w:val="none" w:sz="0" w:space="0" w:color="auto"/>
      </w:divBdr>
    </w:div>
    <w:div w:id="2095390635">
      <w:bodyDiv w:val="1"/>
      <w:marLeft w:val="0"/>
      <w:marRight w:val="0"/>
      <w:marTop w:val="0"/>
      <w:marBottom w:val="0"/>
      <w:divBdr>
        <w:top w:val="none" w:sz="0" w:space="0" w:color="auto"/>
        <w:left w:val="none" w:sz="0" w:space="0" w:color="auto"/>
        <w:bottom w:val="none" w:sz="0" w:space="0" w:color="auto"/>
        <w:right w:val="none" w:sz="0" w:space="0" w:color="auto"/>
      </w:divBdr>
    </w:div>
    <w:div w:id="2095587613">
      <w:bodyDiv w:val="1"/>
      <w:marLeft w:val="0"/>
      <w:marRight w:val="0"/>
      <w:marTop w:val="0"/>
      <w:marBottom w:val="0"/>
      <w:divBdr>
        <w:top w:val="none" w:sz="0" w:space="0" w:color="auto"/>
        <w:left w:val="none" w:sz="0" w:space="0" w:color="auto"/>
        <w:bottom w:val="none" w:sz="0" w:space="0" w:color="auto"/>
        <w:right w:val="none" w:sz="0" w:space="0" w:color="auto"/>
      </w:divBdr>
    </w:div>
    <w:div w:id="2105300905">
      <w:bodyDiv w:val="1"/>
      <w:marLeft w:val="0"/>
      <w:marRight w:val="0"/>
      <w:marTop w:val="0"/>
      <w:marBottom w:val="0"/>
      <w:divBdr>
        <w:top w:val="none" w:sz="0" w:space="0" w:color="auto"/>
        <w:left w:val="none" w:sz="0" w:space="0" w:color="auto"/>
        <w:bottom w:val="none" w:sz="0" w:space="0" w:color="auto"/>
        <w:right w:val="none" w:sz="0" w:space="0" w:color="auto"/>
      </w:divBdr>
    </w:div>
    <w:div w:id="2108771316">
      <w:bodyDiv w:val="1"/>
      <w:marLeft w:val="0"/>
      <w:marRight w:val="0"/>
      <w:marTop w:val="0"/>
      <w:marBottom w:val="0"/>
      <w:divBdr>
        <w:top w:val="none" w:sz="0" w:space="0" w:color="auto"/>
        <w:left w:val="none" w:sz="0" w:space="0" w:color="auto"/>
        <w:bottom w:val="none" w:sz="0" w:space="0" w:color="auto"/>
        <w:right w:val="none" w:sz="0" w:space="0" w:color="auto"/>
      </w:divBdr>
    </w:div>
    <w:div w:id="2109352293">
      <w:bodyDiv w:val="1"/>
      <w:marLeft w:val="0"/>
      <w:marRight w:val="0"/>
      <w:marTop w:val="0"/>
      <w:marBottom w:val="0"/>
      <w:divBdr>
        <w:top w:val="none" w:sz="0" w:space="0" w:color="auto"/>
        <w:left w:val="none" w:sz="0" w:space="0" w:color="auto"/>
        <w:bottom w:val="none" w:sz="0" w:space="0" w:color="auto"/>
        <w:right w:val="none" w:sz="0" w:space="0" w:color="auto"/>
      </w:divBdr>
    </w:div>
    <w:div w:id="2110197956">
      <w:bodyDiv w:val="1"/>
      <w:marLeft w:val="0"/>
      <w:marRight w:val="0"/>
      <w:marTop w:val="0"/>
      <w:marBottom w:val="0"/>
      <w:divBdr>
        <w:top w:val="none" w:sz="0" w:space="0" w:color="auto"/>
        <w:left w:val="none" w:sz="0" w:space="0" w:color="auto"/>
        <w:bottom w:val="none" w:sz="0" w:space="0" w:color="auto"/>
        <w:right w:val="none" w:sz="0" w:space="0" w:color="auto"/>
      </w:divBdr>
    </w:div>
    <w:div w:id="2111702908">
      <w:bodyDiv w:val="1"/>
      <w:marLeft w:val="0"/>
      <w:marRight w:val="0"/>
      <w:marTop w:val="0"/>
      <w:marBottom w:val="0"/>
      <w:divBdr>
        <w:top w:val="none" w:sz="0" w:space="0" w:color="auto"/>
        <w:left w:val="none" w:sz="0" w:space="0" w:color="auto"/>
        <w:bottom w:val="none" w:sz="0" w:space="0" w:color="auto"/>
        <w:right w:val="none" w:sz="0" w:space="0" w:color="auto"/>
      </w:divBdr>
    </w:div>
    <w:div w:id="2115439422">
      <w:bodyDiv w:val="1"/>
      <w:marLeft w:val="0"/>
      <w:marRight w:val="0"/>
      <w:marTop w:val="0"/>
      <w:marBottom w:val="0"/>
      <w:divBdr>
        <w:top w:val="none" w:sz="0" w:space="0" w:color="auto"/>
        <w:left w:val="none" w:sz="0" w:space="0" w:color="auto"/>
        <w:bottom w:val="none" w:sz="0" w:space="0" w:color="auto"/>
        <w:right w:val="none" w:sz="0" w:space="0" w:color="auto"/>
      </w:divBdr>
    </w:div>
    <w:div w:id="2118256234">
      <w:bodyDiv w:val="1"/>
      <w:marLeft w:val="0"/>
      <w:marRight w:val="0"/>
      <w:marTop w:val="0"/>
      <w:marBottom w:val="0"/>
      <w:divBdr>
        <w:top w:val="none" w:sz="0" w:space="0" w:color="auto"/>
        <w:left w:val="none" w:sz="0" w:space="0" w:color="auto"/>
        <w:bottom w:val="none" w:sz="0" w:space="0" w:color="auto"/>
        <w:right w:val="none" w:sz="0" w:space="0" w:color="auto"/>
      </w:divBdr>
    </w:div>
    <w:div w:id="2119641111">
      <w:bodyDiv w:val="1"/>
      <w:marLeft w:val="0"/>
      <w:marRight w:val="0"/>
      <w:marTop w:val="0"/>
      <w:marBottom w:val="0"/>
      <w:divBdr>
        <w:top w:val="none" w:sz="0" w:space="0" w:color="auto"/>
        <w:left w:val="none" w:sz="0" w:space="0" w:color="auto"/>
        <w:bottom w:val="none" w:sz="0" w:space="0" w:color="auto"/>
        <w:right w:val="none" w:sz="0" w:space="0" w:color="auto"/>
      </w:divBdr>
    </w:div>
    <w:div w:id="2119829879">
      <w:bodyDiv w:val="1"/>
      <w:marLeft w:val="0"/>
      <w:marRight w:val="0"/>
      <w:marTop w:val="0"/>
      <w:marBottom w:val="0"/>
      <w:divBdr>
        <w:top w:val="none" w:sz="0" w:space="0" w:color="auto"/>
        <w:left w:val="none" w:sz="0" w:space="0" w:color="auto"/>
        <w:bottom w:val="none" w:sz="0" w:space="0" w:color="auto"/>
        <w:right w:val="none" w:sz="0" w:space="0" w:color="auto"/>
      </w:divBdr>
    </w:div>
    <w:div w:id="2124378675">
      <w:bodyDiv w:val="1"/>
      <w:marLeft w:val="0"/>
      <w:marRight w:val="0"/>
      <w:marTop w:val="0"/>
      <w:marBottom w:val="0"/>
      <w:divBdr>
        <w:top w:val="none" w:sz="0" w:space="0" w:color="auto"/>
        <w:left w:val="none" w:sz="0" w:space="0" w:color="auto"/>
        <w:bottom w:val="none" w:sz="0" w:space="0" w:color="auto"/>
        <w:right w:val="none" w:sz="0" w:space="0" w:color="auto"/>
      </w:divBdr>
    </w:div>
    <w:div w:id="2127503514">
      <w:bodyDiv w:val="1"/>
      <w:marLeft w:val="0"/>
      <w:marRight w:val="0"/>
      <w:marTop w:val="0"/>
      <w:marBottom w:val="0"/>
      <w:divBdr>
        <w:top w:val="none" w:sz="0" w:space="0" w:color="auto"/>
        <w:left w:val="none" w:sz="0" w:space="0" w:color="auto"/>
        <w:bottom w:val="none" w:sz="0" w:space="0" w:color="auto"/>
        <w:right w:val="none" w:sz="0" w:space="0" w:color="auto"/>
      </w:divBdr>
    </w:div>
    <w:div w:id="2128111203">
      <w:bodyDiv w:val="1"/>
      <w:marLeft w:val="0"/>
      <w:marRight w:val="0"/>
      <w:marTop w:val="0"/>
      <w:marBottom w:val="0"/>
      <w:divBdr>
        <w:top w:val="none" w:sz="0" w:space="0" w:color="auto"/>
        <w:left w:val="none" w:sz="0" w:space="0" w:color="auto"/>
        <w:bottom w:val="none" w:sz="0" w:space="0" w:color="auto"/>
        <w:right w:val="none" w:sz="0" w:space="0" w:color="auto"/>
      </w:divBdr>
    </w:div>
    <w:div w:id="2128114645">
      <w:bodyDiv w:val="1"/>
      <w:marLeft w:val="0"/>
      <w:marRight w:val="0"/>
      <w:marTop w:val="0"/>
      <w:marBottom w:val="0"/>
      <w:divBdr>
        <w:top w:val="none" w:sz="0" w:space="0" w:color="auto"/>
        <w:left w:val="none" w:sz="0" w:space="0" w:color="auto"/>
        <w:bottom w:val="none" w:sz="0" w:space="0" w:color="auto"/>
        <w:right w:val="none" w:sz="0" w:space="0" w:color="auto"/>
      </w:divBdr>
    </w:div>
    <w:div w:id="2129084642">
      <w:bodyDiv w:val="1"/>
      <w:marLeft w:val="0"/>
      <w:marRight w:val="0"/>
      <w:marTop w:val="0"/>
      <w:marBottom w:val="0"/>
      <w:divBdr>
        <w:top w:val="none" w:sz="0" w:space="0" w:color="auto"/>
        <w:left w:val="none" w:sz="0" w:space="0" w:color="auto"/>
        <w:bottom w:val="none" w:sz="0" w:space="0" w:color="auto"/>
        <w:right w:val="none" w:sz="0" w:space="0" w:color="auto"/>
      </w:divBdr>
    </w:div>
    <w:div w:id="2129154129">
      <w:bodyDiv w:val="1"/>
      <w:marLeft w:val="0"/>
      <w:marRight w:val="0"/>
      <w:marTop w:val="0"/>
      <w:marBottom w:val="0"/>
      <w:divBdr>
        <w:top w:val="none" w:sz="0" w:space="0" w:color="auto"/>
        <w:left w:val="none" w:sz="0" w:space="0" w:color="auto"/>
        <w:bottom w:val="none" w:sz="0" w:space="0" w:color="auto"/>
        <w:right w:val="none" w:sz="0" w:space="0" w:color="auto"/>
      </w:divBdr>
    </w:div>
    <w:div w:id="2129739832">
      <w:bodyDiv w:val="1"/>
      <w:marLeft w:val="0"/>
      <w:marRight w:val="0"/>
      <w:marTop w:val="0"/>
      <w:marBottom w:val="0"/>
      <w:divBdr>
        <w:top w:val="none" w:sz="0" w:space="0" w:color="auto"/>
        <w:left w:val="none" w:sz="0" w:space="0" w:color="auto"/>
        <w:bottom w:val="none" w:sz="0" w:space="0" w:color="auto"/>
        <w:right w:val="none" w:sz="0" w:space="0" w:color="auto"/>
      </w:divBdr>
    </w:div>
    <w:div w:id="2131045097">
      <w:bodyDiv w:val="1"/>
      <w:marLeft w:val="0"/>
      <w:marRight w:val="0"/>
      <w:marTop w:val="0"/>
      <w:marBottom w:val="0"/>
      <w:divBdr>
        <w:top w:val="none" w:sz="0" w:space="0" w:color="auto"/>
        <w:left w:val="none" w:sz="0" w:space="0" w:color="auto"/>
        <w:bottom w:val="none" w:sz="0" w:space="0" w:color="auto"/>
        <w:right w:val="none" w:sz="0" w:space="0" w:color="auto"/>
      </w:divBdr>
    </w:div>
    <w:div w:id="2141993555">
      <w:bodyDiv w:val="1"/>
      <w:marLeft w:val="0"/>
      <w:marRight w:val="0"/>
      <w:marTop w:val="0"/>
      <w:marBottom w:val="0"/>
      <w:divBdr>
        <w:top w:val="none" w:sz="0" w:space="0" w:color="auto"/>
        <w:left w:val="none" w:sz="0" w:space="0" w:color="auto"/>
        <w:bottom w:val="none" w:sz="0" w:space="0" w:color="auto"/>
        <w:right w:val="none" w:sz="0" w:space="0" w:color="auto"/>
      </w:divBdr>
    </w:div>
    <w:div w:id="2143182808">
      <w:bodyDiv w:val="1"/>
      <w:marLeft w:val="0"/>
      <w:marRight w:val="0"/>
      <w:marTop w:val="0"/>
      <w:marBottom w:val="0"/>
      <w:divBdr>
        <w:top w:val="none" w:sz="0" w:space="0" w:color="auto"/>
        <w:left w:val="none" w:sz="0" w:space="0" w:color="auto"/>
        <w:bottom w:val="none" w:sz="0" w:space="0" w:color="auto"/>
        <w:right w:val="none" w:sz="0" w:space="0" w:color="auto"/>
      </w:divBdr>
    </w:div>
    <w:div w:id="2143770727">
      <w:bodyDiv w:val="1"/>
      <w:marLeft w:val="0"/>
      <w:marRight w:val="0"/>
      <w:marTop w:val="0"/>
      <w:marBottom w:val="0"/>
      <w:divBdr>
        <w:top w:val="none" w:sz="0" w:space="0" w:color="auto"/>
        <w:left w:val="none" w:sz="0" w:space="0" w:color="auto"/>
        <w:bottom w:val="none" w:sz="0" w:space="0" w:color="auto"/>
        <w:right w:val="none" w:sz="0" w:space="0" w:color="auto"/>
      </w:divBdr>
    </w:div>
    <w:div w:id="214735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2.xml"/><Relationship Id="rId84" Type="http://schemas.openxmlformats.org/officeDocument/2006/relationships/hyperlink" Target="https://es.slideshare" TargetMode="External"/><Relationship Id="rId89" Type="http://schemas.openxmlformats.org/officeDocument/2006/relationships/hyperlink" Target="https://www.google.com/url?sa=t&amp;rct" TargetMode="Externa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s.wikipedia.org/wiki/Hip%C3%B3tesis_nula" TargetMode="External"/><Relationship Id="rId29" Type="http://schemas.openxmlformats.org/officeDocument/2006/relationships/chart" Target="charts/chart14.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0.xml"/><Relationship Id="rId74" Type="http://schemas.openxmlformats.org/officeDocument/2006/relationships/hyperlink" Target="http://www.cia.ucr.ac.cr/pdf/Nota%20t%C3%A9cnica%201-2014_Acidez" TargetMode="External"/><Relationship Id="rId79" Type="http://schemas.openxmlformats.org/officeDocument/2006/relationships/hyperlink" Target="file:///C:/Users/Alexandra/" TargetMode="External"/><Relationship Id="rId87" Type="http://schemas.openxmlformats.org/officeDocument/2006/relationships/hyperlink" Target="http://www.fertilizando" TargetMode="External"/><Relationship Id="rId102" Type="http://schemas.openxmlformats.org/officeDocument/2006/relationships/image" Target="media/image14.emf"/><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hyperlink" Target="https://miriego-blog.com/" TargetMode="External"/><Relationship Id="rId90" Type="http://schemas.openxmlformats.org/officeDocument/2006/relationships/hyperlink" Target="https://repositorio" TargetMode="External"/><Relationship Id="rId95" Type="http://schemas.openxmlformats.org/officeDocument/2006/relationships/image" Target="media/image9.png"/><Relationship Id="rId19" Type="http://schemas.openxmlformats.org/officeDocument/2006/relationships/chart" Target="charts/chart4.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3.xml"/><Relationship Id="rId77" Type="http://schemas.openxmlformats.org/officeDocument/2006/relationships/hyperlink" Target="https://repositorio.iniap.gob.ec/bitstream/%2041000/853/" TargetMode="External"/><Relationship Id="rId100" Type="http://schemas.openxmlformats.org/officeDocument/2006/relationships/image" Target="media/image12.emf"/><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hyperlink" Target="https://www.anticimex.com/esES/" TargetMode="External"/><Relationship Id="rId80" Type="http://schemas.openxmlformats.org/officeDocument/2006/relationships/hyperlink" Target="http://www.comercio" TargetMode="External"/><Relationship Id="rId85" Type="http://schemas.openxmlformats.org/officeDocument/2006/relationships/hyperlink" Target="https://es.scribd.com/" TargetMode="External"/><Relationship Id="rId93" Type="http://schemas.openxmlformats.org/officeDocument/2006/relationships/image" Target="media/image7.png"/><Relationship Id="rId98" Type="http://schemas.openxmlformats.org/officeDocument/2006/relationships/image" Target="media/image10.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1.xml"/><Relationship Id="rId103" Type="http://schemas.openxmlformats.org/officeDocument/2006/relationships/footer" Target="footer4.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4.xml"/><Relationship Id="rId75" Type="http://schemas.openxmlformats.org/officeDocument/2006/relationships/hyperlink" Target="https://www.engormix.com/" TargetMode="External"/><Relationship Id="rId83" Type="http://schemas.openxmlformats.org/officeDocument/2006/relationships/hyperlink" Target="https://www.monografias.com/trabajos82/nitrogeno-fertilizantes%20nitrogenados" TargetMode="External"/><Relationship Id="rId88" Type="http://schemas.openxmlformats.org/officeDocument/2006/relationships/hyperlink" Target="https://www.slideshare" TargetMode="External"/><Relationship Id="rId91" Type="http://schemas.openxmlformats.org/officeDocument/2006/relationships/hyperlink" Target="https://www.google.com/url?sa"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Errores_de_tipo_I_y_de_tipo_II"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image" Target="media/image3.jpe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image" Target="media/image5.png"/><Relationship Id="rId73" Type="http://schemas.openxmlformats.org/officeDocument/2006/relationships/hyperlink" Target="https://contenido.bce.fin.ec/documentos/PublicacionesNotas/" TargetMode="External"/><Relationship Id="rId78" Type="http://schemas.openxmlformats.org/officeDocument/2006/relationships/hyperlink" Target="http://nla.ipni.net/ipniweb/%20region%20/" TargetMode="External"/><Relationship Id="rId81" Type="http://schemas.openxmlformats.org/officeDocument/2006/relationships/hyperlink" Target="http://www.iib.unsam.edu" TargetMode="External"/><Relationship Id="rId86" Type="http://schemas.openxmlformats.org/officeDocument/2006/relationships/hyperlink" Target="http://www.webyempresas" TargetMode="External"/><Relationship Id="rId94" Type="http://schemas.openxmlformats.org/officeDocument/2006/relationships/image" Target="media/image8.png"/><Relationship Id="rId99" Type="http://schemas.openxmlformats.org/officeDocument/2006/relationships/image" Target="media/image11.emf"/><Relationship Id="rId10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hart" Target="charts/chart3.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hyperlink" Target="http://www.infoagro.com/" TargetMode="External"/><Relationship Id="rId97" Type="http://schemas.openxmlformats.org/officeDocument/2006/relationships/footer" Target="footer3.xm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DISCO%20C\Downloads\Copia%20de%20Resultados%20tesis%20Jesenia%20prueba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DISCO%20C\Downloads\Copia%20de%20Resultados%20tesis%20Jesenia%20prueba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pc\Desktop\TESIS%20CORRECTA\analisis%20de%20imbabur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DISCO%20C\Downloads\Copia%20de%20Resultados%20tesis%20Jesenia%20prueba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DISCO%20C\Downloads\Copia%20de%20Resultados%20tesis%20Jesenia%20prueba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DISCO%20C\Downloads\Copia%20de%20Resultados%20tesis%20Jesenia%20prueba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DISCO%20C\Downloads\Copia%20de%20Resultados%20tesis%20Jesenia%20prueba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DISCO%20C\Downloads\Copia%20de%20Resultados%20tesis%20Jesenia%20prueba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pc\Desktop\TESIS%20CORRECTA\analisis%20de%20chimborazo.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pc\Desktop\TESIS%20CORRECTA\analisis%20de%20%20consolidad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SERVIDOR\Downloads\ejemplo%20de%20grafficos%20(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SERVIDOR\Downloads\ejemplo%20de%20grafficos%20(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SERVIDOR\Downloads\ejemplo%20de%20grafficos%20(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SERVIDOR\Downloads\ejemplo%20de%20grafficos%20(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SERVIDOR\Downloads\ejemplo%20de%20grafficos%20(1).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D:\DISCO%20C\Downloads\ejemplo%20de%20grafficos%20(4).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Desktop\TESIS%20CORRECTA\ANALISIS%20DE%20LA%20PROVINCIA%20BOLIV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C"/>
              <a:t>Distribución</a:t>
            </a:r>
            <a:r>
              <a:rPr lang="es-EC" baseline="0"/>
              <a:t> del ensayo en provincias</a:t>
            </a:r>
            <a:endParaRPr lang="es-EC"/>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376-4608-AB3E-9A1E824F11F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376-4608-AB3E-9A1E824F11F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376-4608-AB3E-9A1E824F11F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C"/>
                </a:p>
              </c:txPr>
              <c:dLblPos val="outEnd"/>
              <c:showLegendKey val="0"/>
              <c:showVal val="0"/>
              <c:showCatName val="1"/>
              <c:showSerName val="0"/>
              <c:showPercent val="1"/>
              <c:showBubbleSize val="0"/>
              <c:extLst>
                <c:ext xmlns:c16="http://schemas.microsoft.com/office/drawing/2014/chart" uri="{C3380CC4-5D6E-409C-BE32-E72D297353CC}">
                  <c16:uniqueId val="{00000001-6376-4608-AB3E-9A1E824F11F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C"/>
                </a:p>
              </c:txPr>
              <c:dLblPos val="outEnd"/>
              <c:showLegendKey val="0"/>
              <c:showVal val="0"/>
              <c:showCatName val="1"/>
              <c:showSerName val="0"/>
              <c:showPercent val="1"/>
              <c:showBubbleSize val="0"/>
              <c:extLst>
                <c:ext xmlns:c16="http://schemas.microsoft.com/office/drawing/2014/chart" uri="{C3380CC4-5D6E-409C-BE32-E72D297353CC}">
                  <c16:uniqueId val="{00000003-6376-4608-AB3E-9A1E824F11F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C"/>
                </a:p>
              </c:txPr>
              <c:dLblPos val="outEnd"/>
              <c:showLegendKey val="0"/>
              <c:showVal val="0"/>
              <c:showCatName val="1"/>
              <c:showSerName val="0"/>
              <c:showPercent val="1"/>
              <c:showBubbleSize val="0"/>
              <c:extLst>
                <c:ext xmlns:c16="http://schemas.microsoft.com/office/drawing/2014/chart" uri="{C3380CC4-5D6E-409C-BE32-E72D297353CC}">
                  <c16:uniqueId val="{00000005-6376-4608-AB3E-9A1E824F11F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Hoja1!$A$1:$A$3</c:f>
              <c:strCache>
                <c:ptCount val="3"/>
                <c:pt idx="0">
                  <c:v>Chimborazo</c:v>
                </c:pt>
                <c:pt idx="1">
                  <c:v>Bolívar</c:v>
                </c:pt>
                <c:pt idx="2">
                  <c:v>Imbabura</c:v>
                </c:pt>
              </c:strCache>
            </c:strRef>
          </c:cat>
          <c:val>
            <c:numRef>
              <c:f>Hoja1!$B$1:$B$3</c:f>
              <c:numCache>
                <c:formatCode>General</c:formatCode>
                <c:ptCount val="3"/>
                <c:pt idx="0">
                  <c:v>34.03</c:v>
                </c:pt>
                <c:pt idx="1">
                  <c:v>37.340000000000003</c:v>
                </c:pt>
                <c:pt idx="2">
                  <c:v>28.63</c:v>
                </c:pt>
              </c:numCache>
            </c:numRef>
          </c:val>
          <c:extLst>
            <c:ext xmlns:c16="http://schemas.microsoft.com/office/drawing/2014/chart" uri="{C3380CC4-5D6E-409C-BE32-E72D297353CC}">
              <c16:uniqueId val="{00000006-6376-4608-AB3E-9A1E824F11F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245764733953"/>
          <c:y val="0.18634913980426027"/>
          <c:w val="0.84087329992841808"/>
          <c:h val="0.63041597285483142"/>
        </c:manualLayout>
      </c:layout>
      <c:scatterChart>
        <c:scatterStyle val="lineMarker"/>
        <c:varyColors val="0"/>
        <c:ser>
          <c:idx val="0"/>
          <c:order val="0"/>
          <c:tx>
            <c:strRef>
              <c:f>Hoja7!$B$37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9.3871788753678521E-4"/>
                  <c:y val="-0.1071097873088052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errBars>
            <c:errDir val="y"/>
            <c:errBarType val="both"/>
            <c:errValType val="stdErr"/>
            <c:noEndCap val="0"/>
            <c:spPr>
              <a:noFill/>
              <a:ln w="9525">
                <a:solidFill>
                  <a:schemeClr val="tx2">
                    <a:lumMod val="75000"/>
                  </a:schemeClr>
                </a:solidFill>
                <a:round/>
              </a:ln>
              <a:effectLst/>
            </c:spPr>
          </c:errBars>
          <c:xVal>
            <c:numRef>
              <c:f>Hoja7!$A$38:$A$41</c:f>
              <c:numCache>
                <c:formatCode>General</c:formatCode>
                <c:ptCount val="4"/>
                <c:pt idx="0">
                  <c:v>0</c:v>
                </c:pt>
                <c:pt idx="1">
                  <c:v>50</c:v>
                </c:pt>
                <c:pt idx="2">
                  <c:v>120</c:v>
                </c:pt>
                <c:pt idx="3">
                  <c:v>140</c:v>
                </c:pt>
              </c:numCache>
            </c:numRef>
          </c:xVal>
          <c:yVal>
            <c:numRef>
              <c:f>Hoja7!$B$38:$B$41</c:f>
              <c:numCache>
                <c:formatCode>General</c:formatCode>
                <c:ptCount val="4"/>
                <c:pt idx="0">
                  <c:v>11.45</c:v>
                </c:pt>
                <c:pt idx="1">
                  <c:v>20.38</c:v>
                </c:pt>
                <c:pt idx="2">
                  <c:v>17.52</c:v>
                </c:pt>
                <c:pt idx="3">
                  <c:v>21.56</c:v>
                </c:pt>
              </c:numCache>
            </c:numRef>
          </c:yVal>
          <c:smooth val="0"/>
          <c:extLst>
            <c:ext xmlns:c16="http://schemas.microsoft.com/office/drawing/2014/chart" uri="{C3380CC4-5D6E-409C-BE32-E72D297353CC}">
              <c16:uniqueId val="{00000005-073B-45EB-BCF3-7FC14BB2CD45}"/>
            </c:ext>
          </c:extLst>
        </c:ser>
        <c:dLbls>
          <c:showLegendKey val="0"/>
          <c:showVal val="0"/>
          <c:showCatName val="0"/>
          <c:showSerName val="0"/>
          <c:showPercent val="0"/>
          <c:showBubbleSize val="0"/>
        </c:dLbls>
        <c:axId val="154449792"/>
        <c:axId val="154451968"/>
      </c:scatterChart>
      <c:valAx>
        <c:axId val="15444979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451968"/>
        <c:crosses val="autoZero"/>
        <c:crossBetween val="midCat"/>
      </c:valAx>
      <c:valAx>
        <c:axId val="1544519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Adsorcion de Mg Kg/ha-1</a:t>
                </a:r>
                <a:endParaRPr lang="es-EC"/>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449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67345720857742"/>
          <c:y val="0.11077560649048425"/>
          <c:w val="0.78200645449120187"/>
          <c:h val="0.70598956506954846"/>
        </c:manualLayout>
      </c:layout>
      <c:scatterChart>
        <c:scatterStyle val="lineMarker"/>
        <c:varyColors val="0"/>
        <c:ser>
          <c:idx val="0"/>
          <c:order val="0"/>
          <c:tx>
            <c:strRef>
              <c:f>Hoja7!$B$57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2766841644794401E-2"/>
                  <c:y val="-0.1959169389540593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Hoja7!$A$58:$A$62</c:f>
              <c:numCache>
                <c:formatCode>General</c:formatCode>
                <c:ptCount val="5"/>
                <c:pt idx="0">
                  <c:v>0</c:v>
                </c:pt>
                <c:pt idx="1">
                  <c:v>10</c:v>
                </c:pt>
                <c:pt idx="2">
                  <c:v>20</c:v>
                </c:pt>
                <c:pt idx="3">
                  <c:v>30</c:v>
                </c:pt>
                <c:pt idx="4">
                  <c:v>60</c:v>
                </c:pt>
              </c:numCache>
            </c:numRef>
          </c:xVal>
          <c:yVal>
            <c:numRef>
              <c:f>Hoja7!$B$58:$B$62</c:f>
              <c:numCache>
                <c:formatCode>General</c:formatCode>
                <c:ptCount val="5"/>
                <c:pt idx="0">
                  <c:v>15.03</c:v>
                </c:pt>
                <c:pt idx="1">
                  <c:v>41.96</c:v>
                </c:pt>
                <c:pt idx="2">
                  <c:v>21.77</c:v>
                </c:pt>
                <c:pt idx="3">
                  <c:v>14.99</c:v>
                </c:pt>
                <c:pt idx="4">
                  <c:v>14.23</c:v>
                </c:pt>
              </c:numCache>
            </c:numRef>
          </c:yVal>
          <c:smooth val="0"/>
          <c:extLst>
            <c:ext xmlns:c16="http://schemas.microsoft.com/office/drawing/2014/chart" uri="{C3380CC4-5D6E-409C-BE32-E72D297353CC}">
              <c16:uniqueId val="{00000005-CDAF-40F8-B80E-51442465919A}"/>
            </c:ext>
          </c:extLst>
        </c:ser>
        <c:dLbls>
          <c:showLegendKey val="0"/>
          <c:showVal val="0"/>
          <c:showCatName val="0"/>
          <c:showSerName val="0"/>
          <c:showPercent val="0"/>
          <c:showBubbleSize val="0"/>
        </c:dLbls>
        <c:axId val="154517888"/>
        <c:axId val="154519808"/>
      </c:scatterChart>
      <c:valAx>
        <c:axId val="15451788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519808"/>
        <c:crosses val="autoZero"/>
        <c:crossBetween val="midCat"/>
      </c:valAx>
      <c:valAx>
        <c:axId val="1545198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Adsorcion  de  Mg  Kg/ha-1</a:t>
                </a:r>
              </a:p>
            </c:rich>
          </c:tx>
          <c:layout>
            <c:manualLayout>
              <c:xMode val="edge"/>
              <c:yMode val="edge"/>
              <c:x val="2.1207759186351705E-2"/>
              <c:y val="0.1065763052208835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517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RENDIMIENTO!$B$35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3.5906108327368173E-2"/>
                  <c:y val="0.298785151856018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0.20200406213081457"/>
                  <c:y val="-1.999610310719893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RENDIMIENTO!$A$36:$A$43</c:f>
              <c:numCache>
                <c:formatCode>General</c:formatCode>
                <c:ptCount val="8"/>
                <c:pt idx="0">
                  <c:v>0</c:v>
                </c:pt>
                <c:pt idx="1">
                  <c:v>21</c:v>
                </c:pt>
                <c:pt idx="2">
                  <c:v>27</c:v>
                </c:pt>
                <c:pt idx="3">
                  <c:v>50</c:v>
                </c:pt>
                <c:pt idx="4">
                  <c:v>100</c:v>
                </c:pt>
                <c:pt idx="5">
                  <c:v>120</c:v>
                </c:pt>
                <c:pt idx="6">
                  <c:v>150</c:v>
                </c:pt>
                <c:pt idx="7">
                  <c:v>200</c:v>
                </c:pt>
              </c:numCache>
            </c:numRef>
          </c:xVal>
          <c:yVal>
            <c:numRef>
              <c:f>RENDIMIENTO!$B$36:$B$43</c:f>
              <c:numCache>
                <c:formatCode>General</c:formatCode>
                <c:ptCount val="8"/>
                <c:pt idx="0">
                  <c:v>3.71</c:v>
                </c:pt>
                <c:pt idx="1">
                  <c:v>3.05</c:v>
                </c:pt>
                <c:pt idx="2">
                  <c:v>3.66</c:v>
                </c:pt>
                <c:pt idx="3">
                  <c:v>4.4400000000000004</c:v>
                </c:pt>
                <c:pt idx="4">
                  <c:v>5.21</c:v>
                </c:pt>
                <c:pt idx="5">
                  <c:v>5.12</c:v>
                </c:pt>
                <c:pt idx="6">
                  <c:v>5.88</c:v>
                </c:pt>
                <c:pt idx="7">
                  <c:v>5.59</c:v>
                </c:pt>
              </c:numCache>
            </c:numRef>
          </c:yVal>
          <c:smooth val="0"/>
          <c:extLst>
            <c:ext xmlns:c16="http://schemas.microsoft.com/office/drawing/2014/chart" uri="{C3380CC4-5D6E-409C-BE32-E72D297353CC}">
              <c16:uniqueId val="{00000005-036D-43BF-B909-5CC1BAB1918B}"/>
            </c:ext>
          </c:extLst>
        </c:ser>
        <c:dLbls>
          <c:showLegendKey val="0"/>
          <c:showVal val="0"/>
          <c:showCatName val="0"/>
          <c:showSerName val="0"/>
          <c:showPercent val="0"/>
          <c:showBubbleSize val="0"/>
        </c:dLbls>
        <c:axId val="154688128"/>
        <c:axId val="154706688"/>
      </c:scatterChart>
      <c:valAx>
        <c:axId val="15468812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Dosis de Nitrógeno Kg/ha</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706688"/>
        <c:crosses val="autoZero"/>
        <c:crossBetween val="midCat"/>
      </c:valAx>
      <c:valAx>
        <c:axId val="154706688"/>
        <c:scaling>
          <c:orientation val="minMax"/>
          <c:min val="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Rendimiento t/ha</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688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nitrogeno!$B$35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2.746256259317736E-3"/>
                  <c:y val="0.2601304095505095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0.21085594158550086"/>
                  <c:y val="-0.230306684637393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nitrogeno!$A$36:$A$43</c:f>
              <c:numCache>
                <c:formatCode>General</c:formatCode>
                <c:ptCount val="8"/>
                <c:pt idx="0">
                  <c:v>0</c:v>
                </c:pt>
                <c:pt idx="1">
                  <c:v>21</c:v>
                </c:pt>
                <c:pt idx="2">
                  <c:v>27</c:v>
                </c:pt>
                <c:pt idx="3">
                  <c:v>50</c:v>
                </c:pt>
                <c:pt idx="4">
                  <c:v>100</c:v>
                </c:pt>
                <c:pt idx="5">
                  <c:v>120</c:v>
                </c:pt>
                <c:pt idx="6">
                  <c:v>150</c:v>
                </c:pt>
                <c:pt idx="7">
                  <c:v>200</c:v>
                </c:pt>
              </c:numCache>
            </c:numRef>
          </c:xVal>
          <c:yVal>
            <c:numRef>
              <c:f>nitrogeno!$B$36:$B$43</c:f>
              <c:numCache>
                <c:formatCode>General</c:formatCode>
                <c:ptCount val="8"/>
                <c:pt idx="0">
                  <c:v>86.51</c:v>
                </c:pt>
                <c:pt idx="1">
                  <c:v>85.24</c:v>
                </c:pt>
                <c:pt idx="2">
                  <c:v>94.87</c:v>
                </c:pt>
                <c:pt idx="3">
                  <c:v>76.099999999999994</c:v>
                </c:pt>
                <c:pt idx="4">
                  <c:v>102</c:v>
                </c:pt>
                <c:pt idx="5">
                  <c:v>142.52000000000001</c:v>
                </c:pt>
                <c:pt idx="6">
                  <c:v>115.58</c:v>
                </c:pt>
                <c:pt idx="7">
                  <c:v>98.48</c:v>
                </c:pt>
              </c:numCache>
            </c:numRef>
          </c:yVal>
          <c:smooth val="0"/>
          <c:extLst>
            <c:ext xmlns:c16="http://schemas.microsoft.com/office/drawing/2014/chart" uri="{C3380CC4-5D6E-409C-BE32-E72D297353CC}">
              <c16:uniqueId val="{00000005-AA93-463B-A81E-7AAD3283E1AE}"/>
            </c:ext>
          </c:extLst>
        </c:ser>
        <c:dLbls>
          <c:showLegendKey val="0"/>
          <c:showVal val="0"/>
          <c:showCatName val="0"/>
          <c:showSerName val="0"/>
          <c:showPercent val="0"/>
          <c:showBubbleSize val="0"/>
        </c:dLbls>
        <c:axId val="154752128"/>
        <c:axId val="154754048"/>
      </c:scatterChart>
      <c:valAx>
        <c:axId val="15475212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754048"/>
        <c:crosses val="autoZero"/>
        <c:crossBetween val="midCat"/>
      </c:valAx>
      <c:valAx>
        <c:axId val="154754048"/>
        <c:scaling>
          <c:orientation val="minMax"/>
          <c:min val="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Absorción</a:t>
                </a:r>
                <a:r>
                  <a:rPr lang="en-US"/>
                  <a:t> de N Kg/ha-1</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752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4509708798248"/>
          <c:y val="6.4327485380116955E-2"/>
          <c:w val="0.79755395504471893"/>
          <c:h val="0.68313855504903997"/>
        </c:manualLayout>
      </c:layout>
      <c:scatterChart>
        <c:scatterStyle val="lineMarker"/>
        <c:varyColors val="0"/>
        <c:ser>
          <c:idx val="0"/>
          <c:order val="0"/>
          <c:tx>
            <c:strRef>
              <c:f>nitrogeno!$B$49</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3168904958677682"/>
                  <c:y val="0.295119534041114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wer"/>
            <c:dispRSqr val="0"/>
            <c:dispEq val="0"/>
          </c:trendline>
          <c:trendline>
            <c:spPr>
              <a:ln w="9525" cap="rnd">
                <a:solidFill>
                  <a:schemeClr val="accent1"/>
                </a:solidFill>
              </a:ln>
              <a:effectLst/>
            </c:spPr>
            <c:trendlineType val="log"/>
            <c:dispRSqr val="0"/>
            <c:dispEq val="0"/>
          </c:trendline>
          <c:trendline>
            <c:spPr>
              <a:ln w="9525" cap="rnd">
                <a:solidFill>
                  <a:schemeClr val="accent1"/>
                </a:solidFill>
              </a:ln>
              <a:effectLst/>
            </c:spPr>
            <c:trendlineType val="power"/>
            <c:dispRSqr val="0"/>
            <c:dispEq val="0"/>
          </c:trendline>
          <c:errBars>
            <c:errDir val="y"/>
            <c:errBarType val="both"/>
            <c:errValType val="stdErr"/>
            <c:noEndCap val="0"/>
            <c:spPr>
              <a:noFill/>
              <a:ln w="9525">
                <a:solidFill>
                  <a:schemeClr val="tx2">
                    <a:lumMod val="75000"/>
                  </a:schemeClr>
                </a:solidFill>
                <a:round/>
              </a:ln>
              <a:effectLst/>
            </c:spPr>
          </c:errBars>
          <c:xVal>
            <c:numRef>
              <c:f>nitrogeno!$A$50:$A$55</c:f>
              <c:numCache>
                <c:formatCode>General</c:formatCode>
                <c:ptCount val="6"/>
                <c:pt idx="0">
                  <c:v>0</c:v>
                </c:pt>
                <c:pt idx="1">
                  <c:v>15</c:v>
                </c:pt>
                <c:pt idx="2">
                  <c:v>30</c:v>
                </c:pt>
                <c:pt idx="3">
                  <c:v>40</c:v>
                </c:pt>
                <c:pt idx="4">
                  <c:v>50</c:v>
                </c:pt>
                <c:pt idx="5">
                  <c:v>60</c:v>
                </c:pt>
              </c:numCache>
            </c:numRef>
          </c:xVal>
          <c:yVal>
            <c:numRef>
              <c:f>nitrogeno!$B$50:$B$55</c:f>
              <c:numCache>
                <c:formatCode>General</c:formatCode>
                <c:ptCount val="6"/>
                <c:pt idx="0">
                  <c:v>107.84</c:v>
                </c:pt>
                <c:pt idx="1">
                  <c:v>85.24</c:v>
                </c:pt>
                <c:pt idx="2">
                  <c:v>120.32</c:v>
                </c:pt>
                <c:pt idx="3">
                  <c:v>134.22999999999999</c:v>
                </c:pt>
                <c:pt idx="4">
                  <c:v>70.680000000000007</c:v>
                </c:pt>
                <c:pt idx="5">
                  <c:v>114.72</c:v>
                </c:pt>
              </c:numCache>
            </c:numRef>
          </c:yVal>
          <c:smooth val="0"/>
          <c:extLst>
            <c:ext xmlns:c16="http://schemas.microsoft.com/office/drawing/2014/chart" uri="{C3380CC4-5D6E-409C-BE32-E72D297353CC}">
              <c16:uniqueId val="{00000005-D43B-4498-B948-C873092CF323}"/>
            </c:ext>
          </c:extLst>
        </c:ser>
        <c:dLbls>
          <c:showLegendKey val="0"/>
          <c:showVal val="0"/>
          <c:showCatName val="0"/>
          <c:showSerName val="0"/>
          <c:showPercent val="0"/>
          <c:showBubbleSize val="0"/>
        </c:dLbls>
        <c:axId val="154807680"/>
        <c:axId val="154830336"/>
      </c:scatterChart>
      <c:valAx>
        <c:axId val="15480768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Fósforo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830336"/>
        <c:crosses val="autoZero"/>
        <c:crossBetween val="midCat"/>
      </c:valAx>
      <c:valAx>
        <c:axId val="1548303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Absorción</a:t>
                </a:r>
                <a:r>
                  <a:rPr lang="en-US"/>
                  <a:t> de N Kg/ha-1</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807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fosforo!$B$83</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21203789867175693"/>
                  <c:y val="0.1942910707590122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21259619143351755"/>
                  <c:y val="-0.2693020013123359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fosforo!$A$84:$A$87</c:f>
              <c:numCache>
                <c:formatCode>General</c:formatCode>
                <c:ptCount val="4"/>
                <c:pt idx="0">
                  <c:v>0</c:v>
                </c:pt>
                <c:pt idx="1">
                  <c:v>10</c:v>
                </c:pt>
                <c:pt idx="2">
                  <c:v>15</c:v>
                </c:pt>
                <c:pt idx="3">
                  <c:v>20</c:v>
                </c:pt>
              </c:numCache>
            </c:numRef>
          </c:xVal>
          <c:yVal>
            <c:numRef>
              <c:f>fosforo!$B$84:$B$87</c:f>
              <c:numCache>
                <c:formatCode>General</c:formatCode>
                <c:ptCount val="4"/>
                <c:pt idx="0">
                  <c:v>26.24</c:v>
                </c:pt>
                <c:pt idx="1">
                  <c:v>33.869999999999997</c:v>
                </c:pt>
                <c:pt idx="2">
                  <c:v>31.36</c:v>
                </c:pt>
                <c:pt idx="3">
                  <c:v>20.13</c:v>
                </c:pt>
              </c:numCache>
            </c:numRef>
          </c:yVal>
          <c:smooth val="0"/>
          <c:extLst>
            <c:ext xmlns:c16="http://schemas.microsoft.com/office/drawing/2014/chart" uri="{C3380CC4-5D6E-409C-BE32-E72D297353CC}">
              <c16:uniqueId val="{00000005-C763-4CF2-9A11-31652A16C0D3}"/>
            </c:ext>
          </c:extLst>
        </c:ser>
        <c:dLbls>
          <c:showLegendKey val="0"/>
          <c:showVal val="0"/>
          <c:showCatName val="0"/>
          <c:showSerName val="0"/>
          <c:showPercent val="0"/>
          <c:showBubbleSize val="0"/>
        </c:dLbls>
        <c:axId val="154613632"/>
        <c:axId val="154619904"/>
      </c:scatterChart>
      <c:valAx>
        <c:axId val="15461363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Magnesio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619904"/>
        <c:crosses val="autoZero"/>
        <c:crossBetween val="midCat"/>
      </c:valAx>
      <c:valAx>
        <c:axId val="1546199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Absorción</a:t>
                </a:r>
                <a:r>
                  <a:rPr lang="en-US"/>
                  <a:t> de  P Kg/ha-1</a:t>
                </a:r>
                <a:endParaRPr lang="es-EC"/>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613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potasio!$B$35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9.2833253797820731E-2"/>
                  <c:y val="0.2938771939221883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4.4659575033435782E-2"/>
                  <c:y val="-5.917159763313609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potasio!$A$36:$A$43</c:f>
              <c:numCache>
                <c:formatCode>General</c:formatCode>
                <c:ptCount val="8"/>
                <c:pt idx="0">
                  <c:v>0</c:v>
                </c:pt>
                <c:pt idx="1">
                  <c:v>21</c:v>
                </c:pt>
                <c:pt idx="2">
                  <c:v>27</c:v>
                </c:pt>
                <c:pt idx="3">
                  <c:v>50</c:v>
                </c:pt>
                <c:pt idx="4">
                  <c:v>100</c:v>
                </c:pt>
                <c:pt idx="5">
                  <c:v>120</c:v>
                </c:pt>
                <c:pt idx="6">
                  <c:v>150</c:v>
                </c:pt>
                <c:pt idx="7">
                  <c:v>200</c:v>
                </c:pt>
              </c:numCache>
            </c:numRef>
          </c:xVal>
          <c:yVal>
            <c:numRef>
              <c:f>potasio!$B$36:$B$43</c:f>
              <c:numCache>
                <c:formatCode>General</c:formatCode>
                <c:ptCount val="8"/>
                <c:pt idx="0">
                  <c:v>73.930000000000007</c:v>
                </c:pt>
                <c:pt idx="1">
                  <c:v>100.17</c:v>
                </c:pt>
                <c:pt idx="2">
                  <c:v>66.09</c:v>
                </c:pt>
                <c:pt idx="3">
                  <c:v>110.69</c:v>
                </c:pt>
                <c:pt idx="4">
                  <c:v>106.19</c:v>
                </c:pt>
                <c:pt idx="5">
                  <c:v>96.46</c:v>
                </c:pt>
                <c:pt idx="6">
                  <c:v>121.01</c:v>
                </c:pt>
                <c:pt idx="7">
                  <c:v>124.18</c:v>
                </c:pt>
              </c:numCache>
            </c:numRef>
          </c:yVal>
          <c:smooth val="0"/>
          <c:extLst>
            <c:ext xmlns:c16="http://schemas.microsoft.com/office/drawing/2014/chart" uri="{C3380CC4-5D6E-409C-BE32-E72D297353CC}">
              <c16:uniqueId val="{00000005-E164-464E-A3EC-29C96847DB3E}"/>
            </c:ext>
          </c:extLst>
        </c:ser>
        <c:dLbls>
          <c:showLegendKey val="0"/>
          <c:showVal val="0"/>
          <c:showCatName val="0"/>
          <c:showSerName val="0"/>
          <c:showPercent val="0"/>
          <c:showBubbleSize val="0"/>
        </c:dLbls>
        <c:axId val="154886528"/>
        <c:axId val="154888448"/>
      </c:scatterChart>
      <c:valAx>
        <c:axId val="15488652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888448"/>
        <c:crosses val="autoZero"/>
        <c:crossBetween val="midCat"/>
      </c:valAx>
      <c:valAx>
        <c:axId val="154888448"/>
        <c:scaling>
          <c:orientation val="minMax"/>
          <c:min val="4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Absorción</a:t>
                </a:r>
                <a:r>
                  <a:rPr lang="en-US"/>
                  <a:t> de  Kg/ha-1</a:t>
                </a:r>
                <a:endParaRPr lang="es-EC"/>
              </a:p>
            </c:rich>
          </c:tx>
          <c:layout>
            <c:manualLayout>
              <c:xMode val="edge"/>
              <c:yMode val="edge"/>
              <c:x val="2.1784383634694749E-2"/>
              <c:y val="0.1251443865959442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8865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potasio!$B$83</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0886127621820722"/>
                  <c:y val="0.130731073660811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og"/>
            <c:dispRSqr val="0"/>
            <c:dispEq val="0"/>
          </c:trendline>
          <c:trendline>
            <c:spPr>
              <a:ln w="9525" cap="rnd">
                <a:solidFill>
                  <a:schemeClr val="accent1"/>
                </a:solidFill>
              </a:ln>
              <a:effectLst/>
            </c:spPr>
            <c:trendlineType val="log"/>
            <c:dispRSqr val="0"/>
            <c:dispEq val="0"/>
          </c:trendline>
          <c:errBars>
            <c:errDir val="y"/>
            <c:errBarType val="both"/>
            <c:errValType val="stdErr"/>
            <c:noEndCap val="0"/>
            <c:spPr>
              <a:noFill/>
              <a:ln w="9525">
                <a:solidFill>
                  <a:schemeClr val="tx2">
                    <a:lumMod val="75000"/>
                  </a:schemeClr>
                </a:solidFill>
                <a:round/>
              </a:ln>
              <a:effectLst/>
            </c:spPr>
          </c:errBars>
          <c:xVal>
            <c:numRef>
              <c:f>potasio!$A$84:$A$87</c:f>
              <c:numCache>
                <c:formatCode>General</c:formatCode>
                <c:ptCount val="4"/>
                <c:pt idx="0">
                  <c:v>20</c:v>
                </c:pt>
                <c:pt idx="1">
                  <c:v>0</c:v>
                </c:pt>
                <c:pt idx="2">
                  <c:v>15</c:v>
                </c:pt>
                <c:pt idx="3">
                  <c:v>10</c:v>
                </c:pt>
              </c:numCache>
            </c:numRef>
          </c:xVal>
          <c:yVal>
            <c:numRef>
              <c:f>potasio!$B$84:$B$87</c:f>
              <c:numCache>
                <c:formatCode>General</c:formatCode>
                <c:ptCount val="4"/>
                <c:pt idx="0">
                  <c:v>71.7</c:v>
                </c:pt>
                <c:pt idx="1">
                  <c:v>87.6</c:v>
                </c:pt>
                <c:pt idx="2">
                  <c:v>113.69</c:v>
                </c:pt>
                <c:pt idx="3">
                  <c:v>123.65</c:v>
                </c:pt>
              </c:numCache>
            </c:numRef>
          </c:yVal>
          <c:smooth val="0"/>
          <c:extLst>
            <c:ext xmlns:c16="http://schemas.microsoft.com/office/drawing/2014/chart" uri="{C3380CC4-5D6E-409C-BE32-E72D297353CC}">
              <c16:uniqueId val="{00000005-19E3-47F3-B354-E42DE5426219}"/>
            </c:ext>
          </c:extLst>
        </c:ser>
        <c:dLbls>
          <c:showLegendKey val="0"/>
          <c:showVal val="0"/>
          <c:showCatName val="0"/>
          <c:showSerName val="0"/>
          <c:showPercent val="0"/>
          <c:showBubbleSize val="0"/>
        </c:dLbls>
        <c:axId val="154925696"/>
        <c:axId val="154940160"/>
      </c:scatterChart>
      <c:valAx>
        <c:axId val="1549256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Magnesio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940160"/>
        <c:crosses val="autoZero"/>
        <c:crossBetween val="midCat"/>
      </c:valAx>
      <c:valAx>
        <c:axId val="154940160"/>
        <c:scaling>
          <c:orientation val="minMax"/>
          <c:min val="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Absorción</a:t>
                </a:r>
                <a:r>
                  <a:rPr lang="en-US"/>
                  <a:t> de  Kg/ha-1</a:t>
                </a:r>
                <a:endParaRPr lang="es-EC"/>
              </a:p>
            </c:rich>
          </c:tx>
          <c:layout>
            <c:manualLayout>
              <c:xMode val="edge"/>
              <c:yMode val="edge"/>
              <c:x val="2.5090604962364094E-2"/>
              <c:y val="0.2197065827703260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925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azufre!$B$35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3.6313926668257376E-3"/>
                  <c:y val="0.324828682129019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trendline>
            <c:spPr>
              <a:ln w="9525" cap="rnd">
                <a:solidFill>
                  <a:schemeClr val="accent1"/>
                </a:solidFill>
              </a:ln>
              <a:effectLst/>
            </c:spPr>
            <c:trendlineType val="log"/>
            <c:dispRSqr val="1"/>
            <c:dispEq val="1"/>
            <c:trendlineLbl>
              <c:layout>
                <c:manualLayout>
                  <c:x val="-4.6964449463066396E-2"/>
                  <c:y val="-5.553542144011909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azufre!$A$36:$A$43</c:f>
              <c:numCache>
                <c:formatCode>General</c:formatCode>
                <c:ptCount val="8"/>
                <c:pt idx="0">
                  <c:v>0</c:v>
                </c:pt>
                <c:pt idx="1">
                  <c:v>21</c:v>
                </c:pt>
                <c:pt idx="2">
                  <c:v>27</c:v>
                </c:pt>
                <c:pt idx="3">
                  <c:v>50</c:v>
                </c:pt>
                <c:pt idx="4">
                  <c:v>100</c:v>
                </c:pt>
                <c:pt idx="5">
                  <c:v>120</c:v>
                </c:pt>
                <c:pt idx="6">
                  <c:v>150</c:v>
                </c:pt>
                <c:pt idx="7">
                  <c:v>200</c:v>
                </c:pt>
              </c:numCache>
            </c:numRef>
          </c:xVal>
          <c:yVal>
            <c:numRef>
              <c:f>azufre!$B$36:$B$43</c:f>
              <c:numCache>
                <c:formatCode>General</c:formatCode>
                <c:ptCount val="8"/>
                <c:pt idx="0">
                  <c:v>7.35</c:v>
                </c:pt>
                <c:pt idx="1">
                  <c:v>10.119999999999999</c:v>
                </c:pt>
                <c:pt idx="2">
                  <c:v>8.26</c:v>
                </c:pt>
                <c:pt idx="3">
                  <c:v>13.25</c:v>
                </c:pt>
                <c:pt idx="4">
                  <c:v>10.3</c:v>
                </c:pt>
                <c:pt idx="5">
                  <c:v>10.32</c:v>
                </c:pt>
                <c:pt idx="6">
                  <c:v>14.96</c:v>
                </c:pt>
                <c:pt idx="7">
                  <c:v>14.71</c:v>
                </c:pt>
              </c:numCache>
            </c:numRef>
          </c:yVal>
          <c:smooth val="0"/>
          <c:extLst>
            <c:ext xmlns:c16="http://schemas.microsoft.com/office/drawing/2014/chart" uri="{C3380CC4-5D6E-409C-BE32-E72D297353CC}">
              <c16:uniqueId val="{00000005-1D55-47BA-9879-A399ED7A965C}"/>
            </c:ext>
          </c:extLst>
        </c:ser>
        <c:dLbls>
          <c:showLegendKey val="0"/>
          <c:showVal val="0"/>
          <c:showCatName val="0"/>
          <c:showSerName val="0"/>
          <c:showPercent val="0"/>
          <c:showBubbleSize val="0"/>
        </c:dLbls>
        <c:axId val="154981504"/>
        <c:axId val="154983424"/>
      </c:scatterChart>
      <c:valAx>
        <c:axId val="1549815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983424"/>
        <c:crosses val="autoZero"/>
        <c:crossBetween val="midCat"/>
      </c:valAx>
      <c:valAx>
        <c:axId val="1549834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Absorción</a:t>
                </a:r>
                <a:r>
                  <a:rPr lang="en-US"/>
                  <a:t> de  S Kg/ha-1</a:t>
                </a:r>
                <a:endParaRPr lang="es-EC"/>
              </a:p>
            </c:rich>
          </c:tx>
          <c:layout>
            <c:manualLayout>
              <c:xMode val="edge"/>
              <c:yMode val="edge"/>
              <c:x val="2.7124773960216998E-2"/>
              <c:y val="0.1108949442284998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9815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magnesio!$B$35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0464149367692675"/>
                  <c:y val="0.3392286678450908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8.7234130455915229E-2"/>
                  <c:y val="-9.646514524667466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magnesio!$A$36:$A$43</c:f>
              <c:numCache>
                <c:formatCode>General</c:formatCode>
                <c:ptCount val="8"/>
                <c:pt idx="0">
                  <c:v>0</c:v>
                </c:pt>
                <c:pt idx="1">
                  <c:v>21</c:v>
                </c:pt>
                <c:pt idx="2">
                  <c:v>27</c:v>
                </c:pt>
                <c:pt idx="3">
                  <c:v>50</c:v>
                </c:pt>
                <c:pt idx="4">
                  <c:v>100</c:v>
                </c:pt>
                <c:pt idx="5">
                  <c:v>120</c:v>
                </c:pt>
                <c:pt idx="6">
                  <c:v>150</c:v>
                </c:pt>
                <c:pt idx="7">
                  <c:v>200</c:v>
                </c:pt>
              </c:numCache>
            </c:numRef>
          </c:xVal>
          <c:yVal>
            <c:numRef>
              <c:f>magnesio!$B$36:$B$43</c:f>
              <c:numCache>
                <c:formatCode>General</c:formatCode>
                <c:ptCount val="8"/>
                <c:pt idx="0">
                  <c:v>14.74</c:v>
                </c:pt>
                <c:pt idx="1">
                  <c:v>14.31</c:v>
                </c:pt>
                <c:pt idx="2">
                  <c:v>18.78</c:v>
                </c:pt>
                <c:pt idx="3">
                  <c:v>18.77</c:v>
                </c:pt>
                <c:pt idx="4">
                  <c:v>16.850000000000001</c:v>
                </c:pt>
                <c:pt idx="5">
                  <c:v>20.9</c:v>
                </c:pt>
                <c:pt idx="6">
                  <c:v>21.91</c:v>
                </c:pt>
                <c:pt idx="7">
                  <c:v>20.54</c:v>
                </c:pt>
              </c:numCache>
            </c:numRef>
          </c:yVal>
          <c:smooth val="0"/>
          <c:extLst>
            <c:ext xmlns:c16="http://schemas.microsoft.com/office/drawing/2014/chart" uri="{C3380CC4-5D6E-409C-BE32-E72D297353CC}">
              <c16:uniqueId val="{00000005-FF24-4641-BF0A-1AF28D01B4B6}"/>
            </c:ext>
          </c:extLst>
        </c:ser>
        <c:dLbls>
          <c:showLegendKey val="0"/>
          <c:showVal val="0"/>
          <c:showCatName val="0"/>
          <c:showSerName val="0"/>
          <c:showPercent val="0"/>
          <c:showBubbleSize val="0"/>
        </c:dLbls>
        <c:axId val="155057536"/>
        <c:axId val="155067904"/>
      </c:scatterChart>
      <c:valAx>
        <c:axId val="15505753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067904"/>
        <c:crosses val="autoZero"/>
        <c:crossBetween val="midCat"/>
      </c:valAx>
      <c:valAx>
        <c:axId val="155067904"/>
        <c:scaling>
          <c:orientation val="minMax"/>
          <c:min val="1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Absorción</a:t>
                </a:r>
                <a:r>
                  <a:rPr lang="en-US"/>
                  <a:t> de  Mg  Kg/ha-1</a:t>
                </a:r>
                <a:endParaRPr lang="es-EC"/>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057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Rendimiento!$I$20</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7.5202051356483668E-2"/>
                  <c:y val="0.2115131121430333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4.7091210372896992E-2"/>
                  <c:y val="-0.1130838773358458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Rendimiento!$H$21:$H$24</c:f>
              <c:numCache>
                <c:formatCode>General</c:formatCode>
                <c:ptCount val="4"/>
                <c:pt idx="0">
                  <c:v>0</c:v>
                </c:pt>
                <c:pt idx="1">
                  <c:v>50</c:v>
                </c:pt>
                <c:pt idx="2">
                  <c:v>120</c:v>
                </c:pt>
                <c:pt idx="3">
                  <c:v>140</c:v>
                </c:pt>
              </c:numCache>
            </c:numRef>
          </c:xVal>
          <c:yVal>
            <c:numRef>
              <c:f>Rendimiento!$I$21:$I$24</c:f>
              <c:numCache>
                <c:formatCode>General</c:formatCode>
                <c:ptCount val="4"/>
                <c:pt idx="0">
                  <c:v>2.04</c:v>
                </c:pt>
                <c:pt idx="1">
                  <c:v>3.74</c:v>
                </c:pt>
                <c:pt idx="2">
                  <c:v>3.97</c:v>
                </c:pt>
                <c:pt idx="3">
                  <c:v>4.4800000000000004</c:v>
                </c:pt>
              </c:numCache>
            </c:numRef>
          </c:yVal>
          <c:smooth val="0"/>
          <c:extLst>
            <c:ext xmlns:c16="http://schemas.microsoft.com/office/drawing/2014/chart" uri="{C3380CC4-5D6E-409C-BE32-E72D297353CC}">
              <c16:uniqueId val="{00000005-EB5C-4F79-AD8C-9EE9DFD3B049}"/>
            </c:ext>
          </c:extLst>
        </c:ser>
        <c:dLbls>
          <c:showLegendKey val="0"/>
          <c:showVal val="0"/>
          <c:showCatName val="0"/>
          <c:showSerName val="0"/>
          <c:showPercent val="0"/>
          <c:showBubbleSize val="0"/>
        </c:dLbls>
        <c:axId val="152777856"/>
        <c:axId val="152779776"/>
      </c:scatterChart>
      <c:valAx>
        <c:axId val="15277785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2779776"/>
        <c:crosses val="autoZero"/>
        <c:crossBetween val="midCat"/>
      </c:valAx>
      <c:valAx>
        <c:axId val="1527797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Rendimiento t /ha-1</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27778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magnesio!$B$49</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02994268573571E-2"/>
                  <c:y val="0.1120766278717152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magnesio!$A$50:$A$55</c:f>
              <c:numCache>
                <c:formatCode>General</c:formatCode>
                <c:ptCount val="6"/>
                <c:pt idx="0">
                  <c:v>0</c:v>
                </c:pt>
                <c:pt idx="1">
                  <c:v>15</c:v>
                </c:pt>
                <c:pt idx="2">
                  <c:v>30</c:v>
                </c:pt>
                <c:pt idx="3">
                  <c:v>40</c:v>
                </c:pt>
                <c:pt idx="4">
                  <c:v>50</c:v>
                </c:pt>
                <c:pt idx="5">
                  <c:v>60</c:v>
                </c:pt>
              </c:numCache>
            </c:numRef>
          </c:xVal>
          <c:yVal>
            <c:numRef>
              <c:f>magnesio!$B$50:$B$55</c:f>
              <c:numCache>
                <c:formatCode>General</c:formatCode>
                <c:ptCount val="6"/>
                <c:pt idx="0">
                  <c:v>17.23</c:v>
                </c:pt>
                <c:pt idx="1">
                  <c:v>14.31</c:v>
                </c:pt>
                <c:pt idx="2">
                  <c:v>20.39</c:v>
                </c:pt>
                <c:pt idx="3">
                  <c:v>20.71</c:v>
                </c:pt>
                <c:pt idx="4">
                  <c:v>12.34</c:v>
                </c:pt>
                <c:pt idx="5">
                  <c:v>17.98</c:v>
                </c:pt>
              </c:numCache>
            </c:numRef>
          </c:yVal>
          <c:smooth val="0"/>
          <c:extLst>
            <c:ext xmlns:c16="http://schemas.microsoft.com/office/drawing/2014/chart" uri="{C3380CC4-5D6E-409C-BE32-E72D297353CC}">
              <c16:uniqueId val="{00000005-8C35-472A-8516-578FD516D66B}"/>
            </c:ext>
          </c:extLst>
        </c:ser>
        <c:dLbls>
          <c:showLegendKey val="0"/>
          <c:showVal val="0"/>
          <c:showCatName val="0"/>
          <c:showSerName val="0"/>
          <c:showPercent val="0"/>
          <c:showBubbleSize val="0"/>
        </c:dLbls>
        <c:axId val="155117440"/>
        <c:axId val="155123712"/>
      </c:scatterChart>
      <c:valAx>
        <c:axId val="15511744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Dosis de Fósforo kg/ha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123712"/>
        <c:crosses val="autoZero"/>
        <c:crossBetween val="midCat"/>
      </c:valAx>
      <c:valAx>
        <c:axId val="155123712"/>
        <c:scaling>
          <c:orientation val="minMax"/>
          <c:min val="1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Absorción</a:t>
                </a:r>
                <a:r>
                  <a:rPr lang="en-US"/>
                  <a:t> de  Mg  Kg/ha-1</a:t>
                </a:r>
                <a:endParaRPr lang="es-EC"/>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117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magnesio!$B$83</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1312663223830188"/>
                  <c:y val="8.174870211708118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23112952526819433"/>
                  <c:y val="-0.3669661336385815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magnesio!$A$84:$A$87</c:f>
              <c:numCache>
                <c:formatCode>General</c:formatCode>
                <c:ptCount val="4"/>
                <c:pt idx="0">
                  <c:v>0</c:v>
                </c:pt>
                <c:pt idx="1">
                  <c:v>10</c:v>
                </c:pt>
                <c:pt idx="2">
                  <c:v>15</c:v>
                </c:pt>
                <c:pt idx="3">
                  <c:v>20</c:v>
                </c:pt>
              </c:numCache>
            </c:numRef>
          </c:xVal>
          <c:yVal>
            <c:numRef>
              <c:f>magnesio!$B$84:$B$87</c:f>
              <c:numCache>
                <c:formatCode>General</c:formatCode>
                <c:ptCount val="4"/>
                <c:pt idx="0">
                  <c:v>18.010000000000002</c:v>
                </c:pt>
                <c:pt idx="1">
                  <c:v>20.7</c:v>
                </c:pt>
                <c:pt idx="2">
                  <c:v>19.11</c:v>
                </c:pt>
                <c:pt idx="3">
                  <c:v>11.21</c:v>
                </c:pt>
              </c:numCache>
            </c:numRef>
          </c:yVal>
          <c:smooth val="0"/>
          <c:extLst>
            <c:ext xmlns:c16="http://schemas.microsoft.com/office/drawing/2014/chart" uri="{C3380CC4-5D6E-409C-BE32-E72D297353CC}">
              <c16:uniqueId val="{00000005-25E5-43AC-B3AE-3837FCF2789B}"/>
            </c:ext>
          </c:extLst>
        </c:ser>
        <c:dLbls>
          <c:showLegendKey val="0"/>
          <c:showVal val="0"/>
          <c:showCatName val="0"/>
          <c:showSerName val="0"/>
          <c:showPercent val="0"/>
          <c:showBubbleSize val="0"/>
        </c:dLbls>
        <c:axId val="155169152"/>
        <c:axId val="155171072"/>
      </c:scatterChart>
      <c:valAx>
        <c:axId val="15516915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Dosis de Magnesio kg/ha</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171072"/>
        <c:crosses val="autoZero"/>
        <c:crossBetween val="midCat"/>
      </c:valAx>
      <c:valAx>
        <c:axId val="155171072"/>
        <c:scaling>
          <c:orientation val="minMax"/>
          <c:min val="5"/>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Mg  Kg/ha-1</a:t>
                </a:r>
                <a:endParaRPr lang="es-EC"/>
              </a:p>
            </c:rich>
          </c:tx>
          <c:layout>
            <c:manualLayout>
              <c:xMode val="edge"/>
              <c:yMode val="edge"/>
              <c:x val="3.4119106699751864E-2"/>
              <c:y val="0.11834319526627218"/>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169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2435897435896"/>
          <c:y val="3.6916885389326332E-2"/>
          <c:w val="0.76118589743589748"/>
          <c:h val="0.6590831146106737"/>
        </c:manualLayout>
      </c:layout>
      <c:scatterChart>
        <c:scatterStyle val="lineMarker"/>
        <c:varyColors val="0"/>
        <c:ser>
          <c:idx val="0"/>
          <c:order val="0"/>
          <c:tx>
            <c:strRef>
              <c:f>rendimiento!$B$37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5.9645669291338585E-3"/>
                  <c:y val="0.4117910261217347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0.18032682212800322"/>
                  <c:y val="-3.923490813648294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rendimiento!$A$38:$A$44</c:f>
              <c:numCache>
                <c:formatCode>General</c:formatCode>
                <c:ptCount val="7"/>
                <c:pt idx="0">
                  <c:v>0</c:v>
                </c:pt>
                <c:pt idx="1">
                  <c:v>50</c:v>
                </c:pt>
                <c:pt idx="2">
                  <c:v>60</c:v>
                </c:pt>
                <c:pt idx="3">
                  <c:v>100</c:v>
                </c:pt>
                <c:pt idx="4">
                  <c:v>120</c:v>
                </c:pt>
                <c:pt idx="5">
                  <c:v>150</c:v>
                </c:pt>
                <c:pt idx="6">
                  <c:v>200</c:v>
                </c:pt>
              </c:numCache>
            </c:numRef>
          </c:xVal>
          <c:yVal>
            <c:numRef>
              <c:f>rendimiento!$B$38:$B$44</c:f>
              <c:numCache>
                <c:formatCode>General</c:formatCode>
                <c:ptCount val="7"/>
                <c:pt idx="0">
                  <c:v>3.81</c:v>
                </c:pt>
                <c:pt idx="1">
                  <c:v>4.84</c:v>
                </c:pt>
                <c:pt idx="2">
                  <c:v>4.37</c:v>
                </c:pt>
                <c:pt idx="3">
                  <c:v>5.61</c:v>
                </c:pt>
                <c:pt idx="4">
                  <c:v>5.03</c:v>
                </c:pt>
                <c:pt idx="5">
                  <c:v>5.87</c:v>
                </c:pt>
                <c:pt idx="6">
                  <c:v>5.8</c:v>
                </c:pt>
              </c:numCache>
            </c:numRef>
          </c:yVal>
          <c:smooth val="0"/>
          <c:extLst>
            <c:ext xmlns:c16="http://schemas.microsoft.com/office/drawing/2014/chart" uri="{C3380CC4-5D6E-409C-BE32-E72D297353CC}">
              <c16:uniqueId val="{00000005-E7A1-450F-B58D-4B2477E1FF75}"/>
            </c:ext>
          </c:extLst>
        </c:ser>
        <c:dLbls>
          <c:showLegendKey val="0"/>
          <c:showVal val="0"/>
          <c:showCatName val="0"/>
          <c:showSerName val="0"/>
          <c:showPercent val="0"/>
          <c:showBubbleSize val="0"/>
        </c:dLbls>
        <c:axId val="155224704"/>
        <c:axId val="155235072"/>
      </c:scatterChart>
      <c:valAx>
        <c:axId val="1552247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 kg/ha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235072"/>
        <c:crosses val="autoZero"/>
        <c:crossBetween val="midCat"/>
      </c:valAx>
      <c:valAx>
        <c:axId val="155235072"/>
        <c:scaling>
          <c:orientation val="minMax"/>
          <c:min val="3"/>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Rendimiento  t/ha-1</a:t>
                </a:r>
              </a:p>
            </c:rich>
          </c:tx>
          <c:layout>
            <c:manualLayout>
              <c:xMode val="edge"/>
              <c:yMode val="edge"/>
              <c:x val="1.8308080808080808E-2"/>
              <c:y val="0.17140746602143803"/>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224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rendimiento!$B$62</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9.2635994030158056E-2"/>
                  <c:y val="-0.210824494045682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rendimiento!$A$63:$A$66</c:f>
              <c:numCache>
                <c:formatCode>General</c:formatCode>
                <c:ptCount val="4"/>
                <c:pt idx="0">
                  <c:v>0</c:v>
                </c:pt>
                <c:pt idx="1">
                  <c:v>20</c:v>
                </c:pt>
                <c:pt idx="2">
                  <c:v>30</c:v>
                </c:pt>
                <c:pt idx="3">
                  <c:v>60</c:v>
                </c:pt>
              </c:numCache>
            </c:numRef>
          </c:xVal>
          <c:yVal>
            <c:numRef>
              <c:f>rendimiento!$B$63:$B$66</c:f>
              <c:numCache>
                <c:formatCode>General</c:formatCode>
                <c:ptCount val="4"/>
                <c:pt idx="0">
                  <c:v>4.33</c:v>
                </c:pt>
                <c:pt idx="1">
                  <c:v>5.56</c:v>
                </c:pt>
                <c:pt idx="2">
                  <c:v>5.1100000000000003</c:v>
                </c:pt>
                <c:pt idx="3">
                  <c:v>4.6500000000000004</c:v>
                </c:pt>
              </c:numCache>
            </c:numRef>
          </c:yVal>
          <c:smooth val="0"/>
          <c:extLst>
            <c:ext xmlns:c16="http://schemas.microsoft.com/office/drawing/2014/chart" uri="{C3380CC4-5D6E-409C-BE32-E72D297353CC}">
              <c16:uniqueId val="{00000005-5FA5-4E28-9859-60930315473A}"/>
            </c:ext>
          </c:extLst>
        </c:ser>
        <c:dLbls>
          <c:showLegendKey val="0"/>
          <c:showVal val="0"/>
          <c:showCatName val="0"/>
          <c:showSerName val="0"/>
          <c:showPercent val="0"/>
          <c:showBubbleSize val="0"/>
        </c:dLbls>
        <c:axId val="155632768"/>
        <c:axId val="155634688"/>
      </c:scatterChart>
      <c:valAx>
        <c:axId val="1556327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 kg/ha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634688"/>
        <c:crosses val="autoZero"/>
        <c:crossBetween val="midCat"/>
      </c:valAx>
      <c:valAx>
        <c:axId val="155634688"/>
        <c:scaling>
          <c:orientation val="minMax"/>
          <c:min val="3"/>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Rendimiento  t/ha-1</a:t>
                </a:r>
              </a:p>
            </c:rich>
          </c:tx>
          <c:layout>
            <c:manualLayout>
              <c:xMode val="edge"/>
              <c:yMode val="edge"/>
              <c:x val="2.7777777777777776E-2"/>
              <c:y val="0.2759675483537599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632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nitrogeno!$B$37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1.3086486140451955E-2"/>
                  <c:y val="-0.417053750634111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nitrogeno!$A$38:$A$44</c:f>
              <c:numCache>
                <c:formatCode>General</c:formatCode>
                <c:ptCount val="7"/>
                <c:pt idx="0">
                  <c:v>0</c:v>
                </c:pt>
                <c:pt idx="1">
                  <c:v>50</c:v>
                </c:pt>
                <c:pt idx="2">
                  <c:v>60</c:v>
                </c:pt>
                <c:pt idx="3">
                  <c:v>100</c:v>
                </c:pt>
                <c:pt idx="4">
                  <c:v>120</c:v>
                </c:pt>
                <c:pt idx="5">
                  <c:v>150</c:v>
                </c:pt>
                <c:pt idx="6">
                  <c:v>200</c:v>
                </c:pt>
              </c:numCache>
            </c:numRef>
          </c:xVal>
          <c:yVal>
            <c:numRef>
              <c:f>nitrogeno!$B$38:$B$44</c:f>
              <c:numCache>
                <c:formatCode>General</c:formatCode>
                <c:ptCount val="7"/>
                <c:pt idx="0">
                  <c:v>137.12</c:v>
                </c:pt>
                <c:pt idx="1">
                  <c:v>142.75</c:v>
                </c:pt>
                <c:pt idx="2">
                  <c:v>286.63</c:v>
                </c:pt>
                <c:pt idx="3">
                  <c:v>160.69999999999999</c:v>
                </c:pt>
                <c:pt idx="4">
                  <c:v>222.99</c:v>
                </c:pt>
                <c:pt idx="5">
                  <c:v>184.4</c:v>
                </c:pt>
                <c:pt idx="6">
                  <c:v>169.22</c:v>
                </c:pt>
              </c:numCache>
            </c:numRef>
          </c:yVal>
          <c:smooth val="0"/>
          <c:extLst>
            <c:ext xmlns:c16="http://schemas.microsoft.com/office/drawing/2014/chart" uri="{C3380CC4-5D6E-409C-BE32-E72D297353CC}">
              <c16:uniqueId val="{00000005-3DB4-46AC-8759-F1136EE2EF08}"/>
            </c:ext>
          </c:extLst>
        </c:ser>
        <c:dLbls>
          <c:showLegendKey val="0"/>
          <c:showVal val="0"/>
          <c:showCatName val="0"/>
          <c:showSerName val="0"/>
          <c:showPercent val="0"/>
          <c:showBubbleSize val="0"/>
        </c:dLbls>
        <c:axId val="155278720"/>
        <c:axId val="155289088"/>
      </c:scatterChart>
      <c:valAx>
        <c:axId val="15527872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289088"/>
        <c:crosses val="autoZero"/>
        <c:crossBetween val="midCat"/>
      </c:valAx>
      <c:valAx>
        <c:axId val="155289088"/>
        <c:scaling>
          <c:orientation val="minMax"/>
          <c:min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N  </a:t>
                </a:r>
                <a:r>
                  <a:rPr lang="es-EC"/>
                  <a:t>Kg/ha-1</a:t>
                </a:r>
                <a:endParaRPr lang="en-US"/>
              </a:p>
            </c:rich>
          </c:tx>
          <c:layout>
            <c:manualLayout>
              <c:xMode val="edge"/>
              <c:yMode val="edge"/>
              <c:x val="2.5015443511550009E-2"/>
              <c:y val="7.693830746884793E-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278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fosforo!$B$37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0.21301078623913269"/>
                  <c:y val="-0.3128678915135608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fosforo!$A$38:$A$44</c:f>
              <c:numCache>
                <c:formatCode>General</c:formatCode>
                <c:ptCount val="7"/>
                <c:pt idx="0">
                  <c:v>0</c:v>
                </c:pt>
                <c:pt idx="1">
                  <c:v>50</c:v>
                </c:pt>
                <c:pt idx="2">
                  <c:v>60</c:v>
                </c:pt>
                <c:pt idx="3">
                  <c:v>100</c:v>
                </c:pt>
                <c:pt idx="4">
                  <c:v>120</c:v>
                </c:pt>
                <c:pt idx="5">
                  <c:v>150</c:v>
                </c:pt>
                <c:pt idx="6">
                  <c:v>200</c:v>
                </c:pt>
              </c:numCache>
            </c:numRef>
          </c:xVal>
          <c:yVal>
            <c:numRef>
              <c:f>fosforo!$B$38:$B$44</c:f>
              <c:numCache>
                <c:formatCode>General</c:formatCode>
                <c:ptCount val="7"/>
                <c:pt idx="0">
                  <c:v>34.15</c:v>
                </c:pt>
                <c:pt idx="1">
                  <c:v>39.880000000000003</c:v>
                </c:pt>
                <c:pt idx="2">
                  <c:v>46.96</c:v>
                </c:pt>
                <c:pt idx="3">
                  <c:v>39.49</c:v>
                </c:pt>
                <c:pt idx="4">
                  <c:v>42.43</c:v>
                </c:pt>
                <c:pt idx="5">
                  <c:v>33.82</c:v>
                </c:pt>
                <c:pt idx="6">
                  <c:v>36.090000000000003</c:v>
                </c:pt>
              </c:numCache>
            </c:numRef>
          </c:yVal>
          <c:smooth val="0"/>
          <c:extLst>
            <c:ext xmlns:c16="http://schemas.microsoft.com/office/drawing/2014/chart" uri="{C3380CC4-5D6E-409C-BE32-E72D297353CC}">
              <c16:uniqueId val="{00000005-473D-4A72-AEB0-B243D944E7E5}"/>
            </c:ext>
          </c:extLst>
        </c:ser>
        <c:dLbls>
          <c:showLegendKey val="0"/>
          <c:showVal val="0"/>
          <c:showCatName val="0"/>
          <c:showSerName val="0"/>
          <c:showPercent val="0"/>
          <c:showBubbleSize val="0"/>
        </c:dLbls>
        <c:axId val="155481984"/>
        <c:axId val="155484160"/>
      </c:scatterChart>
      <c:valAx>
        <c:axId val="15548198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Nitrogeno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484160"/>
        <c:crosses val="autoZero"/>
        <c:crossBetween val="midCat"/>
      </c:valAx>
      <c:valAx>
        <c:axId val="155484160"/>
        <c:scaling>
          <c:orientation val="minMax"/>
          <c:min val="25"/>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P  </a:t>
                </a:r>
                <a:r>
                  <a:rPr lang="es-EC"/>
                  <a:t>Kg/ha-1</a:t>
                </a:r>
                <a:endParaRPr lang="en-US"/>
              </a:p>
            </c:rich>
          </c:tx>
          <c:layout>
            <c:manualLayout>
              <c:xMode val="edge"/>
              <c:yMode val="edge"/>
              <c:x val="2.4688135209732495E-2"/>
              <c:y val="9.2662294922113045E-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481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fosforo!$B$50</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fosforo!$A$51:$A$56</c:f>
              <c:numCache>
                <c:formatCode>General</c:formatCode>
                <c:ptCount val="6"/>
                <c:pt idx="0">
                  <c:v>0</c:v>
                </c:pt>
                <c:pt idx="1">
                  <c:v>30</c:v>
                </c:pt>
                <c:pt idx="2">
                  <c:v>40</c:v>
                </c:pt>
                <c:pt idx="3">
                  <c:v>46</c:v>
                </c:pt>
                <c:pt idx="4">
                  <c:v>50</c:v>
                </c:pt>
                <c:pt idx="5">
                  <c:v>60</c:v>
                </c:pt>
              </c:numCache>
            </c:numRef>
          </c:xVal>
          <c:yVal>
            <c:numRef>
              <c:f>fosforo!$B$51:$B$56</c:f>
              <c:numCache>
                <c:formatCode>General</c:formatCode>
                <c:ptCount val="6"/>
                <c:pt idx="0">
                  <c:v>36.770000000000003</c:v>
                </c:pt>
                <c:pt idx="1">
                  <c:v>46.96</c:v>
                </c:pt>
                <c:pt idx="2">
                  <c:v>39.619999999999997</c:v>
                </c:pt>
                <c:pt idx="3">
                  <c:v>58.46</c:v>
                </c:pt>
                <c:pt idx="4">
                  <c:v>38.71</c:v>
                </c:pt>
                <c:pt idx="5">
                  <c:v>37.520000000000003</c:v>
                </c:pt>
              </c:numCache>
            </c:numRef>
          </c:yVal>
          <c:smooth val="0"/>
          <c:extLst>
            <c:ext xmlns:c16="http://schemas.microsoft.com/office/drawing/2014/chart" uri="{C3380CC4-5D6E-409C-BE32-E72D297353CC}">
              <c16:uniqueId val="{00000005-A1FB-46A5-A88A-D7B9EBB53D2F}"/>
            </c:ext>
          </c:extLst>
        </c:ser>
        <c:dLbls>
          <c:showLegendKey val="0"/>
          <c:showVal val="0"/>
          <c:showCatName val="0"/>
          <c:showSerName val="0"/>
          <c:showPercent val="0"/>
          <c:showBubbleSize val="0"/>
        </c:dLbls>
        <c:axId val="155337088"/>
        <c:axId val="155339008"/>
      </c:scatterChart>
      <c:valAx>
        <c:axId val="15533708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Fósforo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339008"/>
        <c:crosses val="autoZero"/>
        <c:crossBetween val="midCat"/>
      </c:valAx>
      <c:valAx>
        <c:axId val="155339008"/>
        <c:scaling>
          <c:orientation val="minMax"/>
          <c:min val="3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P  </a:t>
                </a:r>
                <a:r>
                  <a:rPr lang="es-EC"/>
                  <a:t>Kg/ha-1</a:t>
                </a:r>
                <a:endParaRPr lang="en-US"/>
              </a:p>
            </c:rich>
          </c:tx>
          <c:layout>
            <c:manualLayout>
              <c:xMode val="edge"/>
              <c:yMode val="edge"/>
              <c:x val="1.2563924717078095E-2"/>
              <c:y val="0.1050461958509056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337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fosforo!$B$62</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fosforo!$A$63:$A$66</c:f>
              <c:numCache>
                <c:formatCode>General</c:formatCode>
                <c:ptCount val="4"/>
                <c:pt idx="0">
                  <c:v>0</c:v>
                </c:pt>
                <c:pt idx="1">
                  <c:v>20</c:v>
                </c:pt>
                <c:pt idx="2">
                  <c:v>30</c:v>
                </c:pt>
                <c:pt idx="3">
                  <c:v>60</c:v>
                </c:pt>
              </c:numCache>
            </c:numRef>
          </c:xVal>
          <c:yVal>
            <c:numRef>
              <c:f>fosforo!$B$63:$B$66</c:f>
              <c:numCache>
                <c:formatCode>General</c:formatCode>
                <c:ptCount val="4"/>
                <c:pt idx="0">
                  <c:v>38.549999999999997</c:v>
                </c:pt>
                <c:pt idx="1">
                  <c:v>16.989999999999998</c:v>
                </c:pt>
                <c:pt idx="2">
                  <c:v>42.7</c:v>
                </c:pt>
                <c:pt idx="3">
                  <c:v>39.19</c:v>
                </c:pt>
              </c:numCache>
            </c:numRef>
          </c:yVal>
          <c:smooth val="0"/>
          <c:extLst>
            <c:ext xmlns:c16="http://schemas.microsoft.com/office/drawing/2014/chart" uri="{C3380CC4-5D6E-409C-BE32-E72D297353CC}">
              <c16:uniqueId val="{00000005-FB98-42DA-95C1-1D7B75CAE926}"/>
            </c:ext>
          </c:extLst>
        </c:ser>
        <c:dLbls>
          <c:showLegendKey val="0"/>
          <c:showVal val="0"/>
          <c:showCatName val="0"/>
          <c:showSerName val="0"/>
          <c:showPercent val="0"/>
          <c:showBubbleSize val="0"/>
        </c:dLbls>
        <c:axId val="155531904"/>
        <c:axId val="155542272"/>
      </c:scatterChart>
      <c:valAx>
        <c:axId val="1555319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542272"/>
        <c:crosses val="autoZero"/>
        <c:crossBetween val="midCat"/>
      </c:valAx>
      <c:valAx>
        <c:axId val="1555422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P  </a:t>
                </a:r>
                <a:r>
                  <a:rPr lang="es-EC"/>
                  <a:t>Kg/ha-1</a:t>
                </a:r>
                <a:endParaRPr lang="en-US"/>
              </a:p>
            </c:rich>
          </c:tx>
          <c:layout>
            <c:manualLayout>
              <c:xMode val="edge"/>
              <c:yMode val="edge"/>
              <c:x val="2.4746463375921596E-2"/>
              <c:y val="0.1205064717133905"/>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531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potasio!$B$37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3.3429372464805533E-2"/>
                  <c:y val="0.3404870819718963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0.10837184286390431"/>
                  <c:y val="-0.1903982969870701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potasio!$A$38:$A$44</c:f>
              <c:numCache>
                <c:formatCode>General</c:formatCode>
                <c:ptCount val="7"/>
                <c:pt idx="0">
                  <c:v>0</c:v>
                </c:pt>
                <c:pt idx="1">
                  <c:v>50</c:v>
                </c:pt>
                <c:pt idx="2">
                  <c:v>60</c:v>
                </c:pt>
                <c:pt idx="3">
                  <c:v>100</c:v>
                </c:pt>
                <c:pt idx="4">
                  <c:v>120</c:v>
                </c:pt>
                <c:pt idx="5">
                  <c:v>150</c:v>
                </c:pt>
                <c:pt idx="6">
                  <c:v>200</c:v>
                </c:pt>
              </c:numCache>
            </c:numRef>
          </c:xVal>
          <c:yVal>
            <c:numRef>
              <c:f>potasio!$B$38:$B$44</c:f>
              <c:numCache>
                <c:formatCode>General</c:formatCode>
                <c:ptCount val="7"/>
                <c:pt idx="0">
                  <c:v>114.89</c:v>
                </c:pt>
                <c:pt idx="1">
                  <c:v>176.29</c:v>
                </c:pt>
                <c:pt idx="2">
                  <c:v>140.30000000000001</c:v>
                </c:pt>
                <c:pt idx="3">
                  <c:v>134.41</c:v>
                </c:pt>
                <c:pt idx="4">
                  <c:v>165.12</c:v>
                </c:pt>
                <c:pt idx="5">
                  <c:v>160.97999999999999</c:v>
                </c:pt>
                <c:pt idx="6">
                  <c:v>154.01</c:v>
                </c:pt>
              </c:numCache>
            </c:numRef>
          </c:yVal>
          <c:smooth val="0"/>
          <c:extLst>
            <c:ext xmlns:c16="http://schemas.microsoft.com/office/drawing/2014/chart" uri="{C3380CC4-5D6E-409C-BE32-E72D297353CC}">
              <c16:uniqueId val="{00000005-BFE4-4A93-A9B2-182F13D4AAFF}"/>
            </c:ext>
          </c:extLst>
        </c:ser>
        <c:dLbls>
          <c:showLegendKey val="0"/>
          <c:showVal val="0"/>
          <c:showCatName val="0"/>
          <c:showSerName val="0"/>
          <c:showPercent val="0"/>
          <c:showBubbleSize val="0"/>
        </c:dLbls>
        <c:axId val="155665536"/>
        <c:axId val="155667456"/>
      </c:scatterChart>
      <c:valAx>
        <c:axId val="15566553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Dosis de   Nitrógeno  kg/ha</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667456"/>
        <c:crosses val="autoZero"/>
        <c:crossBetween val="midCat"/>
      </c:valAx>
      <c:valAx>
        <c:axId val="155667456"/>
        <c:scaling>
          <c:orientation val="minMax"/>
          <c:min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K  </a:t>
                </a:r>
                <a:r>
                  <a:rPr lang="es-EC"/>
                  <a:t>Kg/ha-1</a:t>
                </a:r>
                <a:endParaRPr lang="en-US"/>
              </a:p>
            </c:rich>
          </c:tx>
          <c:layout>
            <c:manualLayout>
              <c:xMode val="edge"/>
              <c:yMode val="edge"/>
              <c:x val="2.7777845180754563E-2"/>
              <c:y val="0.16934568784962487"/>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665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potasio!$B$62</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og"/>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potasio!$A$63:$A$66</c:f>
              <c:numCache>
                <c:formatCode>General</c:formatCode>
                <c:ptCount val="4"/>
                <c:pt idx="0">
                  <c:v>0</c:v>
                </c:pt>
                <c:pt idx="1">
                  <c:v>20</c:v>
                </c:pt>
                <c:pt idx="2">
                  <c:v>30</c:v>
                </c:pt>
                <c:pt idx="3">
                  <c:v>60</c:v>
                </c:pt>
              </c:numCache>
            </c:numRef>
          </c:xVal>
          <c:yVal>
            <c:numRef>
              <c:f>potasio!$B$63:$B$66</c:f>
              <c:numCache>
                <c:formatCode>General</c:formatCode>
                <c:ptCount val="4"/>
                <c:pt idx="0">
                  <c:v>121.32</c:v>
                </c:pt>
                <c:pt idx="1">
                  <c:v>86.71</c:v>
                </c:pt>
                <c:pt idx="2">
                  <c:v>155.71</c:v>
                </c:pt>
                <c:pt idx="3">
                  <c:v>161.21</c:v>
                </c:pt>
              </c:numCache>
            </c:numRef>
          </c:yVal>
          <c:smooth val="0"/>
          <c:extLst>
            <c:ext xmlns:c16="http://schemas.microsoft.com/office/drawing/2014/chart" uri="{C3380CC4-5D6E-409C-BE32-E72D297353CC}">
              <c16:uniqueId val="{00000005-6F36-49B9-860D-606F76F543C3}"/>
            </c:ext>
          </c:extLst>
        </c:ser>
        <c:dLbls>
          <c:showLegendKey val="0"/>
          <c:showVal val="0"/>
          <c:showCatName val="0"/>
          <c:showSerName val="0"/>
          <c:showPercent val="0"/>
          <c:showBubbleSize val="0"/>
        </c:dLbls>
        <c:axId val="155708800"/>
        <c:axId val="155719168"/>
      </c:scatterChart>
      <c:valAx>
        <c:axId val="15570880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 kg/ha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719168"/>
        <c:crosses val="autoZero"/>
        <c:crossBetween val="midCat"/>
      </c:valAx>
      <c:valAx>
        <c:axId val="155719168"/>
        <c:scaling>
          <c:orientation val="minMax"/>
          <c:min val="5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K  </a:t>
                </a:r>
                <a:r>
                  <a:rPr lang="es-EC"/>
                  <a:t>Kg/ha-1</a:t>
                </a:r>
                <a:endParaRPr lang="en-US"/>
              </a:p>
            </c:rich>
          </c:tx>
          <c:layout>
            <c:manualLayout>
              <c:xMode val="edge"/>
              <c:yMode val="edge"/>
              <c:x val="1.5208647561588738E-2"/>
              <c:y val="0.1576881720430107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708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245764733953"/>
          <c:y val="0.18634913980426027"/>
          <c:w val="0.84087329992841808"/>
          <c:h val="0.63041597285483142"/>
        </c:manualLayout>
      </c:layout>
      <c:scatterChart>
        <c:scatterStyle val="lineMarker"/>
        <c:varyColors val="0"/>
        <c:ser>
          <c:idx val="0"/>
          <c:order val="0"/>
          <c:tx>
            <c:strRef>
              <c:f>Hoja6!$B$47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9.3871788753678521E-4"/>
                  <c:y val="-0.1071097873088052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Hoja6!$A$48:$A$51</c:f>
              <c:numCache>
                <c:formatCode>General</c:formatCode>
                <c:ptCount val="4"/>
                <c:pt idx="0">
                  <c:v>0</c:v>
                </c:pt>
                <c:pt idx="1">
                  <c:v>30</c:v>
                </c:pt>
                <c:pt idx="2">
                  <c:v>60</c:v>
                </c:pt>
                <c:pt idx="3">
                  <c:v>70</c:v>
                </c:pt>
              </c:numCache>
            </c:numRef>
          </c:xVal>
          <c:yVal>
            <c:numRef>
              <c:f>Hoja6!$B$48:$B$51</c:f>
              <c:numCache>
                <c:formatCode>General</c:formatCode>
                <c:ptCount val="4"/>
                <c:pt idx="0">
                  <c:v>5.4</c:v>
                </c:pt>
                <c:pt idx="1">
                  <c:v>4.3099999999999996</c:v>
                </c:pt>
                <c:pt idx="2">
                  <c:v>2.2200000000000002</c:v>
                </c:pt>
                <c:pt idx="3">
                  <c:v>10.18</c:v>
                </c:pt>
              </c:numCache>
            </c:numRef>
          </c:yVal>
          <c:smooth val="0"/>
          <c:extLst>
            <c:ext xmlns:c16="http://schemas.microsoft.com/office/drawing/2014/chart" uri="{C3380CC4-5D6E-409C-BE32-E72D297353CC}">
              <c16:uniqueId val="{00000005-44F8-48FE-A731-D9E74FCCB402}"/>
            </c:ext>
          </c:extLst>
        </c:ser>
        <c:dLbls>
          <c:showLegendKey val="0"/>
          <c:showVal val="0"/>
          <c:showCatName val="0"/>
          <c:showSerName val="0"/>
          <c:showPercent val="0"/>
          <c:showBubbleSize val="0"/>
        </c:dLbls>
        <c:axId val="153951616"/>
        <c:axId val="153966080"/>
      </c:scatterChart>
      <c:valAx>
        <c:axId val="15395161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Fósforo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3966080"/>
        <c:crosses val="autoZero"/>
        <c:crossBetween val="midCat"/>
      </c:valAx>
      <c:valAx>
        <c:axId val="153966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Adsorcion  de P  Kg/ha-1</a:t>
                </a:r>
                <a:endParaRPr lang="es-EC"/>
              </a:p>
              <a:p>
                <a:pPr>
                  <a:defRPr sz="900" b="1" i="0" u="none" strike="noStrike" kern="1200" baseline="0">
                    <a:solidFill>
                      <a:schemeClr val="tx2"/>
                    </a:solidFill>
                    <a:latin typeface="+mn-lt"/>
                    <a:ea typeface="+mn-ea"/>
                    <a:cs typeface="+mn-cs"/>
                  </a:defRPr>
                </a:pP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3951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Hoja1!$J$73</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236626017415693"/>
                  <c:y val="0.181288417628754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errBars>
            <c:errDir val="y"/>
            <c:errBarType val="both"/>
            <c:errValType val="cust"/>
            <c:noEndCap val="0"/>
            <c:plus>
              <c:numRef>
                <c:f>Hoja1!$L$62:$L$70</c:f>
                <c:numCache>
                  <c:formatCode>General</c:formatCode>
                  <c:ptCount val="9"/>
                  <c:pt idx="0">
                    <c:v>5</c:v>
                  </c:pt>
                  <c:pt idx="1">
                    <c:v>6</c:v>
                  </c:pt>
                  <c:pt idx="2">
                    <c:v>5</c:v>
                  </c:pt>
                  <c:pt idx="3">
                    <c:v>6</c:v>
                  </c:pt>
                  <c:pt idx="4">
                    <c:v>6</c:v>
                  </c:pt>
                  <c:pt idx="5">
                    <c:v>6</c:v>
                  </c:pt>
                  <c:pt idx="6">
                    <c:v>6</c:v>
                  </c:pt>
                  <c:pt idx="7">
                    <c:v>6</c:v>
                  </c:pt>
                  <c:pt idx="8">
                    <c:v>5</c:v>
                  </c:pt>
                </c:numCache>
              </c:numRef>
            </c:plus>
            <c:minus>
              <c:numRef>
                <c:f>Hoja1!$L$62:$L$70</c:f>
                <c:numCache>
                  <c:formatCode>General</c:formatCode>
                  <c:ptCount val="9"/>
                  <c:pt idx="0">
                    <c:v>5</c:v>
                  </c:pt>
                  <c:pt idx="1">
                    <c:v>6</c:v>
                  </c:pt>
                  <c:pt idx="2">
                    <c:v>5</c:v>
                  </c:pt>
                  <c:pt idx="3">
                    <c:v>6</c:v>
                  </c:pt>
                  <c:pt idx="4">
                    <c:v>6</c:v>
                  </c:pt>
                  <c:pt idx="5">
                    <c:v>6</c:v>
                  </c:pt>
                  <c:pt idx="6">
                    <c:v>6</c:v>
                  </c:pt>
                  <c:pt idx="7">
                    <c:v>6</c:v>
                  </c:pt>
                  <c:pt idx="8">
                    <c:v>5</c:v>
                  </c:pt>
                </c:numCache>
              </c:numRef>
            </c:minus>
            <c:spPr>
              <a:noFill/>
              <a:ln w="9525">
                <a:solidFill>
                  <a:schemeClr val="tx2">
                    <a:lumMod val="75000"/>
                  </a:schemeClr>
                </a:solidFill>
                <a:round/>
              </a:ln>
              <a:effectLst/>
            </c:spPr>
          </c:errBars>
          <c:xVal>
            <c:numRef>
              <c:f>Hoja1!$I$74:$I$79</c:f>
              <c:numCache>
                <c:formatCode>General</c:formatCode>
                <c:ptCount val="6"/>
                <c:pt idx="0">
                  <c:v>0</c:v>
                </c:pt>
                <c:pt idx="1">
                  <c:v>50</c:v>
                </c:pt>
                <c:pt idx="2">
                  <c:v>100</c:v>
                </c:pt>
                <c:pt idx="3">
                  <c:v>120</c:v>
                </c:pt>
                <c:pt idx="4">
                  <c:v>150</c:v>
                </c:pt>
                <c:pt idx="5">
                  <c:v>200</c:v>
                </c:pt>
              </c:numCache>
            </c:numRef>
          </c:xVal>
          <c:yVal>
            <c:numRef>
              <c:f>Hoja1!$J$74:$J$79</c:f>
              <c:numCache>
                <c:formatCode>General</c:formatCode>
                <c:ptCount val="6"/>
                <c:pt idx="0">
                  <c:v>19.62</c:v>
                </c:pt>
                <c:pt idx="1">
                  <c:v>13.09</c:v>
                </c:pt>
                <c:pt idx="2">
                  <c:v>11.79</c:v>
                </c:pt>
                <c:pt idx="3">
                  <c:v>30.83</c:v>
                </c:pt>
                <c:pt idx="4">
                  <c:v>12.3</c:v>
                </c:pt>
                <c:pt idx="5">
                  <c:v>13.05</c:v>
                </c:pt>
              </c:numCache>
            </c:numRef>
          </c:yVal>
          <c:smooth val="0"/>
          <c:extLst>
            <c:ext xmlns:c16="http://schemas.microsoft.com/office/drawing/2014/chart" uri="{C3380CC4-5D6E-409C-BE32-E72D297353CC}">
              <c16:uniqueId val="{00000003-611C-42E9-BDF2-D755BFE99C58}"/>
            </c:ext>
          </c:extLst>
        </c:ser>
        <c:dLbls>
          <c:showLegendKey val="0"/>
          <c:showVal val="0"/>
          <c:showCatName val="0"/>
          <c:showSerName val="0"/>
          <c:showPercent val="0"/>
          <c:showBubbleSize val="0"/>
        </c:dLbls>
        <c:axId val="155767168"/>
        <c:axId val="155769088"/>
      </c:scatterChart>
      <c:valAx>
        <c:axId val="1557671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769088"/>
        <c:crosses val="autoZero"/>
        <c:crossBetween val="midCat"/>
      </c:valAx>
      <c:valAx>
        <c:axId val="1557690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S  </a:t>
                </a:r>
                <a:r>
                  <a:rPr lang="es-EC"/>
                  <a:t>Kg/ha-1</a:t>
                </a: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767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Hoja1!$C$88</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5355855747389374"/>
                  <c:y val="0.28741241166230502"/>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errBars>
            <c:errDir val="y"/>
            <c:errBarType val="both"/>
            <c:errValType val="cust"/>
            <c:noEndCap val="0"/>
            <c:plus>
              <c:numRef>
                <c:f>Hoja1!$L$62:$L$70</c:f>
                <c:numCache>
                  <c:formatCode>General</c:formatCode>
                  <c:ptCount val="9"/>
                  <c:pt idx="0">
                    <c:v>5</c:v>
                  </c:pt>
                  <c:pt idx="1">
                    <c:v>6</c:v>
                  </c:pt>
                  <c:pt idx="2">
                    <c:v>5</c:v>
                  </c:pt>
                  <c:pt idx="3">
                    <c:v>6</c:v>
                  </c:pt>
                  <c:pt idx="4">
                    <c:v>6</c:v>
                  </c:pt>
                  <c:pt idx="5">
                    <c:v>6</c:v>
                  </c:pt>
                  <c:pt idx="6">
                    <c:v>6</c:v>
                  </c:pt>
                  <c:pt idx="7">
                    <c:v>6</c:v>
                  </c:pt>
                  <c:pt idx="8">
                    <c:v>5</c:v>
                  </c:pt>
                </c:numCache>
              </c:numRef>
            </c:plus>
            <c:minus>
              <c:numRef>
                <c:f>Hoja1!$L$62:$L$70</c:f>
                <c:numCache>
                  <c:formatCode>General</c:formatCode>
                  <c:ptCount val="9"/>
                  <c:pt idx="0">
                    <c:v>5</c:v>
                  </c:pt>
                  <c:pt idx="1">
                    <c:v>6</c:v>
                  </c:pt>
                  <c:pt idx="2">
                    <c:v>5</c:v>
                  </c:pt>
                  <c:pt idx="3">
                    <c:v>6</c:v>
                  </c:pt>
                  <c:pt idx="4">
                    <c:v>6</c:v>
                  </c:pt>
                  <c:pt idx="5">
                    <c:v>6</c:v>
                  </c:pt>
                  <c:pt idx="6">
                    <c:v>6</c:v>
                  </c:pt>
                  <c:pt idx="7">
                    <c:v>6</c:v>
                  </c:pt>
                  <c:pt idx="8">
                    <c:v>5</c:v>
                  </c:pt>
                </c:numCache>
              </c:numRef>
            </c:minus>
            <c:spPr>
              <a:noFill/>
              <a:ln w="9525">
                <a:solidFill>
                  <a:schemeClr val="tx2">
                    <a:lumMod val="75000"/>
                  </a:schemeClr>
                </a:solidFill>
                <a:round/>
              </a:ln>
              <a:effectLst/>
            </c:spPr>
          </c:errBars>
          <c:xVal>
            <c:numRef>
              <c:f>Hoja1!$B$89:$B$94</c:f>
              <c:numCache>
                <c:formatCode>General</c:formatCode>
                <c:ptCount val="6"/>
                <c:pt idx="0">
                  <c:v>0</c:v>
                </c:pt>
                <c:pt idx="1">
                  <c:v>50</c:v>
                </c:pt>
                <c:pt idx="2">
                  <c:v>100</c:v>
                </c:pt>
                <c:pt idx="3">
                  <c:v>120</c:v>
                </c:pt>
                <c:pt idx="4">
                  <c:v>150</c:v>
                </c:pt>
                <c:pt idx="5">
                  <c:v>200</c:v>
                </c:pt>
              </c:numCache>
            </c:numRef>
          </c:xVal>
          <c:yVal>
            <c:numRef>
              <c:f>Hoja1!$C$89:$C$94</c:f>
              <c:numCache>
                <c:formatCode>General</c:formatCode>
                <c:ptCount val="6"/>
                <c:pt idx="0">
                  <c:v>22.13</c:v>
                </c:pt>
                <c:pt idx="1">
                  <c:v>25</c:v>
                </c:pt>
                <c:pt idx="2">
                  <c:v>23.27</c:v>
                </c:pt>
                <c:pt idx="3">
                  <c:v>28.61</c:v>
                </c:pt>
                <c:pt idx="4">
                  <c:v>25.38</c:v>
                </c:pt>
                <c:pt idx="5">
                  <c:v>28.12</c:v>
                </c:pt>
              </c:numCache>
            </c:numRef>
          </c:yVal>
          <c:smooth val="0"/>
          <c:extLst>
            <c:ext xmlns:c16="http://schemas.microsoft.com/office/drawing/2014/chart" uri="{C3380CC4-5D6E-409C-BE32-E72D297353CC}">
              <c16:uniqueId val="{00000003-6D47-4E81-A624-7EAD9C7B0E06}"/>
            </c:ext>
          </c:extLst>
        </c:ser>
        <c:dLbls>
          <c:showLegendKey val="0"/>
          <c:showVal val="0"/>
          <c:showCatName val="0"/>
          <c:showSerName val="0"/>
          <c:showPercent val="0"/>
          <c:showBubbleSize val="0"/>
        </c:dLbls>
        <c:axId val="155821184"/>
        <c:axId val="155823104"/>
      </c:scatterChart>
      <c:valAx>
        <c:axId val="15582118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s-EC"/>
          </a:p>
        </c:txPr>
        <c:crossAx val="155823104"/>
        <c:crosses val="autoZero"/>
        <c:crossBetween val="midCat"/>
      </c:valAx>
      <c:valAx>
        <c:axId val="1558231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en-US"/>
                  <a:t>Absorción de Mg  </a:t>
                </a:r>
                <a:r>
                  <a:rPr lang="es-EC"/>
                  <a:t>Kg/ha-1</a:t>
                </a: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s-EC"/>
          </a:p>
        </c:txPr>
        <c:crossAx val="155821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b="0"/>
      </a:pPr>
      <a:endParaRPr lang="es-EC"/>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magnesio!$B$50</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7872275567748819"/>
                  <c:y val="0.2476575857974374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0.11239560963970413"/>
                  <c:y val="-0.384767997750281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magnesio!$A$51:$A$56</c:f>
              <c:numCache>
                <c:formatCode>General</c:formatCode>
                <c:ptCount val="6"/>
                <c:pt idx="0">
                  <c:v>0</c:v>
                </c:pt>
                <c:pt idx="1">
                  <c:v>30</c:v>
                </c:pt>
                <c:pt idx="2">
                  <c:v>40</c:v>
                </c:pt>
                <c:pt idx="3">
                  <c:v>46</c:v>
                </c:pt>
                <c:pt idx="4">
                  <c:v>50</c:v>
                </c:pt>
                <c:pt idx="5">
                  <c:v>60</c:v>
                </c:pt>
              </c:numCache>
            </c:numRef>
          </c:xVal>
          <c:yVal>
            <c:numRef>
              <c:f>magnesio!$B$51:$B$56</c:f>
              <c:numCache>
                <c:formatCode>General</c:formatCode>
                <c:ptCount val="6"/>
                <c:pt idx="0">
                  <c:v>24.78</c:v>
                </c:pt>
                <c:pt idx="1">
                  <c:v>40.270000000000003</c:v>
                </c:pt>
                <c:pt idx="2">
                  <c:v>28.81</c:v>
                </c:pt>
                <c:pt idx="3">
                  <c:v>37.58</c:v>
                </c:pt>
                <c:pt idx="4">
                  <c:v>18.46</c:v>
                </c:pt>
                <c:pt idx="5">
                  <c:v>25.46</c:v>
                </c:pt>
              </c:numCache>
            </c:numRef>
          </c:yVal>
          <c:smooth val="0"/>
          <c:extLst>
            <c:ext xmlns:c16="http://schemas.microsoft.com/office/drawing/2014/chart" uri="{C3380CC4-5D6E-409C-BE32-E72D297353CC}">
              <c16:uniqueId val="{00000005-F205-4610-BE46-FFB1847C65F0}"/>
            </c:ext>
          </c:extLst>
        </c:ser>
        <c:dLbls>
          <c:showLegendKey val="0"/>
          <c:showVal val="0"/>
          <c:showCatName val="0"/>
          <c:showSerName val="0"/>
          <c:showPercent val="0"/>
          <c:showBubbleSize val="0"/>
        </c:dLbls>
        <c:axId val="155946368"/>
        <c:axId val="155960832"/>
      </c:scatterChart>
      <c:valAx>
        <c:axId val="1559463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Fósforo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960832"/>
        <c:crosses val="autoZero"/>
        <c:crossBetween val="midCat"/>
      </c:valAx>
      <c:valAx>
        <c:axId val="155960832"/>
        <c:scaling>
          <c:orientation val="minMax"/>
          <c:min val="1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Mg  </a:t>
                </a:r>
                <a:r>
                  <a:rPr lang="es-EC"/>
                  <a:t>Kg/ha-1</a:t>
                </a:r>
                <a:endParaRPr lang="en-US"/>
              </a:p>
            </c:rich>
          </c:tx>
          <c:layout>
            <c:manualLayout>
              <c:xMode val="edge"/>
              <c:yMode val="edge"/>
              <c:x val="2.2178624648402711E-2"/>
              <c:y val="0.12041792359446787"/>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946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magnesio!$B$62</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0762666030382566"/>
                  <c:y val="0.169390908496827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magnesio!$A$63:$A$66</c:f>
              <c:numCache>
                <c:formatCode>General</c:formatCode>
                <c:ptCount val="4"/>
                <c:pt idx="0">
                  <c:v>0</c:v>
                </c:pt>
                <c:pt idx="1">
                  <c:v>20</c:v>
                </c:pt>
                <c:pt idx="2">
                  <c:v>30</c:v>
                </c:pt>
                <c:pt idx="3">
                  <c:v>60</c:v>
                </c:pt>
              </c:numCache>
            </c:numRef>
          </c:xVal>
          <c:yVal>
            <c:numRef>
              <c:f>magnesio!$B$63:$B$66</c:f>
              <c:numCache>
                <c:formatCode>General</c:formatCode>
                <c:ptCount val="4"/>
                <c:pt idx="0">
                  <c:v>24.31</c:v>
                </c:pt>
                <c:pt idx="1">
                  <c:v>13.15</c:v>
                </c:pt>
                <c:pt idx="2">
                  <c:v>26.78</c:v>
                </c:pt>
                <c:pt idx="3">
                  <c:v>27.67</c:v>
                </c:pt>
              </c:numCache>
            </c:numRef>
          </c:yVal>
          <c:smooth val="0"/>
          <c:extLst>
            <c:ext xmlns:c16="http://schemas.microsoft.com/office/drawing/2014/chart" uri="{C3380CC4-5D6E-409C-BE32-E72D297353CC}">
              <c16:uniqueId val="{00000005-0D41-4941-9D75-04D7CB212EA0}"/>
            </c:ext>
          </c:extLst>
        </c:ser>
        <c:dLbls>
          <c:showLegendKey val="0"/>
          <c:showVal val="0"/>
          <c:showCatName val="0"/>
          <c:showSerName val="0"/>
          <c:showPercent val="0"/>
          <c:showBubbleSize val="0"/>
        </c:dLbls>
        <c:axId val="154572672"/>
        <c:axId val="154583040"/>
      </c:scatterChart>
      <c:valAx>
        <c:axId val="15457267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583040"/>
        <c:crosses val="autoZero"/>
        <c:crossBetween val="midCat"/>
      </c:valAx>
      <c:valAx>
        <c:axId val="1545830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Mg  </a:t>
                </a:r>
                <a:r>
                  <a:rPr lang="es-EC"/>
                  <a:t>Kg/ha-1</a:t>
                </a:r>
                <a:endParaRPr lang="en-US"/>
              </a:p>
            </c:rich>
          </c:tx>
          <c:layout>
            <c:manualLayout>
              <c:xMode val="edge"/>
              <c:yMode val="edge"/>
              <c:x val="2.5031650667447981E-2"/>
              <c:y val="0.11413634666998455"/>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572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RENDIMIENTO!$B$35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2534856438399747"/>
                  <c:y val="0.3004306604531576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0.24942327741567105"/>
                  <c:y val="-5.057340036656666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RENDIMIENTO!$A$36:$A$45</c:f>
              <c:numCache>
                <c:formatCode>General</c:formatCode>
                <c:ptCount val="10"/>
                <c:pt idx="0">
                  <c:v>0</c:v>
                </c:pt>
                <c:pt idx="1">
                  <c:v>21</c:v>
                </c:pt>
                <c:pt idx="2">
                  <c:v>27</c:v>
                </c:pt>
                <c:pt idx="3">
                  <c:v>50</c:v>
                </c:pt>
                <c:pt idx="4">
                  <c:v>60</c:v>
                </c:pt>
                <c:pt idx="5">
                  <c:v>100</c:v>
                </c:pt>
                <c:pt idx="6">
                  <c:v>120</c:v>
                </c:pt>
                <c:pt idx="7">
                  <c:v>140</c:v>
                </c:pt>
                <c:pt idx="8">
                  <c:v>150</c:v>
                </c:pt>
                <c:pt idx="9">
                  <c:v>200</c:v>
                </c:pt>
              </c:numCache>
            </c:numRef>
          </c:xVal>
          <c:yVal>
            <c:numRef>
              <c:f>RENDIMIENTO!$B$36:$B$45</c:f>
              <c:numCache>
                <c:formatCode>General</c:formatCode>
                <c:ptCount val="10"/>
                <c:pt idx="0">
                  <c:v>3.46</c:v>
                </c:pt>
                <c:pt idx="1">
                  <c:v>3.05</c:v>
                </c:pt>
                <c:pt idx="2">
                  <c:v>3.66</c:v>
                </c:pt>
                <c:pt idx="3">
                  <c:v>4.74</c:v>
                </c:pt>
                <c:pt idx="4">
                  <c:v>4.37</c:v>
                </c:pt>
                <c:pt idx="5">
                  <c:v>5.23</c:v>
                </c:pt>
                <c:pt idx="6">
                  <c:v>4.82</c:v>
                </c:pt>
                <c:pt idx="7">
                  <c:v>4.4400000000000004</c:v>
                </c:pt>
                <c:pt idx="8">
                  <c:v>5.94</c:v>
                </c:pt>
                <c:pt idx="9">
                  <c:v>5.82</c:v>
                </c:pt>
              </c:numCache>
            </c:numRef>
          </c:yVal>
          <c:smooth val="0"/>
          <c:extLst>
            <c:ext xmlns:c16="http://schemas.microsoft.com/office/drawing/2014/chart" uri="{C3380CC4-5D6E-409C-BE32-E72D297353CC}">
              <c16:uniqueId val="{00000005-3AF2-4808-B429-51A015F74F9C}"/>
            </c:ext>
          </c:extLst>
        </c:ser>
        <c:dLbls>
          <c:showLegendKey val="0"/>
          <c:showVal val="0"/>
          <c:showCatName val="0"/>
          <c:showSerName val="0"/>
          <c:showPercent val="0"/>
          <c:showBubbleSize val="0"/>
        </c:dLbls>
        <c:axId val="156074368"/>
        <c:axId val="156076288"/>
      </c:scatterChart>
      <c:valAx>
        <c:axId val="1560743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 kg/ha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076288"/>
        <c:crosses val="autoZero"/>
        <c:crossBetween val="midCat"/>
      </c:valAx>
      <c:valAx>
        <c:axId val="156076288"/>
        <c:scaling>
          <c:orientation val="minMax"/>
          <c:min val="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Rendimiento  </a:t>
                </a:r>
                <a:r>
                  <a:rPr lang="es-EC"/>
                  <a:t>t/ha</a:t>
                </a:r>
                <a:endParaRPr lang="en-US"/>
              </a:p>
            </c:rich>
          </c:tx>
          <c:layout>
            <c:manualLayout>
              <c:xMode val="edge"/>
              <c:yMode val="edge"/>
              <c:x val="1.4327849234044128E-2"/>
              <c:y val="0.22282741831184144"/>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074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Hoja1!$C$98</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236626017415693"/>
                  <c:y val="0.181288417628754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errBars>
            <c:errDir val="y"/>
            <c:errBarType val="both"/>
            <c:errValType val="cust"/>
            <c:noEndCap val="0"/>
            <c:plus>
              <c:numRef>
                <c:f>Hoja1!$L$62:$L$70</c:f>
                <c:numCache>
                  <c:formatCode>General</c:formatCode>
                  <c:ptCount val="9"/>
                  <c:pt idx="0">
                    <c:v>5</c:v>
                  </c:pt>
                  <c:pt idx="1">
                    <c:v>6</c:v>
                  </c:pt>
                  <c:pt idx="2">
                    <c:v>5</c:v>
                  </c:pt>
                  <c:pt idx="3">
                    <c:v>6</c:v>
                  </c:pt>
                  <c:pt idx="4">
                    <c:v>6</c:v>
                  </c:pt>
                  <c:pt idx="5">
                    <c:v>6</c:v>
                  </c:pt>
                  <c:pt idx="6">
                    <c:v>6</c:v>
                  </c:pt>
                  <c:pt idx="7">
                    <c:v>6</c:v>
                  </c:pt>
                  <c:pt idx="8">
                    <c:v>5</c:v>
                  </c:pt>
                </c:numCache>
              </c:numRef>
            </c:plus>
            <c:minus>
              <c:numRef>
                <c:f>Hoja1!$L$62:$L$70</c:f>
                <c:numCache>
                  <c:formatCode>General</c:formatCode>
                  <c:ptCount val="9"/>
                  <c:pt idx="0">
                    <c:v>5</c:v>
                  </c:pt>
                  <c:pt idx="1">
                    <c:v>6</c:v>
                  </c:pt>
                  <c:pt idx="2">
                    <c:v>5</c:v>
                  </c:pt>
                  <c:pt idx="3">
                    <c:v>6</c:v>
                  </c:pt>
                  <c:pt idx="4">
                    <c:v>6</c:v>
                  </c:pt>
                  <c:pt idx="5">
                    <c:v>6</c:v>
                  </c:pt>
                  <c:pt idx="6">
                    <c:v>6</c:v>
                  </c:pt>
                  <c:pt idx="7">
                    <c:v>6</c:v>
                  </c:pt>
                  <c:pt idx="8">
                    <c:v>5</c:v>
                  </c:pt>
                </c:numCache>
              </c:numRef>
            </c:minus>
            <c:spPr>
              <a:noFill/>
              <a:ln w="9525">
                <a:solidFill>
                  <a:schemeClr val="tx2">
                    <a:lumMod val="75000"/>
                  </a:schemeClr>
                </a:solidFill>
                <a:round/>
              </a:ln>
              <a:effectLst/>
            </c:spPr>
          </c:errBars>
          <c:xVal>
            <c:numRef>
              <c:f>Hoja1!$B$99:$B$107</c:f>
              <c:numCache>
                <c:formatCode>General</c:formatCode>
                <c:ptCount val="9"/>
                <c:pt idx="0">
                  <c:v>0</c:v>
                </c:pt>
                <c:pt idx="1">
                  <c:v>21</c:v>
                </c:pt>
                <c:pt idx="2">
                  <c:v>27</c:v>
                </c:pt>
                <c:pt idx="3">
                  <c:v>50</c:v>
                </c:pt>
                <c:pt idx="4">
                  <c:v>100</c:v>
                </c:pt>
                <c:pt idx="5">
                  <c:v>120</c:v>
                </c:pt>
                <c:pt idx="6">
                  <c:v>140</c:v>
                </c:pt>
                <c:pt idx="7">
                  <c:v>150</c:v>
                </c:pt>
                <c:pt idx="8">
                  <c:v>200</c:v>
                </c:pt>
              </c:numCache>
            </c:numRef>
          </c:xVal>
          <c:yVal>
            <c:numRef>
              <c:f>Hoja1!$C$99:$C$107</c:f>
              <c:numCache>
                <c:formatCode>General</c:formatCode>
                <c:ptCount val="9"/>
                <c:pt idx="0">
                  <c:v>100.67</c:v>
                </c:pt>
                <c:pt idx="1">
                  <c:v>85.24</c:v>
                </c:pt>
                <c:pt idx="2">
                  <c:v>94.87</c:v>
                </c:pt>
                <c:pt idx="3">
                  <c:v>112.44</c:v>
                </c:pt>
                <c:pt idx="4">
                  <c:v>127.23</c:v>
                </c:pt>
                <c:pt idx="5">
                  <c:v>156.66999999999999</c:v>
                </c:pt>
                <c:pt idx="6">
                  <c:v>121.29</c:v>
                </c:pt>
                <c:pt idx="7">
                  <c:v>146.41</c:v>
                </c:pt>
                <c:pt idx="8">
                  <c:v>130.53</c:v>
                </c:pt>
              </c:numCache>
            </c:numRef>
          </c:yVal>
          <c:smooth val="0"/>
          <c:extLst>
            <c:ext xmlns:c16="http://schemas.microsoft.com/office/drawing/2014/chart" uri="{C3380CC4-5D6E-409C-BE32-E72D297353CC}">
              <c16:uniqueId val="{00000003-ACEA-42D4-8F27-42175CFE9208}"/>
            </c:ext>
          </c:extLst>
        </c:ser>
        <c:dLbls>
          <c:showLegendKey val="0"/>
          <c:showVal val="0"/>
          <c:showCatName val="0"/>
          <c:showSerName val="0"/>
          <c:showPercent val="0"/>
          <c:showBubbleSize val="0"/>
        </c:dLbls>
        <c:axId val="155411584"/>
        <c:axId val="155413504"/>
      </c:scatterChart>
      <c:valAx>
        <c:axId val="15541158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413504"/>
        <c:crosses val="autoZero"/>
        <c:crossBetween val="midCat"/>
      </c:valAx>
      <c:valAx>
        <c:axId val="1554135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N  </a:t>
                </a:r>
                <a:r>
                  <a:rPr lang="es-EC"/>
                  <a:t>Kg/ha-1</a:t>
                </a: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41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Hoja2!$B$51</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7.0015708263739762E-2"/>
                  <c:y val="0.2572099916081918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25243736578382248"/>
                  <c:y val="-0.2127320022497187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Hoja2!$A$52:$A$59</c:f>
              <c:numCache>
                <c:formatCode>General</c:formatCode>
                <c:ptCount val="8"/>
                <c:pt idx="0">
                  <c:v>0</c:v>
                </c:pt>
                <c:pt idx="1">
                  <c:v>15</c:v>
                </c:pt>
                <c:pt idx="2">
                  <c:v>30</c:v>
                </c:pt>
                <c:pt idx="3">
                  <c:v>40</c:v>
                </c:pt>
                <c:pt idx="4">
                  <c:v>46</c:v>
                </c:pt>
                <c:pt idx="5">
                  <c:v>50</c:v>
                </c:pt>
                <c:pt idx="6">
                  <c:v>60</c:v>
                </c:pt>
                <c:pt idx="7">
                  <c:v>70</c:v>
                </c:pt>
              </c:numCache>
            </c:numRef>
          </c:xVal>
          <c:yVal>
            <c:numRef>
              <c:f>Hoja2!$B$52:$B$59</c:f>
              <c:numCache>
                <c:formatCode>General</c:formatCode>
                <c:ptCount val="8"/>
                <c:pt idx="0">
                  <c:v>129.71</c:v>
                </c:pt>
                <c:pt idx="1">
                  <c:v>85.24</c:v>
                </c:pt>
                <c:pt idx="2">
                  <c:v>135.66</c:v>
                </c:pt>
                <c:pt idx="3">
                  <c:v>154.29</c:v>
                </c:pt>
                <c:pt idx="4">
                  <c:v>164.51</c:v>
                </c:pt>
                <c:pt idx="5">
                  <c:v>85.97</c:v>
                </c:pt>
                <c:pt idx="6">
                  <c:v>134.38</c:v>
                </c:pt>
                <c:pt idx="7">
                  <c:v>108.65</c:v>
                </c:pt>
              </c:numCache>
            </c:numRef>
          </c:yVal>
          <c:smooth val="0"/>
          <c:extLst>
            <c:ext xmlns:c16="http://schemas.microsoft.com/office/drawing/2014/chart" uri="{C3380CC4-5D6E-409C-BE32-E72D297353CC}">
              <c16:uniqueId val="{00000005-1C84-4A94-9DF0-7B717687E4CA}"/>
            </c:ext>
          </c:extLst>
        </c:ser>
        <c:dLbls>
          <c:showLegendKey val="0"/>
          <c:showVal val="0"/>
          <c:showCatName val="0"/>
          <c:showSerName val="0"/>
          <c:showPercent val="0"/>
          <c:showBubbleSize val="0"/>
        </c:dLbls>
        <c:axId val="156196224"/>
        <c:axId val="156202496"/>
      </c:scatterChart>
      <c:valAx>
        <c:axId val="15619622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Fósforo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202496"/>
        <c:crosses val="autoZero"/>
        <c:crossBetween val="midCat"/>
      </c:valAx>
      <c:valAx>
        <c:axId val="1562024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N   </a:t>
                </a:r>
                <a:r>
                  <a:rPr lang="es-EC"/>
                  <a:t>Kg/ha-1</a:t>
                </a:r>
                <a:endParaRPr lang="en-US"/>
              </a:p>
            </c:rich>
          </c:tx>
          <c:layout>
            <c:manualLayout>
              <c:xMode val="edge"/>
              <c:yMode val="edge"/>
              <c:x val="1.8854543836392849E-2"/>
              <c:y val="0.1428641853586394"/>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196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Hoja2!$B$65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8.1987791298814922E-2"/>
                  <c:y val="0.2386601674790651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3.1085244779185213E-4"/>
                  <c:y val="-9.522118826055833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Hoja2!$A$66:$A$73</c:f>
              <c:numCache>
                <c:formatCode>General</c:formatCode>
                <c:ptCount val="8"/>
                <c:pt idx="0">
                  <c:v>0</c:v>
                </c:pt>
                <c:pt idx="1">
                  <c:v>5</c:v>
                </c:pt>
                <c:pt idx="2">
                  <c:v>10</c:v>
                </c:pt>
                <c:pt idx="3">
                  <c:v>20</c:v>
                </c:pt>
                <c:pt idx="4">
                  <c:v>30</c:v>
                </c:pt>
                <c:pt idx="5">
                  <c:v>40</c:v>
                </c:pt>
                <c:pt idx="6">
                  <c:v>50</c:v>
                </c:pt>
                <c:pt idx="7">
                  <c:v>60</c:v>
                </c:pt>
              </c:numCache>
            </c:numRef>
          </c:xVal>
          <c:yVal>
            <c:numRef>
              <c:f>Hoja2!$B$66:$B$73</c:f>
              <c:numCache>
                <c:formatCode>General</c:formatCode>
                <c:ptCount val="8"/>
                <c:pt idx="0">
                  <c:v>127.07</c:v>
                </c:pt>
                <c:pt idx="1">
                  <c:v>85.24</c:v>
                </c:pt>
                <c:pt idx="2">
                  <c:v>104.27</c:v>
                </c:pt>
                <c:pt idx="3">
                  <c:v>91.93</c:v>
                </c:pt>
                <c:pt idx="4">
                  <c:v>147.36000000000001</c:v>
                </c:pt>
                <c:pt idx="5">
                  <c:v>113.03</c:v>
                </c:pt>
                <c:pt idx="6">
                  <c:v>92.18</c:v>
                </c:pt>
                <c:pt idx="7">
                  <c:v>148.16999999999999</c:v>
                </c:pt>
              </c:numCache>
            </c:numRef>
          </c:yVal>
          <c:smooth val="0"/>
          <c:extLst>
            <c:ext xmlns:c16="http://schemas.microsoft.com/office/drawing/2014/chart" uri="{C3380CC4-5D6E-409C-BE32-E72D297353CC}">
              <c16:uniqueId val="{00000005-7340-42DF-8B7E-2C0A29D42FAA}"/>
            </c:ext>
          </c:extLst>
        </c:ser>
        <c:dLbls>
          <c:showLegendKey val="0"/>
          <c:showVal val="0"/>
          <c:showCatName val="0"/>
          <c:showSerName val="0"/>
          <c:showPercent val="0"/>
          <c:showBubbleSize val="0"/>
        </c:dLbls>
        <c:axId val="156317568"/>
        <c:axId val="156327936"/>
      </c:scatterChart>
      <c:valAx>
        <c:axId val="1563175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327936"/>
        <c:crosses val="autoZero"/>
        <c:crossBetween val="midCat"/>
      </c:valAx>
      <c:valAx>
        <c:axId val="1563279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N   </a:t>
                </a:r>
                <a:r>
                  <a:rPr lang="es-EC"/>
                  <a:t>Kg/ha-1</a:t>
                </a:r>
                <a:endParaRPr lang="en-US"/>
              </a:p>
            </c:rich>
          </c:tx>
          <c:layout>
            <c:manualLayout>
              <c:xMode val="edge"/>
              <c:yMode val="edge"/>
              <c:x val="1.9811742862997146E-2"/>
              <c:y val="0.15242291078547468"/>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3175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2314892202722"/>
          <c:y val="6.5497076023391818E-2"/>
          <c:w val="0.84090832221391321"/>
          <c:h val="0.74651084403923196"/>
        </c:manualLayout>
      </c:layout>
      <c:scatterChart>
        <c:scatterStyle val="lineMarker"/>
        <c:varyColors val="0"/>
        <c:ser>
          <c:idx val="0"/>
          <c:order val="0"/>
          <c:tx>
            <c:strRef>
              <c:f>Hoja2!$B$79</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4941483877015374"/>
                  <c:y val="-0.184387974230493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Hoja2!$A$80:$A$84</c:f>
              <c:numCache>
                <c:formatCode>General</c:formatCode>
                <c:ptCount val="5"/>
                <c:pt idx="0">
                  <c:v>0</c:v>
                </c:pt>
                <c:pt idx="1">
                  <c:v>16</c:v>
                </c:pt>
                <c:pt idx="2">
                  <c:v>20</c:v>
                </c:pt>
                <c:pt idx="3">
                  <c:v>30</c:v>
                </c:pt>
                <c:pt idx="4">
                  <c:v>40</c:v>
                </c:pt>
              </c:numCache>
            </c:numRef>
          </c:xVal>
          <c:yVal>
            <c:numRef>
              <c:f>Hoja2!$B$80:$B$84</c:f>
              <c:numCache>
                <c:formatCode>General</c:formatCode>
                <c:ptCount val="5"/>
                <c:pt idx="0">
                  <c:v>126.72</c:v>
                </c:pt>
                <c:pt idx="1">
                  <c:v>64.319999999999993</c:v>
                </c:pt>
                <c:pt idx="2">
                  <c:v>120.58</c:v>
                </c:pt>
                <c:pt idx="3">
                  <c:v>159.18</c:v>
                </c:pt>
                <c:pt idx="4">
                  <c:v>101.32</c:v>
                </c:pt>
              </c:numCache>
            </c:numRef>
          </c:yVal>
          <c:smooth val="0"/>
          <c:extLst>
            <c:ext xmlns:c16="http://schemas.microsoft.com/office/drawing/2014/chart" uri="{C3380CC4-5D6E-409C-BE32-E72D297353CC}">
              <c16:uniqueId val="{00000005-FC0D-440B-B052-E6F476381F77}"/>
            </c:ext>
          </c:extLst>
        </c:ser>
        <c:dLbls>
          <c:showLegendKey val="0"/>
          <c:showVal val="0"/>
          <c:showCatName val="0"/>
          <c:showSerName val="0"/>
          <c:showPercent val="0"/>
          <c:showBubbleSize val="0"/>
        </c:dLbls>
        <c:axId val="155984256"/>
        <c:axId val="155986176"/>
      </c:scatterChart>
      <c:valAx>
        <c:axId val="15598425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Azufre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986176"/>
        <c:crosses val="autoZero"/>
        <c:crossBetween val="midCat"/>
      </c:valAx>
      <c:valAx>
        <c:axId val="1559861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N   </a:t>
                </a:r>
                <a:r>
                  <a:rPr lang="es-EC"/>
                  <a:t>Kg/ha-1</a:t>
                </a:r>
                <a:endParaRPr lang="en-US"/>
              </a:p>
            </c:rich>
          </c:tx>
          <c:layout>
            <c:manualLayout>
              <c:xMode val="edge"/>
              <c:yMode val="edge"/>
              <c:x val="2.4717855800460684E-2"/>
              <c:y val="0.12054398148148149"/>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5984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Hoja2!$B$90</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0357870038972401"/>
                  <c:y val="0.1982255789454889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2072730039179885"/>
                  <c:y val="-9.68991671316676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Hoja2!$A$91:$A$95</c:f>
              <c:numCache>
                <c:formatCode>General</c:formatCode>
                <c:ptCount val="5"/>
                <c:pt idx="0">
                  <c:v>0</c:v>
                </c:pt>
                <c:pt idx="1">
                  <c:v>10</c:v>
                </c:pt>
                <c:pt idx="2">
                  <c:v>15</c:v>
                </c:pt>
                <c:pt idx="3">
                  <c:v>20</c:v>
                </c:pt>
                <c:pt idx="4">
                  <c:v>30</c:v>
                </c:pt>
              </c:numCache>
            </c:numRef>
          </c:xVal>
          <c:yVal>
            <c:numRef>
              <c:f>Hoja2!$B$91:$B$95</c:f>
              <c:numCache>
                <c:formatCode>General</c:formatCode>
                <c:ptCount val="5"/>
                <c:pt idx="0">
                  <c:v>148.38999999999999</c:v>
                </c:pt>
                <c:pt idx="1">
                  <c:v>100.81</c:v>
                </c:pt>
                <c:pt idx="2">
                  <c:v>90.92</c:v>
                </c:pt>
                <c:pt idx="3">
                  <c:v>88.48</c:v>
                </c:pt>
                <c:pt idx="4">
                  <c:v>145.1</c:v>
                </c:pt>
              </c:numCache>
            </c:numRef>
          </c:yVal>
          <c:smooth val="0"/>
          <c:extLst>
            <c:ext xmlns:c16="http://schemas.microsoft.com/office/drawing/2014/chart" uri="{C3380CC4-5D6E-409C-BE32-E72D297353CC}">
              <c16:uniqueId val="{00000005-F601-47AA-A346-C6B5F3C2F672}"/>
            </c:ext>
          </c:extLst>
        </c:ser>
        <c:dLbls>
          <c:showLegendKey val="0"/>
          <c:showVal val="0"/>
          <c:showCatName val="0"/>
          <c:showSerName val="0"/>
          <c:showPercent val="0"/>
          <c:showBubbleSize val="0"/>
        </c:dLbls>
        <c:axId val="156027520"/>
        <c:axId val="156386048"/>
      </c:scatterChart>
      <c:valAx>
        <c:axId val="15602752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Magnesio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386048"/>
        <c:crosses val="autoZero"/>
        <c:crossBetween val="midCat"/>
      </c:valAx>
      <c:valAx>
        <c:axId val="1563860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N   </a:t>
                </a:r>
                <a:r>
                  <a:rPr lang="es-EC"/>
                  <a:t>Kg/ha-1</a:t>
                </a:r>
                <a:endParaRPr lang="en-US"/>
              </a:p>
            </c:rich>
          </c:tx>
          <c:layout>
            <c:manualLayout>
              <c:xMode val="edge"/>
              <c:yMode val="edge"/>
              <c:x val="1.8478308624317191E-2"/>
              <c:y val="0.15432552051115253"/>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0275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Rendimiento!$I$20</c:f>
              <c:strCache>
                <c:ptCount val="1"/>
                <c:pt idx="0">
                  <c:v>Medias</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0721268247072852E-3"/>
                  <c:y val="0.1919043972944451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rendlineLbl>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poly"/>
            <c:order val="2"/>
            <c:dispRSqr val="1"/>
            <c:dispEq val="1"/>
            <c:trendlineLbl>
              <c:layout>
                <c:manualLayout>
                  <c:x val="-0.28095029232086483"/>
                  <c:y val="-4.258199265910930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trendlineLbl>
          </c:trendline>
          <c:errBars>
            <c:errDir val="y"/>
            <c:errBarType val="both"/>
            <c:errValType val="stdErr"/>
            <c:noEndCap val="0"/>
            <c:spPr>
              <a:noFill/>
              <a:ln w="9525" cap="flat" cmpd="sng" algn="ctr">
                <a:solidFill>
                  <a:schemeClr val="tx1">
                    <a:lumMod val="65000"/>
                    <a:lumOff val="35000"/>
                  </a:schemeClr>
                </a:solidFill>
                <a:round/>
              </a:ln>
              <a:effectLst/>
            </c:spPr>
          </c:errBars>
          <c:xVal>
            <c:numRef>
              <c:f>Rendimiento!$H$21:$H$24</c:f>
              <c:numCache>
                <c:formatCode>General</c:formatCode>
                <c:ptCount val="4"/>
                <c:pt idx="0">
                  <c:v>0</c:v>
                </c:pt>
                <c:pt idx="1">
                  <c:v>50</c:v>
                </c:pt>
                <c:pt idx="2">
                  <c:v>120</c:v>
                </c:pt>
                <c:pt idx="3">
                  <c:v>140</c:v>
                </c:pt>
              </c:numCache>
            </c:numRef>
          </c:xVal>
          <c:yVal>
            <c:numRef>
              <c:f>Rendimiento!$I$21:$I$24</c:f>
              <c:numCache>
                <c:formatCode>General</c:formatCode>
                <c:ptCount val="4"/>
                <c:pt idx="0">
                  <c:v>2.04</c:v>
                </c:pt>
                <c:pt idx="1">
                  <c:v>3.74</c:v>
                </c:pt>
                <c:pt idx="2">
                  <c:v>3.97</c:v>
                </c:pt>
                <c:pt idx="3">
                  <c:v>4.4800000000000004</c:v>
                </c:pt>
              </c:numCache>
            </c:numRef>
          </c:yVal>
          <c:smooth val="0"/>
          <c:extLst>
            <c:ext xmlns:c16="http://schemas.microsoft.com/office/drawing/2014/chart" uri="{C3380CC4-5D6E-409C-BE32-E72D297353CC}">
              <c16:uniqueId val="{00000005-1D84-4572-B83F-8BBC0A9CDE07}"/>
            </c:ext>
          </c:extLst>
        </c:ser>
        <c:dLbls>
          <c:showLegendKey val="0"/>
          <c:showVal val="0"/>
          <c:showCatName val="0"/>
          <c:showSerName val="0"/>
          <c:showPercent val="0"/>
          <c:showBubbleSize val="0"/>
        </c:dLbls>
        <c:axId val="154027904"/>
        <c:axId val="154038272"/>
      </c:scatterChart>
      <c:valAx>
        <c:axId val="154027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54038272"/>
        <c:crosses val="autoZero"/>
        <c:crossBetween val="midCat"/>
      </c:valAx>
      <c:valAx>
        <c:axId val="15403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Absorción</a:t>
                </a:r>
                <a:r>
                  <a:rPr lang="en-US"/>
                  <a:t>  de N Kg/ha-1</a:t>
                </a:r>
                <a:endParaRPr lang="es-EC"/>
              </a:p>
              <a:p>
                <a:pPr>
                  <a:defRPr sz="1000" b="0" i="0" u="none" strike="noStrike" kern="1200" baseline="0">
                    <a:solidFill>
                      <a:schemeClr val="tx1">
                        <a:lumMod val="65000"/>
                        <a:lumOff val="35000"/>
                      </a:schemeClr>
                    </a:solidFill>
                    <a:latin typeface="+mn-lt"/>
                    <a:ea typeface="+mn-ea"/>
                    <a:cs typeface="+mn-cs"/>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54027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Hoja3!$B$65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8.1349902352253367E-2"/>
                  <c:y val="-0.1999918544664675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Hoja3!$A$66:$A$73</c:f>
              <c:numCache>
                <c:formatCode>General</c:formatCode>
                <c:ptCount val="8"/>
                <c:pt idx="0">
                  <c:v>0</c:v>
                </c:pt>
                <c:pt idx="1">
                  <c:v>5</c:v>
                </c:pt>
                <c:pt idx="2">
                  <c:v>10</c:v>
                </c:pt>
                <c:pt idx="3">
                  <c:v>20</c:v>
                </c:pt>
                <c:pt idx="4">
                  <c:v>30</c:v>
                </c:pt>
                <c:pt idx="5">
                  <c:v>40</c:v>
                </c:pt>
                <c:pt idx="6">
                  <c:v>50</c:v>
                </c:pt>
                <c:pt idx="7">
                  <c:v>60</c:v>
                </c:pt>
              </c:numCache>
            </c:numRef>
          </c:xVal>
          <c:yVal>
            <c:numRef>
              <c:f>Hoja3!$B$66:$B$73</c:f>
              <c:numCache>
                <c:formatCode>General</c:formatCode>
                <c:ptCount val="8"/>
                <c:pt idx="0">
                  <c:v>30.04</c:v>
                </c:pt>
                <c:pt idx="1">
                  <c:v>27.6</c:v>
                </c:pt>
                <c:pt idx="2">
                  <c:v>41.88</c:v>
                </c:pt>
                <c:pt idx="3">
                  <c:v>18.37</c:v>
                </c:pt>
                <c:pt idx="4">
                  <c:v>36.29</c:v>
                </c:pt>
                <c:pt idx="5">
                  <c:v>26.06</c:v>
                </c:pt>
                <c:pt idx="6">
                  <c:v>31.98</c:v>
                </c:pt>
                <c:pt idx="7">
                  <c:v>28.45</c:v>
                </c:pt>
              </c:numCache>
            </c:numRef>
          </c:yVal>
          <c:smooth val="0"/>
          <c:extLst>
            <c:ext xmlns:c16="http://schemas.microsoft.com/office/drawing/2014/chart" uri="{C3380CC4-5D6E-409C-BE32-E72D297353CC}">
              <c16:uniqueId val="{00000005-8AFF-40CA-A306-D6003ED87B5D}"/>
            </c:ext>
          </c:extLst>
        </c:ser>
        <c:dLbls>
          <c:showLegendKey val="0"/>
          <c:showVal val="0"/>
          <c:showCatName val="0"/>
          <c:showSerName val="0"/>
          <c:showPercent val="0"/>
          <c:showBubbleSize val="0"/>
        </c:dLbls>
        <c:axId val="156423296"/>
        <c:axId val="156425216"/>
      </c:scatterChart>
      <c:valAx>
        <c:axId val="1564232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425216"/>
        <c:crosses val="autoZero"/>
        <c:crossBetween val="midCat"/>
      </c:valAx>
      <c:valAx>
        <c:axId val="1564252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P   </a:t>
                </a:r>
                <a:r>
                  <a:rPr lang="es-EC"/>
                  <a:t>Kg/ha-1</a:t>
                </a:r>
                <a:endParaRPr lang="en-US"/>
              </a:p>
            </c:rich>
          </c:tx>
          <c:layout>
            <c:manualLayout>
              <c:xMode val="edge"/>
              <c:yMode val="edge"/>
              <c:x val="2.1692176656831635E-2"/>
              <c:y val="0.1262170223730353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423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Hoja3!$B$79</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Hoja3!$A$80:$A$84</c:f>
              <c:numCache>
                <c:formatCode>General</c:formatCode>
                <c:ptCount val="5"/>
                <c:pt idx="0">
                  <c:v>0</c:v>
                </c:pt>
                <c:pt idx="1">
                  <c:v>16</c:v>
                </c:pt>
                <c:pt idx="2">
                  <c:v>20</c:v>
                </c:pt>
                <c:pt idx="3">
                  <c:v>30</c:v>
                </c:pt>
                <c:pt idx="4">
                  <c:v>40</c:v>
                </c:pt>
              </c:numCache>
            </c:numRef>
          </c:xVal>
          <c:yVal>
            <c:numRef>
              <c:f>Hoja3!$B$80:$B$84</c:f>
              <c:numCache>
                <c:formatCode>General</c:formatCode>
                <c:ptCount val="5"/>
                <c:pt idx="0">
                  <c:v>30.39</c:v>
                </c:pt>
                <c:pt idx="1">
                  <c:v>8.69</c:v>
                </c:pt>
                <c:pt idx="2">
                  <c:v>30.47</c:v>
                </c:pt>
                <c:pt idx="3">
                  <c:v>36.74</c:v>
                </c:pt>
                <c:pt idx="4">
                  <c:v>20.18</c:v>
                </c:pt>
              </c:numCache>
            </c:numRef>
          </c:yVal>
          <c:smooth val="0"/>
          <c:extLst>
            <c:ext xmlns:c16="http://schemas.microsoft.com/office/drawing/2014/chart" uri="{C3380CC4-5D6E-409C-BE32-E72D297353CC}">
              <c16:uniqueId val="{00000005-4719-4314-B978-32BF7A508EAE}"/>
            </c:ext>
          </c:extLst>
        </c:ser>
        <c:dLbls>
          <c:showLegendKey val="0"/>
          <c:showVal val="0"/>
          <c:showCatName val="0"/>
          <c:showSerName val="0"/>
          <c:showPercent val="0"/>
          <c:showBubbleSize val="0"/>
        </c:dLbls>
        <c:axId val="156478848"/>
        <c:axId val="156493312"/>
      </c:scatterChart>
      <c:valAx>
        <c:axId val="15647884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Azufre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493312"/>
        <c:crosses val="autoZero"/>
        <c:crossBetween val="midCat"/>
      </c:valAx>
      <c:valAx>
        <c:axId val="1564933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P   </a:t>
                </a:r>
                <a:r>
                  <a:rPr lang="es-EC"/>
                  <a:t>Kg/ha-1</a:t>
                </a:r>
                <a:endParaRPr lang="en-US"/>
              </a:p>
            </c:rich>
          </c:tx>
          <c:layout>
            <c:manualLayout>
              <c:xMode val="edge"/>
              <c:yMode val="edge"/>
              <c:x val="2.7777853591524626E-2"/>
              <c:y val="9.784335683338774E-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4788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Hoja4!$B$33</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392467986956176E-2"/>
                  <c:y val="0.19006795933795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1"/>
            <c:dispEq val="1"/>
            <c:trendlineLbl>
              <c:layout>
                <c:manualLayout>
                  <c:x val="2.0340178065977047E-2"/>
                  <c:y val="-0.174919915498367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Hoja4!$A$34:$A$43</c:f>
              <c:numCache>
                <c:formatCode>General</c:formatCode>
                <c:ptCount val="10"/>
                <c:pt idx="0">
                  <c:v>0</c:v>
                </c:pt>
                <c:pt idx="1">
                  <c:v>21</c:v>
                </c:pt>
                <c:pt idx="2">
                  <c:v>27</c:v>
                </c:pt>
                <c:pt idx="3">
                  <c:v>50</c:v>
                </c:pt>
                <c:pt idx="4">
                  <c:v>60</c:v>
                </c:pt>
                <c:pt idx="5">
                  <c:v>100</c:v>
                </c:pt>
                <c:pt idx="6">
                  <c:v>120</c:v>
                </c:pt>
                <c:pt idx="7">
                  <c:v>140</c:v>
                </c:pt>
                <c:pt idx="8">
                  <c:v>150</c:v>
                </c:pt>
                <c:pt idx="9">
                  <c:v>200</c:v>
                </c:pt>
              </c:numCache>
            </c:numRef>
          </c:xVal>
          <c:yVal>
            <c:numRef>
              <c:f>Hoja4!$B$34:$B$43</c:f>
              <c:numCache>
                <c:formatCode>General</c:formatCode>
                <c:ptCount val="10"/>
                <c:pt idx="0">
                  <c:v>85.13</c:v>
                </c:pt>
                <c:pt idx="1">
                  <c:v>100.17</c:v>
                </c:pt>
                <c:pt idx="2">
                  <c:v>66.09</c:v>
                </c:pt>
                <c:pt idx="3">
                  <c:v>171.27</c:v>
                </c:pt>
                <c:pt idx="4">
                  <c:v>140.30000000000001</c:v>
                </c:pt>
                <c:pt idx="5">
                  <c:v>118.46</c:v>
                </c:pt>
                <c:pt idx="6">
                  <c:v>133.08000000000001</c:v>
                </c:pt>
                <c:pt idx="7">
                  <c:v>120.41</c:v>
                </c:pt>
                <c:pt idx="8">
                  <c:v>133.87</c:v>
                </c:pt>
                <c:pt idx="9">
                  <c:v>128.91</c:v>
                </c:pt>
              </c:numCache>
            </c:numRef>
          </c:yVal>
          <c:smooth val="0"/>
          <c:extLst>
            <c:ext xmlns:c16="http://schemas.microsoft.com/office/drawing/2014/chart" uri="{C3380CC4-5D6E-409C-BE32-E72D297353CC}">
              <c16:uniqueId val="{00000005-C9AF-43E6-ABD3-B1FAB0BD82E5}"/>
            </c:ext>
          </c:extLst>
        </c:ser>
        <c:dLbls>
          <c:showLegendKey val="0"/>
          <c:showVal val="0"/>
          <c:showCatName val="0"/>
          <c:showSerName val="0"/>
          <c:showPercent val="0"/>
          <c:showBubbleSize val="0"/>
        </c:dLbls>
        <c:axId val="156551040"/>
        <c:axId val="156561408"/>
      </c:scatterChart>
      <c:valAx>
        <c:axId val="15655104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561408"/>
        <c:crosses val="autoZero"/>
        <c:crossBetween val="midCat"/>
      </c:valAx>
      <c:valAx>
        <c:axId val="1565614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K  </a:t>
                </a:r>
                <a:r>
                  <a:rPr lang="es-EC"/>
                  <a:t>Kg/ha-1</a:t>
                </a:r>
                <a:endParaRPr lang="en-US"/>
              </a:p>
            </c:rich>
          </c:tx>
          <c:layout>
            <c:manualLayout>
              <c:xMode val="edge"/>
              <c:yMode val="edge"/>
              <c:x val="1.5370938434184559E-2"/>
              <c:y val="0.1447637570688718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551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Hoja1!$C$114</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236626017415693"/>
                  <c:y val="0.181288417628754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og"/>
            <c:dispRSqr val="0"/>
            <c:dispEq val="0"/>
          </c:trendline>
          <c:trendline>
            <c:spPr>
              <a:ln w="9525" cap="rnd">
                <a:solidFill>
                  <a:schemeClr val="accent1"/>
                </a:solidFill>
              </a:ln>
              <a:effectLst/>
            </c:spPr>
            <c:trendlineType val="linear"/>
            <c:dispRSqr val="0"/>
            <c:dispEq val="0"/>
          </c:trendline>
          <c:errBars>
            <c:errDir val="y"/>
            <c:errBarType val="both"/>
            <c:errValType val="cust"/>
            <c:noEndCap val="0"/>
            <c:plus>
              <c:numRef>
                <c:f>Hoja1!$L$62:$L$70</c:f>
                <c:numCache>
                  <c:formatCode>General</c:formatCode>
                  <c:ptCount val="9"/>
                  <c:pt idx="0">
                    <c:v>5</c:v>
                  </c:pt>
                  <c:pt idx="1">
                    <c:v>6</c:v>
                  </c:pt>
                  <c:pt idx="2">
                    <c:v>5</c:v>
                  </c:pt>
                  <c:pt idx="3">
                    <c:v>6</c:v>
                  </c:pt>
                  <c:pt idx="4">
                    <c:v>6</c:v>
                  </c:pt>
                  <c:pt idx="5">
                    <c:v>6</c:v>
                  </c:pt>
                  <c:pt idx="6">
                    <c:v>6</c:v>
                  </c:pt>
                  <c:pt idx="7">
                    <c:v>6</c:v>
                  </c:pt>
                  <c:pt idx="8">
                    <c:v>5</c:v>
                  </c:pt>
                </c:numCache>
              </c:numRef>
            </c:plus>
            <c:minus>
              <c:numRef>
                <c:f>Hoja1!$L$62:$L$70</c:f>
                <c:numCache>
                  <c:formatCode>General</c:formatCode>
                  <c:ptCount val="9"/>
                  <c:pt idx="0">
                    <c:v>5</c:v>
                  </c:pt>
                  <c:pt idx="1">
                    <c:v>6</c:v>
                  </c:pt>
                  <c:pt idx="2">
                    <c:v>5</c:v>
                  </c:pt>
                  <c:pt idx="3">
                    <c:v>6</c:v>
                  </c:pt>
                  <c:pt idx="4">
                    <c:v>6</c:v>
                  </c:pt>
                  <c:pt idx="5">
                    <c:v>6</c:v>
                  </c:pt>
                  <c:pt idx="6">
                    <c:v>6</c:v>
                  </c:pt>
                  <c:pt idx="7">
                    <c:v>6</c:v>
                  </c:pt>
                  <c:pt idx="8">
                    <c:v>5</c:v>
                  </c:pt>
                </c:numCache>
              </c:numRef>
            </c:minus>
            <c:spPr>
              <a:noFill/>
              <a:ln w="9525">
                <a:solidFill>
                  <a:schemeClr val="tx2">
                    <a:lumMod val="75000"/>
                  </a:schemeClr>
                </a:solidFill>
                <a:round/>
              </a:ln>
              <a:effectLst/>
            </c:spPr>
          </c:errBars>
          <c:xVal>
            <c:numRef>
              <c:f>Hoja1!$B$115:$B$121</c:f>
              <c:numCache>
                <c:formatCode>General</c:formatCode>
                <c:ptCount val="7"/>
                <c:pt idx="0">
                  <c:v>0</c:v>
                </c:pt>
                <c:pt idx="1">
                  <c:v>5</c:v>
                </c:pt>
                <c:pt idx="2">
                  <c:v>20</c:v>
                </c:pt>
                <c:pt idx="3">
                  <c:v>30</c:v>
                </c:pt>
                <c:pt idx="4">
                  <c:v>40</c:v>
                </c:pt>
                <c:pt idx="5">
                  <c:v>50</c:v>
                </c:pt>
                <c:pt idx="6">
                  <c:v>60</c:v>
                </c:pt>
              </c:numCache>
            </c:numRef>
          </c:xVal>
          <c:yVal>
            <c:numRef>
              <c:f>Hoja1!$C$115:$C$121</c:f>
              <c:numCache>
                <c:formatCode>General</c:formatCode>
                <c:ptCount val="7"/>
                <c:pt idx="0">
                  <c:v>101.83</c:v>
                </c:pt>
                <c:pt idx="1">
                  <c:v>100.17</c:v>
                </c:pt>
                <c:pt idx="2">
                  <c:v>98</c:v>
                </c:pt>
                <c:pt idx="3">
                  <c:v>135.36000000000001</c:v>
                </c:pt>
                <c:pt idx="4">
                  <c:v>81.17</c:v>
                </c:pt>
                <c:pt idx="5">
                  <c:v>115.44</c:v>
                </c:pt>
                <c:pt idx="6">
                  <c:v>127.87</c:v>
                </c:pt>
              </c:numCache>
            </c:numRef>
          </c:yVal>
          <c:smooth val="0"/>
          <c:extLst>
            <c:ext xmlns:c16="http://schemas.microsoft.com/office/drawing/2014/chart" uri="{C3380CC4-5D6E-409C-BE32-E72D297353CC}">
              <c16:uniqueId val="{00000003-F52F-4E1E-8756-BAA58CEF1859}"/>
            </c:ext>
          </c:extLst>
        </c:ser>
        <c:dLbls>
          <c:showLegendKey val="0"/>
          <c:showVal val="0"/>
          <c:showCatName val="0"/>
          <c:showSerName val="0"/>
          <c:showPercent val="0"/>
          <c:showBubbleSize val="0"/>
        </c:dLbls>
        <c:axId val="156596864"/>
        <c:axId val="156623616"/>
      </c:scatterChart>
      <c:valAx>
        <c:axId val="15659686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623616"/>
        <c:crosses val="autoZero"/>
        <c:crossBetween val="midCat"/>
      </c:valAx>
      <c:valAx>
        <c:axId val="1566236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K </a:t>
                </a:r>
                <a:r>
                  <a:rPr lang="es-EC"/>
                  <a:t>Kg/ha-1</a:t>
                </a: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596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9803442419595"/>
          <c:y val="4.2704626334519574E-2"/>
          <c:w val="0.83287579924720367"/>
          <c:h val="0.74290245747751282"/>
        </c:manualLayout>
      </c:layout>
      <c:scatterChart>
        <c:scatterStyle val="lineMarker"/>
        <c:varyColors val="0"/>
        <c:ser>
          <c:idx val="0"/>
          <c:order val="0"/>
          <c:tx>
            <c:strRef>
              <c:f>Hoja1!$C$133</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236626017415693"/>
                  <c:y val="0.181288417628754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errBars>
            <c:errDir val="y"/>
            <c:errBarType val="both"/>
            <c:errValType val="cust"/>
            <c:noEndCap val="0"/>
            <c:plus>
              <c:numRef>
                <c:f>Hoja1!$L$62:$L$70</c:f>
                <c:numCache>
                  <c:formatCode>General</c:formatCode>
                  <c:ptCount val="9"/>
                  <c:pt idx="0">
                    <c:v>5</c:v>
                  </c:pt>
                  <c:pt idx="1">
                    <c:v>6</c:v>
                  </c:pt>
                  <c:pt idx="2">
                    <c:v>5</c:v>
                  </c:pt>
                  <c:pt idx="3">
                    <c:v>6</c:v>
                  </c:pt>
                  <c:pt idx="4">
                    <c:v>6</c:v>
                  </c:pt>
                  <c:pt idx="5">
                    <c:v>6</c:v>
                  </c:pt>
                  <c:pt idx="6">
                    <c:v>6</c:v>
                  </c:pt>
                  <c:pt idx="7">
                    <c:v>6</c:v>
                  </c:pt>
                  <c:pt idx="8">
                    <c:v>5</c:v>
                  </c:pt>
                </c:numCache>
              </c:numRef>
            </c:plus>
            <c:minus>
              <c:numRef>
                <c:f>Hoja1!$L$62:$L$70</c:f>
                <c:numCache>
                  <c:formatCode>General</c:formatCode>
                  <c:ptCount val="9"/>
                  <c:pt idx="0">
                    <c:v>5</c:v>
                  </c:pt>
                  <c:pt idx="1">
                    <c:v>6</c:v>
                  </c:pt>
                  <c:pt idx="2">
                    <c:v>5</c:v>
                  </c:pt>
                  <c:pt idx="3">
                    <c:v>6</c:v>
                  </c:pt>
                  <c:pt idx="4">
                    <c:v>6</c:v>
                  </c:pt>
                  <c:pt idx="5">
                    <c:v>6</c:v>
                  </c:pt>
                  <c:pt idx="6">
                    <c:v>6</c:v>
                  </c:pt>
                  <c:pt idx="7">
                    <c:v>6</c:v>
                  </c:pt>
                  <c:pt idx="8">
                    <c:v>5</c:v>
                  </c:pt>
                </c:numCache>
              </c:numRef>
            </c:minus>
            <c:spPr>
              <a:noFill/>
              <a:ln w="9525">
                <a:solidFill>
                  <a:schemeClr val="tx2">
                    <a:lumMod val="75000"/>
                  </a:schemeClr>
                </a:solidFill>
                <a:round/>
              </a:ln>
              <a:effectLst/>
            </c:spPr>
          </c:errBars>
          <c:xVal>
            <c:numRef>
              <c:f>Hoja1!$B$134:$B$142</c:f>
              <c:numCache>
                <c:formatCode>General</c:formatCode>
                <c:ptCount val="9"/>
                <c:pt idx="0">
                  <c:v>0</c:v>
                </c:pt>
                <c:pt idx="1">
                  <c:v>21</c:v>
                </c:pt>
                <c:pt idx="2">
                  <c:v>27</c:v>
                </c:pt>
                <c:pt idx="3">
                  <c:v>50</c:v>
                </c:pt>
                <c:pt idx="4">
                  <c:v>100</c:v>
                </c:pt>
                <c:pt idx="5">
                  <c:v>120</c:v>
                </c:pt>
                <c:pt idx="6">
                  <c:v>140</c:v>
                </c:pt>
                <c:pt idx="7">
                  <c:v>150</c:v>
                </c:pt>
                <c:pt idx="8">
                  <c:v>200</c:v>
                </c:pt>
              </c:numCache>
            </c:numRef>
          </c:xVal>
          <c:yVal>
            <c:numRef>
              <c:f>Hoja1!$C$134:$C$142</c:f>
              <c:numCache>
                <c:formatCode>General</c:formatCode>
                <c:ptCount val="9"/>
                <c:pt idx="0">
                  <c:v>11.37</c:v>
                </c:pt>
                <c:pt idx="1">
                  <c:v>10.119999999999999</c:v>
                </c:pt>
                <c:pt idx="2">
                  <c:v>8.26</c:v>
                </c:pt>
                <c:pt idx="3">
                  <c:v>12.21</c:v>
                </c:pt>
                <c:pt idx="4">
                  <c:v>10.42</c:v>
                </c:pt>
                <c:pt idx="5">
                  <c:v>14.89</c:v>
                </c:pt>
                <c:pt idx="6">
                  <c:v>10.38</c:v>
                </c:pt>
                <c:pt idx="7">
                  <c:v>11.53</c:v>
                </c:pt>
                <c:pt idx="8">
                  <c:v>12.31</c:v>
                </c:pt>
              </c:numCache>
            </c:numRef>
          </c:yVal>
          <c:smooth val="0"/>
          <c:extLst>
            <c:ext xmlns:c16="http://schemas.microsoft.com/office/drawing/2014/chart" uri="{C3380CC4-5D6E-409C-BE32-E72D297353CC}">
              <c16:uniqueId val="{00000003-7B78-4FEE-83C1-6B49BAE1D1BF}"/>
            </c:ext>
          </c:extLst>
        </c:ser>
        <c:dLbls>
          <c:showLegendKey val="0"/>
          <c:showVal val="0"/>
          <c:showCatName val="0"/>
          <c:showSerName val="0"/>
          <c:showPercent val="0"/>
          <c:showBubbleSize val="0"/>
        </c:dLbls>
        <c:axId val="156667264"/>
        <c:axId val="156673536"/>
      </c:scatterChart>
      <c:valAx>
        <c:axId val="15666726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Nitrògeno</a:t>
                </a:r>
              </a:p>
            </c:rich>
          </c:tx>
          <c:layout>
            <c:manualLayout>
              <c:xMode val="edge"/>
              <c:yMode val="edge"/>
              <c:x val="0.42606390505534636"/>
              <c:y val="0.89149052020671327"/>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673536"/>
        <c:crosses val="autoZero"/>
        <c:crossBetween val="midCat"/>
      </c:valAx>
      <c:valAx>
        <c:axId val="1566735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S </a:t>
                </a:r>
                <a:r>
                  <a:rPr lang="es-EC"/>
                  <a:t>Kg/ha-1</a:t>
                </a: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667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Hoja5!$B$90</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2241826348158816"/>
                  <c:y val="0.185751584545381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1.359688286386882E-3"/>
                  <c:y val="-0.147977176765947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Hoja5!$A$91:$A$95</c:f>
              <c:numCache>
                <c:formatCode>General</c:formatCode>
                <c:ptCount val="5"/>
                <c:pt idx="0">
                  <c:v>0</c:v>
                </c:pt>
                <c:pt idx="1">
                  <c:v>10</c:v>
                </c:pt>
                <c:pt idx="2">
                  <c:v>15</c:v>
                </c:pt>
                <c:pt idx="3">
                  <c:v>20</c:v>
                </c:pt>
                <c:pt idx="4">
                  <c:v>30</c:v>
                </c:pt>
              </c:numCache>
            </c:numRef>
          </c:xVal>
          <c:yVal>
            <c:numRef>
              <c:f>Hoja5!$B$91:$B$95</c:f>
              <c:numCache>
                <c:formatCode>General</c:formatCode>
                <c:ptCount val="5"/>
                <c:pt idx="0">
                  <c:v>15.61</c:v>
                </c:pt>
                <c:pt idx="1">
                  <c:v>9.24</c:v>
                </c:pt>
                <c:pt idx="2">
                  <c:v>13</c:v>
                </c:pt>
                <c:pt idx="3">
                  <c:v>4.91</c:v>
                </c:pt>
                <c:pt idx="4">
                  <c:v>13.18</c:v>
                </c:pt>
              </c:numCache>
            </c:numRef>
          </c:yVal>
          <c:smooth val="0"/>
          <c:extLst>
            <c:ext xmlns:c16="http://schemas.microsoft.com/office/drawing/2014/chart" uri="{C3380CC4-5D6E-409C-BE32-E72D297353CC}">
              <c16:uniqueId val="{00000005-69E8-4515-9E4C-E77CA420C98F}"/>
            </c:ext>
          </c:extLst>
        </c:ser>
        <c:dLbls>
          <c:showLegendKey val="0"/>
          <c:showVal val="0"/>
          <c:showCatName val="0"/>
          <c:showSerName val="0"/>
          <c:showPercent val="0"/>
          <c:showBubbleSize val="0"/>
        </c:dLbls>
        <c:axId val="156792704"/>
        <c:axId val="156803072"/>
      </c:scatterChart>
      <c:valAx>
        <c:axId val="1567927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Magnesio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803072"/>
        <c:crosses val="autoZero"/>
        <c:crossBetween val="midCat"/>
      </c:valAx>
      <c:valAx>
        <c:axId val="1568030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S  </a:t>
                </a:r>
                <a:r>
                  <a:rPr lang="es-EC"/>
                  <a:t>Kg/ha-1</a:t>
                </a:r>
                <a:endParaRPr lang="en-US"/>
              </a:p>
            </c:rich>
          </c:tx>
          <c:layout>
            <c:manualLayout>
              <c:xMode val="edge"/>
              <c:yMode val="edge"/>
              <c:x val="2.7777863152183297E-2"/>
              <c:y val="0.15055856567547377"/>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792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Hoja1!$C$156</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236626017415693"/>
                  <c:y val="0.181288417628754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errBars>
            <c:errDir val="y"/>
            <c:errBarType val="both"/>
            <c:errValType val="cust"/>
            <c:noEndCap val="0"/>
            <c:plus>
              <c:numRef>
                <c:f>Hoja1!$L$62:$L$70</c:f>
                <c:numCache>
                  <c:formatCode>General</c:formatCode>
                  <c:ptCount val="9"/>
                  <c:pt idx="0">
                    <c:v>5</c:v>
                  </c:pt>
                  <c:pt idx="1">
                    <c:v>6</c:v>
                  </c:pt>
                  <c:pt idx="2">
                    <c:v>5</c:v>
                  </c:pt>
                  <c:pt idx="3">
                    <c:v>6</c:v>
                  </c:pt>
                  <c:pt idx="4">
                    <c:v>6</c:v>
                  </c:pt>
                  <c:pt idx="5">
                    <c:v>6</c:v>
                  </c:pt>
                  <c:pt idx="6">
                    <c:v>6</c:v>
                  </c:pt>
                  <c:pt idx="7">
                    <c:v>6</c:v>
                  </c:pt>
                  <c:pt idx="8">
                    <c:v>5</c:v>
                  </c:pt>
                </c:numCache>
              </c:numRef>
            </c:plus>
            <c:minus>
              <c:numRef>
                <c:f>Hoja1!$L$62:$L$70</c:f>
                <c:numCache>
                  <c:formatCode>General</c:formatCode>
                  <c:ptCount val="9"/>
                  <c:pt idx="0">
                    <c:v>5</c:v>
                  </c:pt>
                  <c:pt idx="1">
                    <c:v>6</c:v>
                  </c:pt>
                  <c:pt idx="2">
                    <c:v>5</c:v>
                  </c:pt>
                  <c:pt idx="3">
                    <c:v>6</c:v>
                  </c:pt>
                  <c:pt idx="4">
                    <c:v>6</c:v>
                  </c:pt>
                  <c:pt idx="5">
                    <c:v>6</c:v>
                  </c:pt>
                  <c:pt idx="6">
                    <c:v>6</c:v>
                  </c:pt>
                  <c:pt idx="7">
                    <c:v>6</c:v>
                  </c:pt>
                  <c:pt idx="8">
                    <c:v>5</c:v>
                  </c:pt>
                </c:numCache>
              </c:numRef>
            </c:minus>
            <c:spPr>
              <a:noFill/>
              <a:ln w="9525">
                <a:solidFill>
                  <a:schemeClr val="tx2">
                    <a:lumMod val="75000"/>
                  </a:schemeClr>
                </a:solidFill>
                <a:round/>
              </a:ln>
              <a:effectLst/>
            </c:spPr>
          </c:errBars>
          <c:xVal>
            <c:numRef>
              <c:f>Hoja1!$B$157:$B$165</c:f>
              <c:numCache>
                <c:formatCode>General</c:formatCode>
                <c:ptCount val="9"/>
                <c:pt idx="0">
                  <c:v>0</c:v>
                </c:pt>
                <c:pt idx="1">
                  <c:v>21</c:v>
                </c:pt>
                <c:pt idx="2">
                  <c:v>27</c:v>
                </c:pt>
                <c:pt idx="3">
                  <c:v>50</c:v>
                </c:pt>
                <c:pt idx="4">
                  <c:v>100</c:v>
                </c:pt>
                <c:pt idx="5">
                  <c:v>120</c:v>
                </c:pt>
                <c:pt idx="6">
                  <c:v>140</c:v>
                </c:pt>
                <c:pt idx="7">
                  <c:v>150</c:v>
                </c:pt>
                <c:pt idx="8">
                  <c:v>200</c:v>
                </c:pt>
              </c:numCache>
            </c:numRef>
          </c:xVal>
          <c:yVal>
            <c:numRef>
              <c:f>Hoja1!$C$157:$C$165</c:f>
              <c:numCache>
                <c:formatCode>General</c:formatCode>
                <c:ptCount val="9"/>
                <c:pt idx="0">
                  <c:v>16.329999999999998</c:v>
                </c:pt>
                <c:pt idx="1">
                  <c:v>14.31</c:v>
                </c:pt>
                <c:pt idx="2">
                  <c:v>18.78</c:v>
                </c:pt>
                <c:pt idx="3">
                  <c:v>24.39</c:v>
                </c:pt>
                <c:pt idx="4">
                  <c:v>19.41</c:v>
                </c:pt>
                <c:pt idx="5">
                  <c:v>22.34</c:v>
                </c:pt>
                <c:pt idx="6">
                  <c:v>21.16</c:v>
                </c:pt>
                <c:pt idx="7">
                  <c:v>21.7</c:v>
                </c:pt>
                <c:pt idx="8">
                  <c:v>23.11</c:v>
                </c:pt>
              </c:numCache>
            </c:numRef>
          </c:yVal>
          <c:smooth val="0"/>
          <c:extLst>
            <c:ext xmlns:c16="http://schemas.microsoft.com/office/drawing/2014/chart" uri="{C3380CC4-5D6E-409C-BE32-E72D297353CC}">
              <c16:uniqueId val="{00000003-87F7-41FB-9D18-5D4E181D9C48}"/>
            </c:ext>
          </c:extLst>
        </c:ser>
        <c:dLbls>
          <c:showLegendKey val="0"/>
          <c:showVal val="0"/>
          <c:showCatName val="0"/>
          <c:showSerName val="0"/>
          <c:showPercent val="0"/>
          <c:showBubbleSize val="0"/>
        </c:dLbls>
        <c:axId val="156838528"/>
        <c:axId val="156852992"/>
      </c:scatterChart>
      <c:valAx>
        <c:axId val="15683852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852992"/>
        <c:crosses val="autoZero"/>
        <c:crossBetween val="midCat"/>
      </c:valAx>
      <c:valAx>
        <c:axId val="156852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Mg  </a:t>
                </a:r>
                <a:r>
                  <a:rPr lang="es-EC"/>
                  <a:t>Kg/ha-1</a:t>
                </a: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8385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Hoja1!$C$175</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236626017415693"/>
                  <c:y val="0.181288417628754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cust"/>
            <c:noEndCap val="0"/>
            <c:plus>
              <c:numRef>
                <c:f>Hoja1!$L$62:$L$70</c:f>
                <c:numCache>
                  <c:formatCode>General</c:formatCode>
                  <c:ptCount val="9"/>
                  <c:pt idx="0">
                    <c:v>5</c:v>
                  </c:pt>
                  <c:pt idx="1">
                    <c:v>6</c:v>
                  </c:pt>
                  <c:pt idx="2">
                    <c:v>5</c:v>
                  </c:pt>
                  <c:pt idx="3">
                    <c:v>6</c:v>
                  </c:pt>
                  <c:pt idx="4">
                    <c:v>6</c:v>
                  </c:pt>
                  <c:pt idx="5">
                    <c:v>6</c:v>
                  </c:pt>
                  <c:pt idx="6">
                    <c:v>6</c:v>
                  </c:pt>
                  <c:pt idx="7">
                    <c:v>6</c:v>
                  </c:pt>
                  <c:pt idx="8">
                    <c:v>5</c:v>
                  </c:pt>
                </c:numCache>
              </c:numRef>
            </c:plus>
            <c:minus>
              <c:numRef>
                <c:f>Hoja1!$L$62:$L$70</c:f>
                <c:numCache>
                  <c:formatCode>General</c:formatCode>
                  <c:ptCount val="9"/>
                  <c:pt idx="0">
                    <c:v>5</c:v>
                  </c:pt>
                  <c:pt idx="1">
                    <c:v>6</c:v>
                  </c:pt>
                  <c:pt idx="2">
                    <c:v>5</c:v>
                  </c:pt>
                  <c:pt idx="3">
                    <c:v>6</c:v>
                  </c:pt>
                  <c:pt idx="4">
                    <c:v>6</c:v>
                  </c:pt>
                  <c:pt idx="5">
                    <c:v>6</c:v>
                  </c:pt>
                  <c:pt idx="6">
                    <c:v>6</c:v>
                  </c:pt>
                  <c:pt idx="7">
                    <c:v>6</c:v>
                  </c:pt>
                  <c:pt idx="8">
                    <c:v>5</c:v>
                  </c:pt>
                </c:numCache>
              </c:numRef>
            </c:minus>
            <c:spPr>
              <a:noFill/>
              <a:ln w="9525">
                <a:solidFill>
                  <a:schemeClr val="tx2">
                    <a:lumMod val="75000"/>
                  </a:schemeClr>
                </a:solidFill>
                <a:round/>
              </a:ln>
              <a:effectLst/>
            </c:spPr>
          </c:errBars>
          <c:xVal>
            <c:numRef>
              <c:f>Hoja1!$B$176:$B$182</c:f>
              <c:numCache>
                <c:formatCode>General</c:formatCode>
                <c:ptCount val="7"/>
                <c:pt idx="0">
                  <c:v>0</c:v>
                </c:pt>
                <c:pt idx="1">
                  <c:v>5</c:v>
                </c:pt>
                <c:pt idx="2">
                  <c:v>20</c:v>
                </c:pt>
                <c:pt idx="3">
                  <c:v>30</c:v>
                </c:pt>
                <c:pt idx="4">
                  <c:v>40</c:v>
                </c:pt>
                <c:pt idx="5">
                  <c:v>50</c:v>
                </c:pt>
                <c:pt idx="6">
                  <c:v>60</c:v>
                </c:pt>
              </c:numCache>
            </c:numRef>
          </c:xVal>
          <c:yVal>
            <c:numRef>
              <c:f>Hoja1!$C$176:$C$182</c:f>
              <c:numCache>
                <c:formatCode>General</c:formatCode>
                <c:ptCount val="7"/>
                <c:pt idx="0">
                  <c:v>19.3</c:v>
                </c:pt>
                <c:pt idx="1">
                  <c:v>14.31</c:v>
                </c:pt>
                <c:pt idx="2">
                  <c:v>16.14</c:v>
                </c:pt>
                <c:pt idx="3">
                  <c:v>22.58</c:v>
                </c:pt>
                <c:pt idx="4">
                  <c:v>19.989999999999998</c:v>
                </c:pt>
                <c:pt idx="5">
                  <c:v>19.350000000000001</c:v>
                </c:pt>
                <c:pt idx="6">
                  <c:v>20.03</c:v>
                </c:pt>
              </c:numCache>
            </c:numRef>
          </c:yVal>
          <c:smooth val="0"/>
          <c:extLst>
            <c:ext xmlns:c16="http://schemas.microsoft.com/office/drawing/2014/chart" uri="{C3380CC4-5D6E-409C-BE32-E72D297353CC}">
              <c16:uniqueId val="{00000003-463A-454E-ABE1-111DE1870F2A}"/>
            </c:ext>
          </c:extLst>
        </c:ser>
        <c:dLbls>
          <c:showLegendKey val="0"/>
          <c:showVal val="0"/>
          <c:showCatName val="0"/>
          <c:showSerName val="0"/>
          <c:showPercent val="0"/>
          <c:showBubbleSize val="0"/>
        </c:dLbls>
        <c:axId val="156880256"/>
        <c:axId val="156698112"/>
      </c:scatterChart>
      <c:valAx>
        <c:axId val="15688025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a:t>
                </a:r>
              </a:p>
            </c:rich>
          </c:tx>
          <c:layout>
            <c:manualLayout>
              <c:xMode val="edge"/>
              <c:yMode val="edge"/>
              <c:x val="0.42001897353192297"/>
              <c:y val="0.89987038028013488"/>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698112"/>
        <c:crosses val="autoZero"/>
        <c:crossBetween val="midCat"/>
      </c:valAx>
      <c:valAx>
        <c:axId val="1566981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Mg  </a:t>
                </a:r>
                <a:r>
                  <a:rPr lang="es-EC"/>
                  <a:t>Kg/ha-1</a:t>
                </a: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880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magnesio!$B$73</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4147279885468861"/>
                  <c:y val="0.2689934226102370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703020293195058"/>
                  <c:y val="-1.21829643089485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magnesio!$A$74:$A$77</c:f>
              <c:numCache>
                <c:formatCode>General</c:formatCode>
                <c:ptCount val="4"/>
                <c:pt idx="0">
                  <c:v>0</c:v>
                </c:pt>
                <c:pt idx="1">
                  <c:v>20</c:v>
                </c:pt>
                <c:pt idx="2">
                  <c:v>30</c:v>
                </c:pt>
                <c:pt idx="3">
                  <c:v>40</c:v>
                </c:pt>
              </c:numCache>
            </c:numRef>
          </c:xVal>
          <c:yVal>
            <c:numRef>
              <c:f>magnesio!$B$74:$B$77</c:f>
              <c:numCache>
                <c:formatCode>General</c:formatCode>
                <c:ptCount val="4"/>
                <c:pt idx="0">
                  <c:v>16.41</c:v>
                </c:pt>
                <c:pt idx="1">
                  <c:v>15.42</c:v>
                </c:pt>
                <c:pt idx="2">
                  <c:v>18.75</c:v>
                </c:pt>
                <c:pt idx="3">
                  <c:v>20.18</c:v>
                </c:pt>
              </c:numCache>
            </c:numRef>
          </c:yVal>
          <c:smooth val="0"/>
          <c:extLst>
            <c:ext xmlns:c16="http://schemas.microsoft.com/office/drawing/2014/chart" uri="{C3380CC4-5D6E-409C-BE32-E72D297353CC}">
              <c16:uniqueId val="{00000005-A2A1-4244-A606-887C2045A497}"/>
            </c:ext>
          </c:extLst>
        </c:ser>
        <c:dLbls>
          <c:showLegendKey val="0"/>
          <c:showVal val="0"/>
          <c:showCatName val="0"/>
          <c:showSerName val="0"/>
          <c:showPercent val="0"/>
          <c:showBubbleSize val="0"/>
        </c:dLbls>
        <c:axId val="156751744"/>
        <c:axId val="156758016"/>
      </c:scatterChart>
      <c:valAx>
        <c:axId val="15675174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Azufre </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758016"/>
        <c:crosses val="autoZero"/>
        <c:crossBetween val="midCat"/>
      </c:valAx>
      <c:valAx>
        <c:axId val="1567580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Mg  </a:t>
                </a:r>
                <a:r>
                  <a:rPr lang="es-EC"/>
                  <a:t>Kg/ha-1</a:t>
                </a: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751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Hoja6!$B$90</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8.3818499960232242E-3"/>
                  <c:y val="-0.2048247540486010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og"/>
            <c:dispRSqr val="0"/>
            <c:dispEq val="0"/>
          </c:trendline>
          <c:trendline>
            <c:spPr>
              <a:ln w="9525" cap="rnd">
                <a:solidFill>
                  <a:schemeClr val="accent1"/>
                </a:solidFill>
              </a:ln>
              <a:effectLst/>
            </c:spPr>
            <c:trendlineType val="linear"/>
            <c:dispRSqr val="1"/>
            <c:dispEq val="1"/>
            <c:trendlineLbl>
              <c:layout>
                <c:manualLayout>
                  <c:x val="-0.17611984962687266"/>
                  <c:y val="0.1297025371828521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errBars>
            <c:errDir val="y"/>
            <c:errBarType val="both"/>
            <c:errValType val="stdErr"/>
            <c:noEndCap val="0"/>
            <c:spPr>
              <a:noFill/>
              <a:ln w="9525">
                <a:solidFill>
                  <a:schemeClr val="tx2">
                    <a:lumMod val="75000"/>
                  </a:schemeClr>
                </a:solidFill>
                <a:round/>
              </a:ln>
              <a:effectLst/>
            </c:spPr>
          </c:errBars>
          <c:xVal>
            <c:numRef>
              <c:f>Hoja6!$A$91:$A$95</c:f>
              <c:numCache>
                <c:formatCode>General</c:formatCode>
                <c:ptCount val="5"/>
                <c:pt idx="0">
                  <c:v>0</c:v>
                </c:pt>
                <c:pt idx="1">
                  <c:v>10</c:v>
                </c:pt>
                <c:pt idx="2">
                  <c:v>15</c:v>
                </c:pt>
                <c:pt idx="3">
                  <c:v>20</c:v>
                </c:pt>
                <c:pt idx="4">
                  <c:v>30</c:v>
                </c:pt>
              </c:numCache>
            </c:numRef>
          </c:xVal>
          <c:yVal>
            <c:numRef>
              <c:f>Hoja6!$B$91:$B$95</c:f>
              <c:numCache>
                <c:formatCode>General</c:formatCode>
                <c:ptCount val="5"/>
                <c:pt idx="0">
                  <c:v>23.41</c:v>
                </c:pt>
                <c:pt idx="1">
                  <c:v>15.9</c:v>
                </c:pt>
                <c:pt idx="2">
                  <c:v>19.11</c:v>
                </c:pt>
                <c:pt idx="3">
                  <c:v>14.03</c:v>
                </c:pt>
                <c:pt idx="4">
                  <c:v>15.61</c:v>
                </c:pt>
              </c:numCache>
            </c:numRef>
          </c:yVal>
          <c:smooth val="0"/>
          <c:extLst>
            <c:ext xmlns:c16="http://schemas.microsoft.com/office/drawing/2014/chart" uri="{C3380CC4-5D6E-409C-BE32-E72D297353CC}">
              <c16:uniqueId val="{00000005-740D-4E7D-8A54-6410E414A1C0}"/>
            </c:ext>
          </c:extLst>
        </c:ser>
        <c:dLbls>
          <c:showLegendKey val="0"/>
          <c:showVal val="0"/>
          <c:showCatName val="0"/>
          <c:showSerName val="0"/>
          <c:showPercent val="0"/>
          <c:showBubbleSize val="0"/>
        </c:dLbls>
        <c:axId val="156946816"/>
        <c:axId val="156948736"/>
      </c:scatterChart>
      <c:valAx>
        <c:axId val="15694681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Magnesio </a:t>
                </a:r>
              </a:p>
            </c:rich>
          </c:tx>
          <c:layout>
            <c:manualLayout>
              <c:xMode val="edge"/>
              <c:yMode val="edge"/>
              <c:x val="0.44768193748508711"/>
              <c:y val="0.87208603492919279"/>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948736"/>
        <c:crosses val="autoZero"/>
        <c:crossBetween val="midCat"/>
      </c:valAx>
      <c:valAx>
        <c:axId val="1569487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Absorción de Mg  </a:t>
                </a:r>
                <a:r>
                  <a:rPr lang="es-EC"/>
                  <a:t>Kg/ha-1</a:t>
                </a:r>
                <a:endParaRPr lang="en-US"/>
              </a:p>
            </c:rich>
          </c:tx>
          <c:layout>
            <c:manualLayout>
              <c:xMode val="edge"/>
              <c:yMode val="edge"/>
              <c:x val="2.777786559301252E-2"/>
              <c:y val="9.753539566461554E-2"/>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69468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82571321941401"/>
          <c:y val="0.13613159387407828"/>
          <c:w val="0.8150297646360638"/>
          <c:h val="0.69266416853877388"/>
        </c:manualLayout>
      </c:layout>
      <c:scatterChart>
        <c:scatterStyle val="lineMarker"/>
        <c:varyColors val="0"/>
        <c:ser>
          <c:idx val="0"/>
          <c:order val="0"/>
          <c:tx>
            <c:strRef>
              <c:f>Hoja4!$B$57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5.0023432385637112E-2"/>
                  <c:y val="-0.200669045694302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Hoja4!$A$58:$A$62</c:f>
              <c:numCache>
                <c:formatCode>General</c:formatCode>
                <c:ptCount val="5"/>
                <c:pt idx="0">
                  <c:v>0</c:v>
                </c:pt>
                <c:pt idx="1">
                  <c:v>10</c:v>
                </c:pt>
                <c:pt idx="2">
                  <c:v>20</c:v>
                </c:pt>
                <c:pt idx="3">
                  <c:v>30</c:v>
                </c:pt>
                <c:pt idx="4">
                  <c:v>60</c:v>
                </c:pt>
              </c:numCache>
            </c:numRef>
          </c:xVal>
          <c:yVal>
            <c:numRef>
              <c:f>Hoja4!$B$58:$B$62</c:f>
              <c:numCache>
                <c:formatCode>General</c:formatCode>
                <c:ptCount val="5"/>
                <c:pt idx="0">
                  <c:v>14.69</c:v>
                </c:pt>
                <c:pt idx="1">
                  <c:v>41.88</c:v>
                </c:pt>
                <c:pt idx="2">
                  <c:v>21.46</c:v>
                </c:pt>
                <c:pt idx="3">
                  <c:v>13.32</c:v>
                </c:pt>
                <c:pt idx="4">
                  <c:v>14.42</c:v>
                </c:pt>
              </c:numCache>
            </c:numRef>
          </c:yVal>
          <c:smooth val="0"/>
          <c:extLst>
            <c:ext xmlns:c16="http://schemas.microsoft.com/office/drawing/2014/chart" uri="{C3380CC4-5D6E-409C-BE32-E72D297353CC}">
              <c16:uniqueId val="{00000005-C130-493F-B533-971122DD5C23}"/>
            </c:ext>
          </c:extLst>
        </c:ser>
        <c:dLbls>
          <c:showLegendKey val="0"/>
          <c:showVal val="0"/>
          <c:showCatName val="0"/>
          <c:showSerName val="0"/>
          <c:showPercent val="0"/>
          <c:showBubbleSize val="0"/>
        </c:dLbls>
        <c:axId val="154081536"/>
        <c:axId val="154096000"/>
      </c:scatterChart>
      <c:valAx>
        <c:axId val="15408153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096000"/>
        <c:crosses val="autoZero"/>
        <c:crossBetween val="midCat"/>
      </c:valAx>
      <c:valAx>
        <c:axId val="1540960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Adsorcion de P  Kg/ha-1</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081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33606557377049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'[ejemplo de grafficos (1).xlsx]Hoja2'!$B$1</c:f>
              <c:strCache>
                <c:ptCount val="1"/>
                <c:pt idx="0">
                  <c:v>Absorción de Nitrógeno (kg/ha)</c:v>
                </c:pt>
              </c:strCache>
            </c:strRef>
          </c:tx>
          <c:spPr>
            <a:solidFill>
              <a:schemeClr val="accent1"/>
            </a:solidFill>
            <a:ln>
              <a:noFill/>
            </a:ln>
            <a:effectLst/>
          </c:spPr>
          <c:invertIfNegative val="0"/>
          <c:errBars>
            <c:errBarType val="both"/>
            <c:errValType val="cust"/>
            <c:noEndCap val="0"/>
            <c:plus>
              <c:numRef>
                <c:f>'[ejemplo de grafficos (1).xlsx]Hoja1'!$C$3:$C$6</c:f>
                <c:numCache>
                  <c:formatCode>General</c:formatCode>
                  <c:ptCount val="4"/>
                  <c:pt idx="0">
                    <c:v>17</c:v>
                  </c:pt>
                  <c:pt idx="1">
                    <c:v>20</c:v>
                  </c:pt>
                  <c:pt idx="2">
                    <c:v>12</c:v>
                  </c:pt>
                  <c:pt idx="3">
                    <c:v>10</c:v>
                  </c:pt>
                </c:numCache>
              </c:numRef>
            </c:plus>
            <c:minus>
              <c:numRef>
                <c:f>'[ejemplo de grafficos (1).xlsx]Hoja1'!$C$3:$C$6</c:f>
                <c:numCache>
                  <c:formatCode>General</c:formatCode>
                  <c:ptCount val="4"/>
                  <c:pt idx="0">
                    <c:v>17</c:v>
                  </c:pt>
                  <c:pt idx="1">
                    <c:v>20</c:v>
                  </c:pt>
                  <c:pt idx="2">
                    <c:v>12</c:v>
                  </c:pt>
                  <c:pt idx="3">
                    <c:v>10</c:v>
                  </c:pt>
                </c:numCache>
              </c:numRef>
            </c:minus>
            <c:spPr>
              <a:noFill/>
              <a:ln w="9525" cap="flat" cmpd="sng" algn="ctr">
                <a:solidFill>
                  <a:schemeClr val="tx1">
                    <a:lumMod val="65000"/>
                    <a:lumOff val="35000"/>
                  </a:schemeClr>
                </a:solidFill>
                <a:round/>
              </a:ln>
              <a:effectLst/>
            </c:spPr>
          </c:errBars>
          <c:cat>
            <c:strRef>
              <c:f>'[ejemplo de grafficos (1).xlsx]Hoja2'!$A$2:$A$5</c:f>
              <c:strCache>
                <c:ptCount val="4"/>
                <c:pt idx="0">
                  <c:v>Imbabura</c:v>
                </c:pt>
                <c:pt idx="1">
                  <c:v>Bolivar</c:v>
                </c:pt>
                <c:pt idx="2">
                  <c:v>Chimborazo</c:v>
                </c:pt>
                <c:pt idx="3">
                  <c:v>Consolidado</c:v>
                </c:pt>
              </c:strCache>
            </c:strRef>
          </c:cat>
          <c:val>
            <c:numRef>
              <c:f>'[ejemplo de grafficos (1).xlsx]Hoja2'!$B$2:$B$5</c:f>
              <c:numCache>
                <c:formatCode>0.00</c:formatCode>
                <c:ptCount val="4"/>
                <c:pt idx="0">
                  <c:v>167.59631256421474</c:v>
                </c:pt>
                <c:pt idx="1">
                  <c:v>102.36128080515476</c:v>
                </c:pt>
                <c:pt idx="2">
                  <c:v>111.24609947314896</c:v>
                </c:pt>
                <c:pt idx="3">
                  <c:v>124.06158089706619</c:v>
                </c:pt>
              </c:numCache>
            </c:numRef>
          </c:val>
          <c:extLst>
            <c:ext xmlns:c16="http://schemas.microsoft.com/office/drawing/2014/chart" uri="{C3380CC4-5D6E-409C-BE32-E72D297353CC}">
              <c16:uniqueId val="{00000000-8991-43DE-9710-3F909979D87B}"/>
            </c:ext>
          </c:extLst>
        </c:ser>
        <c:dLbls>
          <c:showLegendKey val="0"/>
          <c:showVal val="0"/>
          <c:showCatName val="0"/>
          <c:showSerName val="0"/>
          <c:showPercent val="0"/>
          <c:showBubbleSize val="0"/>
        </c:dLbls>
        <c:gapWidth val="219"/>
        <c:overlap val="-27"/>
        <c:axId val="309467008"/>
        <c:axId val="309468544"/>
      </c:barChart>
      <c:catAx>
        <c:axId val="30946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09468544"/>
        <c:crosses val="autoZero"/>
        <c:auto val="1"/>
        <c:lblAlgn val="ctr"/>
        <c:lblOffset val="100"/>
        <c:noMultiLvlLbl val="0"/>
      </c:catAx>
      <c:valAx>
        <c:axId val="30946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Absorción de N itrógeno kg/ha </a:t>
                </a:r>
              </a:p>
              <a:p>
                <a:pPr>
                  <a:defRPr sz="1000" b="0" i="0" u="none" strike="noStrike" kern="1200" baseline="0">
                    <a:solidFill>
                      <a:schemeClr val="tx1">
                        <a:lumMod val="65000"/>
                        <a:lumOff val="35000"/>
                      </a:schemeClr>
                    </a:solidFill>
                    <a:latin typeface="+mn-lt"/>
                    <a:ea typeface="+mn-ea"/>
                    <a:cs typeface="+mn-cs"/>
                  </a:defRPr>
                </a:pPr>
                <a:endParaRPr lang="es-MX"/>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0946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Absorción de Fòsforo (kg/ha)</a:t>
            </a:r>
          </a:p>
        </c:rich>
      </c:tx>
      <c:layout>
        <c:manualLayout>
          <c:xMode val="edge"/>
          <c:yMode val="edge"/>
          <c:x val="0.23336065573770493"/>
          <c:y val="0"/>
        </c:manualLayout>
      </c:layout>
      <c:overlay val="0"/>
      <c:spPr>
        <a:noFill/>
        <a:ln>
          <a:noFill/>
        </a:ln>
        <a:effectLst/>
      </c:spPr>
    </c:title>
    <c:autoTitleDeleted val="0"/>
    <c:plotArea>
      <c:layout/>
      <c:barChart>
        <c:barDir val="col"/>
        <c:grouping val="clustered"/>
        <c:varyColors val="0"/>
        <c:ser>
          <c:idx val="0"/>
          <c:order val="0"/>
          <c:tx>
            <c:strRef>
              <c:f>'[ejemplo de grafficos (1).xlsx]Hoja2'!$B$9</c:f>
              <c:strCache>
                <c:ptCount val="1"/>
                <c:pt idx="0">
                  <c:v>Absorción deFosforo (kg/ha)</c:v>
                </c:pt>
              </c:strCache>
            </c:strRef>
          </c:tx>
          <c:spPr>
            <a:solidFill>
              <a:schemeClr val="accent1"/>
            </a:solidFill>
            <a:ln>
              <a:noFill/>
            </a:ln>
            <a:effectLst/>
          </c:spPr>
          <c:invertIfNegative val="0"/>
          <c:errBars>
            <c:errBarType val="both"/>
            <c:errValType val="cust"/>
            <c:noEndCap val="0"/>
            <c:plus>
              <c:numRef>
                <c:f>'[ejemplo de grafficos (1).xlsx]Hoja1'!$C$3:$C$6</c:f>
                <c:numCache>
                  <c:formatCode>General</c:formatCode>
                  <c:ptCount val="4"/>
                  <c:pt idx="0">
                    <c:v>17</c:v>
                  </c:pt>
                  <c:pt idx="1">
                    <c:v>20</c:v>
                  </c:pt>
                  <c:pt idx="2">
                    <c:v>12</c:v>
                  </c:pt>
                  <c:pt idx="3">
                    <c:v>10</c:v>
                  </c:pt>
                </c:numCache>
              </c:numRef>
            </c:plus>
            <c:minus>
              <c:numRef>
                <c:f>'[ejemplo de grafficos (1).xlsx]Hoja1'!$C$3:$C$6</c:f>
                <c:numCache>
                  <c:formatCode>General</c:formatCode>
                  <c:ptCount val="4"/>
                  <c:pt idx="0">
                    <c:v>17</c:v>
                  </c:pt>
                  <c:pt idx="1">
                    <c:v>20</c:v>
                  </c:pt>
                  <c:pt idx="2">
                    <c:v>12</c:v>
                  </c:pt>
                  <c:pt idx="3">
                    <c:v>10</c:v>
                  </c:pt>
                </c:numCache>
              </c:numRef>
            </c:minus>
            <c:spPr>
              <a:noFill/>
              <a:ln w="9525" cap="flat" cmpd="sng" algn="ctr">
                <a:solidFill>
                  <a:schemeClr val="tx1">
                    <a:lumMod val="65000"/>
                    <a:lumOff val="35000"/>
                  </a:schemeClr>
                </a:solidFill>
                <a:round/>
              </a:ln>
              <a:effectLst/>
            </c:spPr>
          </c:errBars>
          <c:cat>
            <c:strRef>
              <c:f>'[ejemplo de grafficos (1).xlsx]Hoja2'!$A$10:$A$13</c:f>
              <c:strCache>
                <c:ptCount val="4"/>
                <c:pt idx="0">
                  <c:v>Imbabura</c:v>
                </c:pt>
                <c:pt idx="1">
                  <c:v>Bolivar</c:v>
                </c:pt>
                <c:pt idx="2">
                  <c:v>Chimborazo</c:v>
                </c:pt>
                <c:pt idx="3">
                  <c:v>Consolidado</c:v>
                </c:pt>
              </c:strCache>
            </c:strRef>
          </c:cat>
          <c:val>
            <c:numRef>
              <c:f>'[ejemplo de grafficos (1).xlsx]Hoja2'!$B$10:$B$13</c:f>
              <c:numCache>
                <c:formatCode>0.00</c:formatCode>
                <c:ptCount val="4"/>
                <c:pt idx="0">
                  <c:v>37.849484612075734</c:v>
                </c:pt>
                <c:pt idx="1">
                  <c:v>17.55191396584528</c:v>
                </c:pt>
                <c:pt idx="2">
                  <c:v>26.417734792510945</c:v>
                </c:pt>
                <c:pt idx="3">
                  <c:v>26.379837959108709</c:v>
                </c:pt>
              </c:numCache>
            </c:numRef>
          </c:val>
          <c:extLst>
            <c:ext xmlns:c16="http://schemas.microsoft.com/office/drawing/2014/chart" uri="{C3380CC4-5D6E-409C-BE32-E72D297353CC}">
              <c16:uniqueId val="{00000000-E9E1-4808-A313-1F9EBCD35D47}"/>
            </c:ext>
          </c:extLst>
        </c:ser>
        <c:dLbls>
          <c:showLegendKey val="0"/>
          <c:showVal val="0"/>
          <c:showCatName val="0"/>
          <c:showSerName val="0"/>
          <c:showPercent val="0"/>
          <c:showBubbleSize val="0"/>
        </c:dLbls>
        <c:gapWidth val="219"/>
        <c:overlap val="-27"/>
        <c:axId val="327448064"/>
        <c:axId val="327449984"/>
      </c:barChart>
      <c:catAx>
        <c:axId val="3274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27449984"/>
        <c:crosses val="autoZero"/>
        <c:auto val="1"/>
        <c:lblAlgn val="ctr"/>
        <c:lblOffset val="100"/>
        <c:noMultiLvlLbl val="0"/>
      </c:catAx>
      <c:valAx>
        <c:axId val="32744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Absorción de Fòsforo kg/ha </a:t>
                </a:r>
              </a:p>
              <a:p>
                <a:pPr>
                  <a:defRPr sz="1000" b="0" i="0" u="none" strike="noStrike" kern="1200" baseline="0">
                    <a:solidFill>
                      <a:schemeClr val="tx1">
                        <a:lumMod val="65000"/>
                        <a:lumOff val="35000"/>
                      </a:schemeClr>
                    </a:solidFill>
                    <a:latin typeface="+mn-lt"/>
                    <a:ea typeface="+mn-ea"/>
                    <a:cs typeface="+mn-cs"/>
                  </a:defRPr>
                </a:pPr>
                <a:endParaRPr lang="es-MX"/>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27448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Absorción de Potasio (kg/ha)</a:t>
            </a:r>
          </a:p>
        </c:rich>
      </c:tx>
      <c:layout>
        <c:manualLayout>
          <c:xMode val="edge"/>
          <c:yMode val="edge"/>
          <c:x val="0.23336065573770493"/>
          <c:y val="0"/>
        </c:manualLayout>
      </c:layout>
      <c:overlay val="0"/>
      <c:spPr>
        <a:noFill/>
        <a:ln>
          <a:noFill/>
        </a:ln>
        <a:effectLst/>
      </c:spPr>
    </c:title>
    <c:autoTitleDeleted val="0"/>
    <c:plotArea>
      <c:layout/>
      <c:barChart>
        <c:barDir val="col"/>
        <c:grouping val="clustered"/>
        <c:varyColors val="0"/>
        <c:ser>
          <c:idx val="0"/>
          <c:order val="0"/>
          <c:tx>
            <c:strRef>
              <c:f>'[ejemplo de grafficos (1).xlsx]Hoja2'!$B$17</c:f>
              <c:strCache>
                <c:ptCount val="1"/>
                <c:pt idx="0">
                  <c:v>Absorción de potasio (kg/ha)</c:v>
                </c:pt>
              </c:strCache>
            </c:strRef>
          </c:tx>
          <c:spPr>
            <a:solidFill>
              <a:schemeClr val="accent1"/>
            </a:solidFill>
            <a:ln>
              <a:noFill/>
            </a:ln>
            <a:effectLst/>
          </c:spPr>
          <c:invertIfNegative val="0"/>
          <c:errBars>
            <c:errBarType val="both"/>
            <c:errValType val="cust"/>
            <c:noEndCap val="0"/>
            <c:plus>
              <c:numRef>
                <c:f>'[ejemplo de grafficos (1).xlsx]Hoja1'!$C$3:$C$6</c:f>
                <c:numCache>
                  <c:formatCode>General</c:formatCode>
                  <c:ptCount val="4"/>
                  <c:pt idx="0">
                    <c:v>17</c:v>
                  </c:pt>
                  <c:pt idx="1">
                    <c:v>20</c:v>
                  </c:pt>
                  <c:pt idx="2">
                    <c:v>12</c:v>
                  </c:pt>
                  <c:pt idx="3">
                    <c:v>10</c:v>
                  </c:pt>
                </c:numCache>
              </c:numRef>
            </c:plus>
            <c:minus>
              <c:numRef>
                <c:f>'[ejemplo de grafficos (1).xlsx]Hoja1'!$C$3:$C$6</c:f>
                <c:numCache>
                  <c:formatCode>General</c:formatCode>
                  <c:ptCount val="4"/>
                  <c:pt idx="0">
                    <c:v>17</c:v>
                  </c:pt>
                  <c:pt idx="1">
                    <c:v>20</c:v>
                  </c:pt>
                  <c:pt idx="2">
                    <c:v>12</c:v>
                  </c:pt>
                  <c:pt idx="3">
                    <c:v>10</c:v>
                  </c:pt>
                </c:numCache>
              </c:numRef>
            </c:minus>
            <c:spPr>
              <a:noFill/>
              <a:ln w="9525" cap="flat" cmpd="sng" algn="ctr">
                <a:solidFill>
                  <a:schemeClr val="tx1">
                    <a:lumMod val="65000"/>
                    <a:lumOff val="35000"/>
                  </a:schemeClr>
                </a:solidFill>
                <a:round/>
              </a:ln>
              <a:effectLst/>
            </c:spPr>
          </c:errBars>
          <c:cat>
            <c:strRef>
              <c:f>'[ejemplo de grafficos (1).xlsx]Hoja2'!$A$18:$A$21</c:f>
              <c:strCache>
                <c:ptCount val="4"/>
                <c:pt idx="0">
                  <c:v>Imbabura</c:v>
                </c:pt>
                <c:pt idx="1">
                  <c:v>Bolivar</c:v>
                </c:pt>
                <c:pt idx="2">
                  <c:v>Chimborazo</c:v>
                </c:pt>
                <c:pt idx="3">
                  <c:v>Consolidado</c:v>
                </c:pt>
              </c:strCache>
            </c:strRef>
          </c:cat>
          <c:val>
            <c:numRef>
              <c:f>'[ejemplo de grafficos (1).xlsx]Hoja2'!$B$18:$B$21</c:f>
              <c:numCache>
                <c:formatCode>0.00</c:formatCode>
                <c:ptCount val="4"/>
                <c:pt idx="0">
                  <c:v>137.69248325322971</c:v>
                </c:pt>
                <c:pt idx="1">
                  <c:v>121.14374873250476</c:v>
                </c:pt>
                <c:pt idx="2">
                  <c:v>90.068359315442365</c:v>
                </c:pt>
                <c:pt idx="3">
                  <c:v>115.3083991463259</c:v>
                </c:pt>
              </c:numCache>
            </c:numRef>
          </c:val>
          <c:extLst>
            <c:ext xmlns:c16="http://schemas.microsoft.com/office/drawing/2014/chart" uri="{C3380CC4-5D6E-409C-BE32-E72D297353CC}">
              <c16:uniqueId val="{00000000-A1F9-4744-8F21-214D0D6F4B52}"/>
            </c:ext>
          </c:extLst>
        </c:ser>
        <c:dLbls>
          <c:showLegendKey val="0"/>
          <c:showVal val="0"/>
          <c:showCatName val="0"/>
          <c:showSerName val="0"/>
          <c:showPercent val="0"/>
          <c:showBubbleSize val="0"/>
        </c:dLbls>
        <c:gapWidth val="219"/>
        <c:overlap val="-27"/>
        <c:axId val="101410304"/>
        <c:axId val="101411840"/>
      </c:barChart>
      <c:catAx>
        <c:axId val="10141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1411840"/>
        <c:crosses val="autoZero"/>
        <c:auto val="1"/>
        <c:lblAlgn val="ctr"/>
        <c:lblOffset val="100"/>
        <c:noMultiLvlLbl val="0"/>
      </c:catAx>
      <c:valAx>
        <c:axId val="10141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Absorción de Potasio kg/ha </a:t>
                </a:r>
              </a:p>
              <a:p>
                <a:pPr>
                  <a:defRPr sz="1000" b="0" i="0" u="none" strike="noStrike" kern="1200" baseline="0">
                    <a:solidFill>
                      <a:schemeClr val="tx1">
                        <a:lumMod val="65000"/>
                        <a:lumOff val="35000"/>
                      </a:schemeClr>
                    </a:solidFill>
                    <a:latin typeface="+mn-lt"/>
                    <a:ea typeface="+mn-ea"/>
                    <a:cs typeface="+mn-cs"/>
                  </a:defRPr>
                </a:pPr>
                <a:endParaRPr lang="es-MX"/>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1410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Absorción de Azufre (kg/ha)</a:t>
            </a:r>
          </a:p>
        </c:rich>
      </c:tx>
      <c:layout>
        <c:manualLayout>
          <c:xMode val="edge"/>
          <c:yMode val="edge"/>
          <c:x val="0.23336065573770493"/>
          <c:y val="0"/>
        </c:manualLayout>
      </c:layout>
      <c:overlay val="0"/>
      <c:spPr>
        <a:noFill/>
        <a:ln>
          <a:noFill/>
        </a:ln>
        <a:effectLst/>
      </c:spPr>
    </c:title>
    <c:autoTitleDeleted val="0"/>
    <c:plotArea>
      <c:layout/>
      <c:barChart>
        <c:barDir val="col"/>
        <c:grouping val="clustered"/>
        <c:varyColors val="0"/>
        <c:ser>
          <c:idx val="0"/>
          <c:order val="0"/>
          <c:tx>
            <c:strRef>
              <c:f>'[ejemplo de grafficos (1).xlsx]Hoja2'!$B$25</c:f>
              <c:strCache>
                <c:ptCount val="1"/>
                <c:pt idx="0">
                  <c:v>Absorción de azufre (kg/ha)</c:v>
                </c:pt>
              </c:strCache>
            </c:strRef>
          </c:tx>
          <c:spPr>
            <a:solidFill>
              <a:schemeClr val="accent1"/>
            </a:solidFill>
            <a:ln>
              <a:noFill/>
            </a:ln>
            <a:effectLst/>
          </c:spPr>
          <c:invertIfNegative val="0"/>
          <c:errBars>
            <c:errBarType val="both"/>
            <c:errValType val="cust"/>
            <c:noEndCap val="0"/>
            <c:plus>
              <c:numRef>
                <c:f>'[ejemplo de grafficos (1).xlsx]Hoja1'!$C$3:$C$6</c:f>
                <c:numCache>
                  <c:formatCode>General</c:formatCode>
                  <c:ptCount val="4"/>
                  <c:pt idx="0">
                    <c:v>17</c:v>
                  </c:pt>
                  <c:pt idx="1">
                    <c:v>20</c:v>
                  </c:pt>
                  <c:pt idx="2">
                    <c:v>12</c:v>
                  </c:pt>
                  <c:pt idx="3">
                    <c:v>10</c:v>
                  </c:pt>
                </c:numCache>
              </c:numRef>
            </c:plus>
            <c:minus>
              <c:numRef>
                <c:f>'[ejemplo de grafficos (1).xlsx]Hoja1'!$C$3:$C$6</c:f>
                <c:numCache>
                  <c:formatCode>General</c:formatCode>
                  <c:ptCount val="4"/>
                  <c:pt idx="0">
                    <c:v>17</c:v>
                  </c:pt>
                  <c:pt idx="1">
                    <c:v>20</c:v>
                  </c:pt>
                  <c:pt idx="2">
                    <c:v>12</c:v>
                  </c:pt>
                  <c:pt idx="3">
                    <c:v>10</c:v>
                  </c:pt>
                </c:numCache>
              </c:numRef>
            </c:minus>
            <c:spPr>
              <a:noFill/>
              <a:ln w="9525" cap="flat" cmpd="sng" algn="ctr">
                <a:solidFill>
                  <a:schemeClr val="tx1">
                    <a:lumMod val="65000"/>
                    <a:lumOff val="35000"/>
                  </a:schemeClr>
                </a:solidFill>
                <a:round/>
              </a:ln>
              <a:effectLst/>
            </c:spPr>
          </c:errBars>
          <c:cat>
            <c:strRef>
              <c:f>'[ejemplo de grafficos (1).xlsx]Hoja2'!$A$26:$A$29</c:f>
              <c:strCache>
                <c:ptCount val="4"/>
                <c:pt idx="0">
                  <c:v>Imbabura</c:v>
                </c:pt>
                <c:pt idx="1">
                  <c:v>Bolivar</c:v>
                </c:pt>
                <c:pt idx="2">
                  <c:v>Chimborazo</c:v>
                </c:pt>
                <c:pt idx="3">
                  <c:v>Consolidado</c:v>
                </c:pt>
              </c:strCache>
            </c:strRef>
          </c:cat>
          <c:val>
            <c:numRef>
              <c:f>'[ejemplo de grafficos (1).xlsx]Hoja2'!$B$26:$B$29</c:f>
              <c:numCache>
                <c:formatCode>0.00</c:formatCode>
                <c:ptCount val="4"/>
                <c:pt idx="0">
                  <c:v>19.811382650758382</c:v>
                </c:pt>
                <c:pt idx="1">
                  <c:v>6.3094073309453611</c:v>
                </c:pt>
                <c:pt idx="2">
                  <c:v>9.2086922023790088</c:v>
                </c:pt>
                <c:pt idx="3">
                  <c:v>11.161596777105762</c:v>
                </c:pt>
              </c:numCache>
            </c:numRef>
          </c:val>
          <c:extLst>
            <c:ext xmlns:c16="http://schemas.microsoft.com/office/drawing/2014/chart" uri="{C3380CC4-5D6E-409C-BE32-E72D297353CC}">
              <c16:uniqueId val="{00000000-45BF-4428-9748-15BB76A13DC9}"/>
            </c:ext>
          </c:extLst>
        </c:ser>
        <c:dLbls>
          <c:showLegendKey val="0"/>
          <c:showVal val="0"/>
          <c:showCatName val="0"/>
          <c:showSerName val="0"/>
          <c:showPercent val="0"/>
          <c:showBubbleSize val="0"/>
        </c:dLbls>
        <c:gapWidth val="219"/>
        <c:overlap val="-27"/>
        <c:axId val="101421440"/>
        <c:axId val="101422976"/>
      </c:barChart>
      <c:catAx>
        <c:axId val="1014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1422976"/>
        <c:crosses val="autoZero"/>
        <c:auto val="1"/>
        <c:lblAlgn val="ctr"/>
        <c:lblOffset val="100"/>
        <c:noMultiLvlLbl val="0"/>
      </c:catAx>
      <c:valAx>
        <c:axId val="10142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Absorción de Azufre kg/ha </a:t>
                </a:r>
              </a:p>
              <a:p>
                <a:pPr>
                  <a:defRPr sz="1000" b="0" i="0" u="none" strike="noStrike" kern="1200" baseline="0">
                    <a:solidFill>
                      <a:schemeClr val="tx1">
                        <a:lumMod val="65000"/>
                        <a:lumOff val="35000"/>
                      </a:schemeClr>
                    </a:solidFill>
                    <a:latin typeface="+mn-lt"/>
                    <a:ea typeface="+mn-ea"/>
                    <a:cs typeface="+mn-cs"/>
                  </a:defRPr>
                </a:pPr>
                <a:endParaRPr lang="es-MX"/>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1421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Absorción de Magnesio (kg/ha)</a:t>
            </a:r>
          </a:p>
        </c:rich>
      </c:tx>
      <c:layout>
        <c:manualLayout>
          <c:xMode val="edge"/>
          <c:yMode val="edge"/>
          <c:x val="0.23336065573770493"/>
          <c:y val="0"/>
        </c:manualLayout>
      </c:layout>
      <c:overlay val="0"/>
      <c:spPr>
        <a:noFill/>
        <a:ln>
          <a:noFill/>
        </a:ln>
        <a:effectLst/>
      </c:spPr>
    </c:title>
    <c:autoTitleDeleted val="0"/>
    <c:plotArea>
      <c:layout/>
      <c:barChart>
        <c:barDir val="col"/>
        <c:grouping val="clustered"/>
        <c:varyColors val="0"/>
        <c:ser>
          <c:idx val="0"/>
          <c:order val="0"/>
          <c:tx>
            <c:strRef>
              <c:f>'[ejemplo de grafficos (1).xlsx]Hoja2'!$B$35</c:f>
              <c:strCache>
                <c:ptCount val="1"/>
                <c:pt idx="0">
                  <c:v>Absorción de magnesio  (kg/ha)</c:v>
                </c:pt>
              </c:strCache>
            </c:strRef>
          </c:tx>
          <c:spPr>
            <a:solidFill>
              <a:schemeClr val="accent1"/>
            </a:solidFill>
            <a:ln>
              <a:noFill/>
            </a:ln>
            <a:effectLst/>
          </c:spPr>
          <c:invertIfNegative val="0"/>
          <c:errBars>
            <c:errBarType val="both"/>
            <c:errValType val="cust"/>
            <c:noEndCap val="0"/>
            <c:plus>
              <c:numRef>
                <c:f>'[ejemplo de grafficos (1).xlsx]Hoja1'!$C$3:$C$6</c:f>
                <c:numCache>
                  <c:formatCode>General</c:formatCode>
                  <c:ptCount val="4"/>
                  <c:pt idx="0">
                    <c:v>17</c:v>
                  </c:pt>
                  <c:pt idx="1">
                    <c:v>20</c:v>
                  </c:pt>
                  <c:pt idx="2">
                    <c:v>12</c:v>
                  </c:pt>
                  <c:pt idx="3">
                    <c:v>10</c:v>
                  </c:pt>
                </c:numCache>
              </c:numRef>
            </c:plus>
            <c:minus>
              <c:numRef>
                <c:f>'[ejemplo de grafficos (1).xlsx]Hoja1'!$C$3:$C$6</c:f>
                <c:numCache>
                  <c:formatCode>General</c:formatCode>
                  <c:ptCount val="4"/>
                  <c:pt idx="0">
                    <c:v>17</c:v>
                  </c:pt>
                  <c:pt idx="1">
                    <c:v>20</c:v>
                  </c:pt>
                  <c:pt idx="2">
                    <c:v>12</c:v>
                  </c:pt>
                  <c:pt idx="3">
                    <c:v>10</c:v>
                  </c:pt>
                </c:numCache>
              </c:numRef>
            </c:minus>
            <c:spPr>
              <a:noFill/>
              <a:ln w="9525" cap="flat" cmpd="sng" algn="ctr">
                <a:solidFill>
                  <a:schemeClr val="tx1">
                    <a:lumMod val="65000"/>
                    <a:lumOff val="35000"/>
                  </a:schemeClr>
                </a:solidFill>
                <a:round/>
              </a:ln>
              <a:effectLst/>
            </c:spPr>
          </c:errBars>
          <c:cat>
            <c:strRef>
              <c:f>'[ejemplo de grafficos (1).xlsx]Hoja2'!$A$36:$A$39</c:f>
              <c:strCache>
                <c:ptCount val="4"/>
                <c:pt idx="0">
                  <c:v>Imbabura</c:v>
                </c:pt>
                <c:pt idx="1">
                  <c:v>Bolivar</c:v>
                </c:pt>
                <c:pt idx="2">
                  <c:v>Chimborazo</c:v>
                </c:pt>
                <c:pt idx="3">
                  <c:v>Consolidado</c:v>
                </c:pt>
              </c:strCache>
            </c:strRef>
          </c:cat>
          <c:val>
            <c:numRef>
              <c:f>'[ejemplo de grafficos (1).xlsx]Hoja2'!$B$36:$B$39</c:f>
              <c:numCache>
                <c:formatCode>0.00</c:formatCode>
                <c:ptCount val="4"/>
                <c:pt idx="0">
                  <c:v>24.529378896637262</c:v>
                </c:pt>
                <c:pt idx="1">
                  <c:v>17.694452778632478</c:v>
                </c:pt>
                <c:pt idx="2">
                  <c:v>17.563793188715003</c:v>
                </c:pt>
                <c:pt idx="3">
                  <c:v>19.606883549458605</c:v>
                </c:pt>
              </c:numCache>
            </c:numRef>
          </c:val>
          <c:extLst>
            <c:ext xmlns:c16="http://schemas.microsoft.com/office/drawing/2014/chart" uri="{C3380CC4-5D6E-409C-BE32-E72D297353CC}">
              <c16:uniqueId val="{00000000-7684-4C7F-84A1-693F8D05D290}"/>
            </c:ext>
          </c:extLst>
        </c:ser>
        <c:dLbls>
          <c:showLegendKey val="0"/>
          <c:showVal val="0"/>
          <c:showCatName val="0"/>
          <c:showSerName val="0"/>
          <c:showPercent val="0"/>
          <c:showBubbleSize val="0"/>
        </c:dLbls>
        <c:gapWidth val="219"/>
        <c:overlap val="-27"/>
        <c:axId val="101436416"/>
        <c:axId val="101442304"/>
      </c:barChart>
      <c:catAx>
        <c:axId val="10143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1442304"/>
        <c:crosses val="autoZero"/>
        <c:auto val="1"/>
        <c:lblAlgn val="ctr"/>
        <c:lblOffset val="100"/>
        <c:noMultiLvlLbl val="0"/>
      </c:catAx>
      <c:valAx>
        <c:axId val="10144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Absorción de Magnesio kg/ha </a:t>
                </a:r>
              </a:p>
              <a:p>
                <a:pPr>
                  <a:defRPr sz="1000" b="0" i="0" u="none" strike="noStrike" kern="1200" baseline="0">
                    <a:solidFill>
                      <a:schemeClr val="tx1">
                        <a:lumMod val="65000"/>
                        <a:lumOff val="35000"/>
                      </a:schemeClr>
                    </a:solidFill>
                    <a:latin typeface="+mn-lt"/>
                    <a:ea typeface="+mn-ea"/>
                    <a:cs typeface="+mn-cs"/>
                  </a:defRPr>
                </a:pPr>
                <a:endParaRPr lang="es-MX"/>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1436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Efecto</a:t>
            </a:r>
            <a:r>
              <a:rPr lang="es-MX" baseline="0"/>
              <a:t> de diversas fuentes de variación sobre el rendimiento de maíz suave en la sierra del Ecuador 2006-2015</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Hoja3!$C$7:$C$8</c:f>
              <c:strCache>
                <c:ptCount val="2"/>
                <c:pt idx="0">
                  <c:v>Varianza explicada por GLM</c:v>
                </c:pt>
                <c:pt idx="1">
                  <c:v>Bolivar</c:v>
                </c:pt>
              </c:strCache>
            </c:strRef>
          </c:tx>
          <c:spPr>
            <a:solidFill>
              <a:schemeClr val="accent1"/>
            </a:solidFill>
            <a:ln>
              <a:noFill/>
            </a:ln>
            <a:effectLst/>
          </c:spPr>
          <c:invertIfNegative val="0"/>
          <c:cat>
            <c:strRef>
              <c:f>Hoja3!$B$9:$B$15</c:f>
              <c:strCache>
                <c:ptCount val="7"/>
                <c:pt idx="0">
                  <c:v>Cantón/Provincia/Parroquia </c:v>
                </c:pt>
                <c:pt idx="1">
                  <c:v>Dosis de Nitrógeno</c:v>
                </c:pt>
                <c:pt idx="2">
                  <c:v>Dosis de Fósforo</c:v>
                </c:pt>
                <c:pt idx="3">
                  <c:v>Dosis de Potasio</c:v>
                </c:pt>
                <c:pt idx="4">
                  <c:v>Dosis de Azufre</c:v>
                </c:pt>
                <c:pt idx="5">
                  <c:v>Dosis de Magnesio</c:v>
                </c:pt>
                <c:pt idx="6">
                  <c:v>Error ambiente </c:v>
                </c:pt>
              </c:strCache>
            </c:strRef>
          </c:cat>
          <c:val>
            <c:numRef>
              <c:f>Hoja3!$C$9:$C$15</c:f>
              <c:numCache>
                <c:formatCode>General</c:formatCode>
                <c:ptCount val="7"/>
                <c:pt idx="0">
                  <c:v>2.4</c:v>
                </c:pt>
                <c:pt idx="1">
                  <c:v>41.58</c:v>
                </c:pt>
                <c:pt idx="2">
                  <c:v>7.97</c:v>
                </c:pt>
                <c:pt idx="3">
                  <c:v>5.49</c:v>
                </c:pt>
                <c:pt idx="4">
                  <c:v>0.6</c:v>
                </c:pt>
                <c:pt idx="5">
                  <c:v>0.66</c:v>
                </c:pt>
                <c:pt idx="6">
                  <c:v>36.479999999999997</c:v>
                </c:pt>
              </c:numCache>
            </c:numRef>
          </c:val>
          <c:extLst>
            <c:ext xmlns:c16="http://schemas.microsoft.com/office/drawing/2014/chart" uri="{C3380CC4-5D6E-409C-BE32-E72D297353CC}">
              <c16:uniqueId val="{00000000-0C24-4029-A2F6-936B563B996C}"/>
            </c:ext>
          </c:extLst>
        </c:ser>
        <c:ser>
          <c:idx val="1"/>
          <c:order val="1"/>
          <c:tx>
            <c:strRef>
              <c:f>Hoja3!$D$7:$D$8</c:f>
              <c:strCache>
                <c:ptCount val="2"/>
                <c:pt idx="0">
                  <c:v>Varianza explicada por GLM</c:v>
                </c:pt>
                <c:pt idx="1">
                  <c:v>Imbabura</c:v>
                </c:pt>
              </c:strCache>
            </c:strRef>
          </c:tx>
          <c:spPr>
            <a:solidFill>
              <a:schemeClr val="accent2"/>
            </a:solidFill>
            <a:ln>
              <a:noFill/>
            </a:ln>
            <a:effectLst/>
          </c:spPr>
          <c:invertIfNegative val="0"/>
          <c:cat>
            <c:strRef>
              <c:f>Hoja3!$B$9:$B$15</c:f>
              <c:strCache>
                <c:ptCount val="7"/>
                <c:pt idx="0">
                  <c:v>Cantón/Provincia/Parroquia </c:v>
                </c:pt>
                <c:pt idx="1">
                  <c:v>Dosis de Nitrógeno</c:v>
                </c:pt>
                <c:pt idx="2">
                  <c:v>Dosis de Fósforo</c:v>
                </c:pt>
                <c:pt idx="3">
                  <c:v>Dosis de Potasio</c:v>
                </c:pt>
                <c:pt idx="4">
                  <c:v>Dosis de Azufre</c:v>
                </c:pt>
                <c:pt idx="5">
                  <c:v>Dosis de Magnesio</c:v>
                </c:pt>
                <c:pt idx="6">
                  <c:v>Error ambiente </c:v>
                </c:pt>
              </c:strCache>
            </c:strRef>
          </c:cat>
          <c:val>
            <c:numRef>
              <c:f>Hoja3!$D$9:$D$15</c:f>
              <c:numCache>
                <c:formatCode>General</c:formatCode>
                <c:ptCount val="7"/>
                <c:pt idx="0">
                  <c:v>46.28</c:v>
                </c:pt>
                <c:pt idx="1">
                  <c:v>21.21</c:v>
                </c:pt>
                <c:pt idx="2">
                  <c:v>0.56999999999999995</c:v>
                </c:pt>
                <c:pt idx="3">
                  <c:v>20.86</c:v>
                </c:pt>
                <c:pt idx="4">
                  <c:v>0.87</c:v>
                </c:pt>
                <c:pt idx="5">
                  <c:v>2.31</c:v>
                </c:pt>
                <c:pt idx="6">
                  <c:v>7.91</c:v>
                </c:pt>
              </c:numCache>
            </c:numRef>
          </c:val>
          <c:extLst>
            <c:ext xmlns:c16="http://schemas.microsoft.com/office/drawing/2014/chart" uri="{C3380CC4-5D6E-409C-BE32-E72D297353CC}">
              <c16:uniqueId val="{00000001-0C24-4029-A2F6-936B563B996C}"/>
            </c:ext>
          </c:extLst>
        </c:ser>
        <c:ser>
          <c:idx val="2"/>
          <c:order val="2"/>
          <c:tx>
            <c:strRef>
              <c:f>Hoja3!$E$7:$E$8</c:f>
              <c:strCache>
                <c:ptCount val="2"/>
                <c:pt idx="0">
                  <c:v>Varianza explicada por GLM</c:v>
                </c:pt>
                <c:pt idx="1">
                  <c:v>Chimborazo</c:v>
                </c:pt>
              </c:strCache>
            </c:strRef>
          </c:tx>
          <c:spPr>
            <a:solidFill>
              <a:schemeClr val="accent3"/>
            </a:solidFill>
            <a:ln>
              <a:noFill/>
            </a:ln>
            <a:effectLst/>
          </c:spPr>
          <c:invertIfNegative val="0"/>
          <c:cat>
            <c:strRef>
              <c:f>Hoja3!$B$9:$B$15</c:f>
              <c:strCache>
                <c:ptCount val="7"/>
                <c:pt idx="0">
                  <c:v>Cantón/Provincia/Parroquia </c:v>
                </c:pt>
                <c:pt idx="1">
                  <c:v>Dosis de Nitrógeno</c:v>
                </c:pt>
                <c:pt idx="2">
                  <c:v>Dosis de Fósforo</c:v>
                </c:pt>
                <c:pt idx="3">
                  <c:v>Dosis de Potasio</c:v>
                </c:pt>
                <c:pt idx="4">
                  <c:v>Dosis de Azufre</c:v>
                </c:pt>
                <c:pt idx="5">
                  <c:v>Dosis de Magnesio</c:v>
                </c:pt>
                <c:pt idx="6">
                  <c:v>Error ambiente </c:v>
                </c:pt>
              </c:strCache>
            </c:strRef>
          </c:cat>
          <c:val>
            <c:numRef>
              <c:f>Hoja3!$E$9:$E$15</c:f>
              <c:numCache>
                <c:formatCode>General</c:formatCode>
                <c:ptCount val="7"/>
                <c:pt idx="0">
                  <c:v>10.28</c:v>
                </c:pt>
                <c:pt idx="1">
                  <c:v>39.36</c:v>
                </c:pt>
                <c:pt idx="2">
                  <c:v>3.65</c:v>
                </c:pt>
                <c:pt idx="3">
                  <c:v>6.19</c:v>
                </c:pt>
                <c:pt idx="4">
                  <c:v>2.0099999999999998</c:v>
                </c:pt>
                <c:pt idx="5">
                  <c:v>1.05</c:v>
                </c:pt>
                <c:pt idx="6">
                  <c:v>37.46</c:v>
                </c:pt>
              </c:numCache>
            </c:numRef>
          </c:val>
          <c:extLst>
            <c:ext xmlns:c16="http://schemas.microsoft.com/office/drawing/2014/chart" uri="{C3380CC4-5D6E-409C-BE32-E72D297353CC}">
              <c16:uniqueId val="{00000002-0C24-4029-A2F6-936B563B996C}"/>
            </c:ext>
          </c:extLst>
        </c:ser>
        <c:ser>
          <c:idx val="3"/>
          <c:order val="3"/>
          <c:tx>
            <c:strRef>
              <c:f>Hoja3!$F$7:$F$8</c:f>
              <c:strCache>
                <c:ptCount val="2"/>
                <c:pt idx="0">
                  <c:v>Varianza explicada por GLM</c:v>
                </c:pt>
                <c:pt idx="1">
                  <c:v>Combinado</c:v>
                </c:pt>
              </c:strCache>
            </c:strRef>
          </c:tx>
          <c:spPr>
            <a:solidFill>
              <a:schemeClr val="accent4"/>
            </a:solidFill>
            <a:ln>
              <a:noFill/>
            </a:ln>
            <a:effectLst/>
          </c:spPr>
          <c:invertIfNegative val="0"/>
          <c:cat>
            <c:strRef>
              <c:f>Hoja3!$B$9:$B$15</c:f>
              <c:strCache>
                <c:ptCount val="7"/>
                <c:pt idx="0">
                  <c:v>Cantón/Provincia/Parroquia </c:v>
                </c:pt>
                <c:pt idx="1">
                  <c:v>Dosis de Nitrógeno</c:v>
                </c:pt>
                <c:pt idx="2">
                  <c:v>Dosis de Fósforo</c:v>
                </c:pt>
                <c:pt idx="3">
                  <c:v>Dosis de Potasio</c:v>
                </c:pt>
                <c:pt idx="4">
                  <c:v>Dosis de Azufre</c:v>
                </c:pt>
                <c:pt idx="5">
                  <c:v>Dosis de Magnesio</c:v>
                </c:pt>
                <c:pt idx="6">
                  <c:v>Error ambiente </c:v>
                </c:pt>
              </c:strCache>
            </c:strRef>
          </c:cat>
          <c:val>
            <c:numRef>
              <c:f>Hoja3!$F$9:$F$15</c:f>
              <c:numCache>
                <c:formatCode>General</c:formatCode>
                <c:ptCount val="7"/>
                <c:pt idx="0">
                  <c:v>6.85</c:v>
                </c:pt>
                <c:pt idx="1">
                  <c:v>31.49</c:v>
                </c:pt>
                <c:pt idx="2">
                  <c:v>2.99</c:v>
                </c:pt>
                <c:pt idx="3">
                  <c:v>10.84</c:v>
                </c:pt>
                <c:pt idx="4">
                  <c:v>0.56999999999999995</c:v>
                </c:pt>
                <c:pt idx="5">
                  <c:v>0.52</c:v>
                </c:pt>
                <c:pt idx="6">
                  <c:v>54.06</c:v>
                </c:pt>
              </c:numCache>
            </c:numRef>
          </c:val>
          <c:extLst>
            <c:ext xmlns:c16="http://schemas.microsoft.com/office/drawing/2014/chart" uri="{C3380CC4-5D6E-409C-BE32-E72D297353CC}">
              <c16:uniqueId val="{00000003-0C24-4029-A2F6-936B563B996C}"/>
            </c:ext>
          </c:extLst>
        </c:ser>
        <c:dLbls>
          <c:showLegendKey val="0"/>
          <c:showVal val="0"/>
          <c:showCatName val="0"/>
          <c:showSerName val="0"/>
          <c:showPercent val="0"/>
          <c:showBubbleSize val="0"/>
        </c:dLbls>
        <c:gapWidth val="219"/>
        <c:overlap val="-27"/>
        <c:axId val="1407639503"/>
        <c:axId val="1407641183"/>
      </c:barChart>
      <c:catAx>
        <c:axId val="1407639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07641183"/>
        <c:crosses val="autoZero"/>
        <c:auto val="1"/>
        <c:lblAlgn val="ctr"/>
        <c:lblOffset val="100"/>
        <c:noMultiLvlLbl val="0"/>
      </c:catAx>
      <c:valAx>
        <c:axId val="1407641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Porcentaje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0763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245764733953"/>
          <c:y val="0.18634913980426027"/>
          <c:w val="0.84087329992841808"/>
          <c:h val="0.63041597285483142"/>
        </c:manualLayout>
      </c:layout>
      <c:scatterChart>
        <c:scatterStyle val="lineMarker"/>
        <c:varyColors val="0"/>
        <c:ser>
          <c:idx val="0"/>
          <c:order val="0"/>
          <c:tx>
            <c:strRef>
              <c:f>Hoja5!$B$37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5688883959927544E-2"/>
                  <c:y val="0.3001748598992693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errBars>
            <c:errDir val="y"/>
            <c:errBarType val="both"/>
            <c:errValType val="stdErr"/>
            <c:noEndCap val="0"/>
            <c:spPr>
              <a:noFill/>
              <a:ln w="9525">
                <a:solidFill>
                  <a:schemeClr val="tx2">
                    <a:lumMod val="75000"/>
                  </a:schemeClr>
                </a:solidFill>
                <a:round/>
              </a:ln>
              <a:effectLst/>
            </c:spPr>
          </c:errBars>
          <c:xVal>
            <c:numRef>
              <c:f>Hoja5!$A$38:$A$41</c:f>
              <c:numCache>
                <c:formatCode>General</c:formatCode>
                <c:ptCount val="4"/>
                <c:pt idx="0">
                  <c:v>0</c:v>
                </c:pt>
                <c:pt idx="1">
                  <c:v>50</c:v>
                </c:pt>
                <c:pt idx="2">
                  <c:v>120</c:v>
                </c:pt>
                <c:pt idx="3">
                  <c:v>140</c:v>
                </c:pt>
              </c:numCache>
            </c:numRef>
          </c:xVal>
          <c:yVal>
            <c:numRef>
              <c:f>Hoja5!$B$38:$B$41</c:f>
              <c:numCache>
                <c:formatCode>General</c:formatCode>
                <c:ptCount val="4"/>
                <c:pt idx="0">
                  <c:v>70.77</c:v>
                </c:pt>
                <c:pt idx="1">
                  <c:v>162.62</c:v>
                </c:pt>
                <c:pt idx="2">
                  <c:v>139.36000000000001</c:v>
                </c:pt>
                <c:pt idx="3">
                  <c:v>120.78</c:v>
                </c:pt>
              </c:numCache>
            </c:numRef>
          </c:yVal>
          <c:smooth val="0"/>
          <c:extLst>
            <c:ext xmlns:c16="http://schemas.microsoft.com/office/drawing/2014/chart" uri="{C3380CC4-5D6E-409C-BE32-E72D297353CC}">
              <c16:uniqueId val="{00000005-85F2-403D-85CB-04F953274685}"/>
            </c:ext>
          </c:extLst>
        </c:ser>
        <c:dLbls>
          <c:showLegendKey val="0"/>
          <c:showVal val="0"/>
          <c:showCatName val="0"/>
          <c:showSerName val="0"/>
          <c:showPercent val="0"/>
          <c:showBubbleSize val="0"/>
        </c:dLbls>
        <c:axId val="154145536"/>
        <c:axId val="154147456"/>
      </c:scatterChart>
      <c:valAx>
        <c:axId val="15414553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147456"/>
        <c:crosses val="autoZero"/>
        <c:crossBetween val="midCat"/>
      </c:valAx>
      <c:valAx>
        <c:axId val="1541474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Adsorcion de K  Kg/ha-1</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145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245764733953"/>
          <c:y val="0.18634913980426027"/>
          <c:w val="0.84087329992841808"/>
          <c:h val="0.63041597285483142"/>
        </c:manualLayout>
      </c:layout>
      <c:scatterChart>
        <c:scatterStyle val="lineMarker"/>
        <c:varyColors val="0"/>
        <c:ser>
          <c:idx val="0"/>
          <c:order val="0"/>
          <c:tx>
            <c:strRef>
              <c:f>Hoja6!$B$57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1.7817346695299451E-2"/>
                  <c:y val="-0.3028550002678236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Hoja6!$A$58:$A$62</c:f>
              <c:numCache>
                <c:formatCode>General</c:formatCode>
                <c:ptCount val="5"/>
                <c:pt idx="0">
                  <c:v>0</c:v>
                </c:pt>
                <c:pt idx="1">
                  <c:v>10</c:v>
                </c:pt>
                <c:pt idx="2">
                  <c:v>20</c:v>
                </c:pt>
                <c:pt idx="3">
                  <c:v>30</c:v>
                </c:pt>
                <c:pt idx="4">
                  <c:v>60</c:v>
                </c:pt>
              </c:numCache>
            </c:numRef>
          </c:xVal>
          <c:yVal>
            <c:numRef>
              <c:f>Hoja6!$B$58:$B$62</c:f>
              <c:numCache>
                <c:formatCode>General</c:formatCode>
                <c:ptCount val="5"/>
                <c:pt idx="0">
                  <c:v>2.13</c:v>
                </c:pt>
                <c:pt idx="1">
                  <c:v>11.27</c:v>
                </c:pt>
                <c:pt idx="2">
                  <c:v>9.92</c:v>
                </c:pt>
                <c:pt idx="3">
                  <c:v>2.57</c:v>
                </c:pt>
                <c:pt idx="4">
                  <c:v>2.1</c:v>
                </c:pt>
              </c:numCache>
            </c:numRef>
          </c:yVal>
          <c:smooth val="0"/>
          <c:extLst>
            <c:ext xmlns:c16="http://schemas.microsoft.com/office/drawing/2014/chart" uri="{C3380CC4-5D6E-409C-BE32-E72D297353CC}">
              <c16:uniqueId val="{00000005-36B5-43BB-AA9D-012DE997C239}"/>
            </c:ext>
          </c:extLst>
        </c:ser>
        <c:dLbls>
          <c:showLegendKey val="0"/>
          <c:showVal val="0"/>
          <c:showCatName val="0"/>
          <c:showSerName val="0"/>
          <c:showPercent val="0"/>
          <c:showBubbleSize val="0"/>
        </c:dLbls>
        <c:axId val="154188800"/>
        <c:axId val="154203264"/>
      </c:scatterChart>
      <c:valAx>
        <c:axId val="15418880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Potasio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203264"/>
        <c:crosses val="autoZero"/>
        <c:crossBetween val="midCat"/>
      </c:valAx>
      <c:valAx>
        <c:axId val="1542032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Adsorcion de  S   Kg/ha-1</a:t>
                </a:r>
                <a:endParaRPr lang="es-EC"/>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4188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245764733953"/>
          <c:y val="0.18634913980426027"/>
          <c:w val="0.84087329992841808"/>
          <c:h val="0.63041597285483142"/>
        </c:manualLayout>
      </c:layout>
      <c:scatterChart>
        <c:scatterStyle val="lineMarker"/>
        <c:varyColors val="0"/>
        <c:ser>
          <c:idx val="0"/>
          <c:order val="0"/>
          <c:tx>
            <c:strRef>
              <c:f>Hoja6!$B$47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9.3871788753678521E-4"/>
                  <c:y val="-0.1071097873088052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errBars>
            <c:errDir val="y"/>
            <c:errBarType val="both"/>
            <c:errValType val="stdErr"/>
            <c:noEndCap val="0"/>
            <c:spPr>
              <a:noFill/>
              <a:ln w="9525">
                <a:solidFill>
                  <a:schemeClr val="tx2">
                    <a:lumMod val="75000"/>
                  </a:schemeClr>
                </a:solidFill>
                <a:round/>
              </a:ln>
              <a:effectLst/>
            </c:spPr>
          </c:errBars>
          <c:xVal>
            <c:numRef>
              <c:f>Hoja6!$A$48:$A$51</c:f>
              <c:numCache>
                <c:formatCode>General</c:formatCode>
                <c:ptCount val="4"/>
                <c:pt idx="0">
                  <c:v>0</c:v>
                </c:pt>
                <c:pt idx="1">
                  <c:v>30</c:v>
                </c:pt>
                <c:pt idx="2">
                  <c:v>60</c:v>
                </c:pt>
                <c:pt idx="3">
                  <c:v>70</c:v>
                </c:pt>
              </c:numCache>
            </c:numRef>
          </c:xVal>
          <c:yVal>
            <c:numRef>
              <c:f>Hoja6!$B$48:$B$51</c:f>
              <c:numCache>
                <c:formatCode>General</c:formatCode>
                <c:ptCount val="4"/>
                <c:pt idx="0">
                  <c:v>5.4</c:v>
                </c:pt>
                <c:pt idx="1">
                  <c:v>4.3099999999999996</c:v>
                </c:pt>
                <c:pt idx="2">
                  <c:v>2.2200000000000002</c:v>
                </c:pt>
                <c:pt idx="3">
                  <c:v>10.18</c:v>
                </c:pt>
              </c:numCache>
            </c:numRef>
          </c:yVal>
          <c:smooth val="0"/>
          <c:extLst>
            <c:ext xmlns:c16="http://schemas.microsoft.com/office/drawing/2014/chart" uri="{C3380CC4-5D6E-409C-BE32-E72D297353CC}">
              <c16:uniqueId val="{00000000-72EA-478A-8970-C69F313613D8}"/>
            </c:ext>
          </c:extLst>
        </c:ser>
        <c:dLbls>
          <c:showLegendKey val="0"/>
          <c:showVal val="0"/>
          <c:showCatName val="0"/>
          <c:showSerName val="0"/>
          <c:showPercent val="0"/>
          <c:showBubbleSize val="0"/>
        </c:dLbls>
        <c:axId val="152751488"/>
        <c:axId val="152757760"/>
      </c:scatterChart>
      <c:valAx>
        <c:axId val="15275148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Fósforo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2757760"/>
        <c:crosses val="autoZero"/>
        <c:crossBetween val="midCat"/>
      </c:valAx>
      <c:valAx>
        <c:axId val="1527577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Adsorcion  de S  Kg/ha-1</a:t>
                </a:r>
                <a:endParaRPr lang="es-EC"/>
              </a:p>
              <a:p>
                <a:pPr>
                  <a:defRPr sz="900" b="1" i="0" u="none" strike="noStrike" kern="1200" baseline="0">
                    <a:solidFill>
                      <a:schemeClr val="tx2"/>
                    </a:solidFill>
                    <a:latin typeface="+mn-lt"/>
                    <a:ea typeface="+mn-ea"/>
                    <a:cs typeface="+mn-cs"/>
                  </a:defRPr>
                </a:pP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27514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245764733953"/>
          <c:y val="0.18634913980426027"/>
          <c:w val="0.84087329992841808"/>
          <c:h val="0.63041597285483142"/>
        </c:manualLayout>
      </c:layout>
      <c:scatterChart>
        <c:scatterStyle val="lineMarker"/>
        <c:varyColors val="0"/>
        <c:ser>
          <c:idx val="0"/>
          <c:order val="0"/>
          <c:tx>
            <c:strRef>
              <c:f>Hoja6!$B$37</c:f>
              <c:strCache>
                <c:ptCount val="1"/>
                <c:pt idx="0">
                  <c:v>Medias</c:v>
                </c:pt>
              </c:strCache>
            </c:strRef>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1"/>
            <c:dispEq val="1"/>
            <c:trendlineLbl>
              <c:layout>
                <c:manualLayout>
                  <c:x val="-0.10770351502102581"/>
                  <c:y val="-0.1246578024718217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trendlineLbl>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poly"/>
            <c:order val="2"/>
            <c:dispRSqr val="0"/>
            <c:dispEq val="0"/>
          </c:trendline>
          <c:errBars>
            <c:errDir val="y"/>
            <c:errBarType val="both"/>
            <c:errValType val="stdErr"/>
            <c:noEndCap val="0"/>
            <c:spPr>
              <a:noFill/>
              <a:ln w="9525">
                <a:solidFill>
                  <a:schemeClr val="tx2">
                    <a:lumMod val="75000"/>
                  </a:schemeClr>
                </a:solidFill>
                <a:round/>
              </a:ln>
              <a:effectLst/>
            </c:spPr>
          </c:errBars>
          <c:xVal>
            <c:numRef>
              <c:f>Hoja6!$A$38:$A$41</c:f>
              <c:numCache>
                <c:formatCode>General</c:formatCode>
                <c:ptCount val="4"/>
                <c:pt idx="0">
                  <c:v>0</c:v>
                </c:pt>
                <c:pt idx="1">
                  <c:v>50</c:v>
                </c:pt>
                <c:pt idx="2">
                  <c:v>120</c:v>
                </c:pt>
                <c:pt idx="3">
                  <c:v>140</c:v>
                </c:pt>
              </c:numCache>
            </c:numRef>
          </c:xVal>
          <c:yVal>
            <c:numRef>
              <c:f>Hoja6!$B$38:$B$41</c:f>
              <c:numCache>
                <c:formatCode>General</c:formatCode>
                <c:ptCount val="4"/>
                <c:pt idx="0">
                  <c:v>3.7</c:v>
                </c:pt>
                <c:pt idx="1">
                  <c:v>4.3099999999999996</c:v>
                </c:pt>
                <c:pt idx="2">
                  <c:v>3.43</c:v>
                </c:pt>
                <c:pt idx="3">
                  <c:v>10.56</c:v>
                </c:pt>
              </c:numCache>
            </c:numRef>
          </c:yVal>
          <c:smooth val="0"/>
          <c:extLst>
            <c:ext xmlns:c16="http://schemas.microsoft.com/office/drawing/2014/chart" uri="{C3380CC4-5D6E-409C-BE32-E72D297353CC}">
              <c16:uniqueId val="{00000000-5EB2-4CB0-9844-27AE20A3A47C}"/>
            </c:ext>
          </c:extLst>
        </c:ser>
        <c:dLbls>
          <c:showLegendKey val="0"/>
          <c:showVal val="0"/>
          <c:showCatName val="0"/>
          <c:showSerName val="0"/>
          <c:showPercent val="0"/>
          <c:showBubbleSize val="0"/>
        </c:dLbls>
        <c:axId val="152700416"/>
        <c:axId val="152702336"/>
      </c:scatterChart>
      <c:valAx>
        <c:axId val="15270041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Dosis de Nitrógeno</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2702336"/>
        <c:crosses val="autoZero"/>
        <c:crossBetween val="midCat"/>
      </c:valAx>
      <c:valAx>
        <c:axId val="1527023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Adsorcion de S</a:t>
                </a:r>
                <a:r>
                  <a:rPr lang="en-US" baseline="0"/>
                  <a:t> </a:t>
                </a:r>
                <a:r>
                  <a:rPr lang="en-US"/>
                  <a:t>Kg/ha-1</a:t>
                </a:r>
                <a:endParaRPr lang="es-EC"/>
              </a:p>
              <a:p>
                <a:pPr>
                  <a:defRPr sz="900" b="1" i="0" u="none" strike="noStrike" kern="1200" baseline="0">
                    <a:solidFill>
                      <a:schemeClr val="tx2"/>
                    </a:solidFill>
                    <a:latin typeface="+mn-lt"/>
                    <a:ea typeface="+mn-ea"/>
                    <a:cs typeface="+mn-cs"/>
                  </a:defRPr>
                </a:pPr>
                <a:endParaRPr lang="en-US"/>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52700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SIP19</b:Tag>
    <b:SourceType>Book</b:SourceType>
    <b:Guid>{2C05F475-17A4-4944-934F-4D9A8FA0A3BF}</b:Guid>
    <b:Author>
      <b:Author>
        <b:NameList>
          <b:Person>
            <b:Last>SIPA</b:Last>
          </b:Person>
        </b:NameList>
      </b:Author>
    </b:Author>
    <b:Year>2019</b:Year>
    <b:RefOrder>81</b:RefOrder>
  </b:Source>
  <b:Source>
    <b:Tag>Org15</b:Tag>
    <b:SourceType>InternetSite</b:SourceType>
    <b:Guid>{A9D4CF74-9DEA-4FFC-B802-DC00BEC35BA4}</b:Guid>
    <b:Author>
      <b:Author>
        <b:NameList>
          <b:Person>
            <b:Last>Alimentación</b:Last>
            <b:First>Organización</b:First>
            <b:Middle>de las Naciones Unidas para la Agricultura y la</b:Middle>
          </b:Person>
        </b:NameList>
      </b:Author>
    </b:Author>
    <b:Title>FAO</b:Title>
    <b:Year>2015</b:Year>
    <b:RefOrder>6</b:RefOrder>
  </b:Source>
  <b:Source>
    <b:Tag>Aco09</b:Tag>
    <b:SourceType>InternetSite</b:SourceType>
    <b:Guid>{8C147AF3-02CB-4664-9B4F-9FA8F5F86B22}</b:Guid>
    <b:Author>
      <b:Author>
        <b:NameList>
          <b:Person>
            <b:Last>Acosta</b:Last>
          </b:Person>
        </b:NameList>
      </b:Author>
    </b:Author>
    <b:Year>2009</b:Year>
    <b:Title>El cultivo del maíz, su origen y clasificación. El maiz en cuba. Cultivos Tropicales</b:Title>
    <b:InternetSiteTitle>CEVASEG</b:InternetSiteTitle>
    <b:URL>http://www.cesaveg.org.mx/html/folletos/folletos_07/folleto_maiz_07. pdf</b:URL>
    <b:RefOrder>8</b:RefOrder>
  </b:Source>
  <b:Source>
    <b:Tag>Qui16</b:Tag>
    <b:SourceType>InternetSite</b:SourceType>
    <b:Guid>{F2F3F311-B934-4A62-A091-C9C66E55E309}</b:Guid>
    <b:Year>2016</b:Year>
    <b:Author>
      <b:Author>
        <b:NameList>
          <b:Person>
            <b:Last>Quintero</b:Last>
            <b:First>C</b:First>
            <b:Middle>y Boschetti, G.</b:Middle>
          </b:Person>
        </b:NameList>
      </b:Author>
    </b:Author>
    <b:Title>Fertilizando</b:Title>
    <b:URL>http://www.fertilizando.com/articulos/Eficiencia%20de%20Uso%20de l%20Nitrogeno%20en%20Trigo%20y%20Maiz.asp</b:URL>
    <b:RefOrder>2</b:RefOrder>
  </b:Source>
  <b:Source>
    <b:Tag>Ins11</b:Tag>
    <b:SourceType>DocumentFromInternetSite</b:SourceType>
    <b:Guid>{F836E3D3-EFC4-4553-BF87-FDB47B438179}</b:Guid>
    <b:Title>INIAP</b:Title>
    <b:Year>2011</b:Year>
    <b:Author>
      <b:Author>
        <b:NameList>
          <b:Person>
            <b:Last>Agropecuarias</b:Last>
            <b:First>Instituto</b:First>
            <b:Middle>Nacional Autónomo de Investigaciones</b:Middle>
          </b:Person>
        </b:NameList>
      </b:Author>
    </b:Author>
    <b:InternetSiteTitle>Boletín técnico N°150 “Manejo de nutrientes por sitio específico en el cultivo de maíz bajo labranza de conservación para la provincia de Bolívar. Programa de Maíz. EESC.</b:InternetSiteTitle>
    <b:RefOrder>3</b:RefOrder>
  </b:Source>
  <b:Source>
    <b:Tag>Esp09</b:Tag>
    <b:SourceType>Book</b:SourceType>
    <b:Guid>{67B6C3CC-9975-4387-BE7D-54B1D2AF43F0}</b:Guid>
    <b:Year>2009</b:Year>
    <b:Author>
      <b:Author>
        <b:NameList>
          <b:Person>
            <b:Last>Espinosa</b:Last>
            <b:First>García</b:First>
            <b:Middle>&amp;</b:Middle>
          </b:Person>
        </b:NameList>
      </b:Author>
    </b:Author>
    <b:Title>Herramientas para mejorar el uso de nuytrientes en el maiz</b:Title>
    <b:City>Costa Rica</b:City>
    <b:Publisher>IPNI</b:Publisher>
    <b:Pages>49-56</b:Pages>
    <b:RefOrder>4</b:RefOrder>
  </b:Source>
  <b:Source>
    <b:Tag>INI17</b:Tag>
    <b:SourceType>InternetSite</b:SourceType>
    <b:Guid>{A9B63BA7-E56B-4F03-8A3D-1AB1C1038AFD}</b:Guid>
    <b:Title>INIAP</b:Title>
    <b:Year>2017</b:Year>
    <b:InternetSiteTitle>BOLRTIN TECNICO 150</b:InternetSiteTitle>
    <b:URL>http://nla.ipni.net/ipniweb/region/nla.nsf/e0f085ed5f091b1b852579000057902e/40ad1eee26c802f005257a5300510c6d/$FILE/M%20Nutrientes.pdf</b:URL>
    <b:RefOrder>5</b:RefOrder>
  </b:Source>
  <b:Source>
    <b:Tag>Alv11</b:Tag>
    <b:SourceType>Book</b:SourceType>
    <b:Guid>{5478D152-73A7-4B74-BDFC-931DC073F98E}</b:Guid>
    <b:Author>
      <b:Author>
        <b:NameList>
          <b:Person>
            <b:Last>Alvarado</b:Last>
            <b:First>et</b:First>
          </b:Person>
        </b:NameList>
      </b:Author>
    </b:Author>
    <b:Year>2011</b:Year>
    <b:Title>Metodología de análisis físico químico de suelos, aguas y foliares. Tercera aproximación. Laboratorio del Departamento de Manejo de Suelos y Aguas. Estación Experimental Santa Catalina</b:Title>
    <b:Pages>6-24</b:Pages>
    <b:Comments>TOMADOLOS DATOS  DEL INIAP</b:Comments>
    <b:RefOrder>7</b:RefOrder>
  </b:Source>
  <b:Source>
    <b:Tag>Bri04</b:Tag>
    <b:SourceType>Book</b:SourceType>
    <b:Guid>{4DE4EBCB-CEB8-45A5-B763-4A71ECFC42E1}</b:Guid>
    <b:Author>
      <b:Author>
        <b:NameList>
          <b:Person>
            <b:Last>Pardavé</b:Last>
            <b:First>Brizuela</b:First>
            <b:Middle>L y</b:Middle>
          </b:Person>
        </b:NameList>
      </b:Author>
    </b:Author>
    <b:Year>2004</b:Year>
    <b:Title>Guía técnica para la producción de maíz en Honduras. Programa nacional de maíz.</b:Title>
    <b:City>Honduras</b:City>
    <b:Pages>27-30</b:Pages>
    <b:RefOrder>9</b:RefOrder>
  </b:Source>
  <b:Source>
    <b:Tag>Ver00</b:Tag>
    <b:SourceType>Book</b:SourceType>
    <b:Guid>{F82D98AA-CD9C-4A38-9253-A3130230D44B}</b:Guid>
    <b:Author>
      <b:Author>
        <b:NameList>
          <b:Person>
            <b:Last>Verissimo</b:Last>
            <b:First>L</b:First>
          </b:Person>
        </b:NameList>
      </b:Author>
    </b:Author>
    <b:Year>2000</b:Year>
    <b:Title>Enciclopedia practica de la agricultura y la ganadería</b:Title>
    <b:Pages>309-314</b:Pages>
    <b:RefOrder>10</b:RefOrder>
  </b:Source>
  <b:Source>
    <b:Tag>Ald00</b:Tag>
    <b:SourceType>Book</b:SourceType>
    <b:Guid>{97C6B9A9-12B1-45BE-8ABE-8A423DDEB091}</b:Guid>
    <b:Author>
      <b:Author>
        <b:NameList>
          <b:Person>
            <b:Last>Aldrich</b:Last>
            <b:First>S.</b:First>
            <b:Middle>y Leng, M</b:Middle>
          </b:Person>
        </b:NameList>
      </b:Author>
    </b:Author>
    <b:Year>2000</b:Year>
    <b:Title>Producción moderna de maíz</b:Title>
    <b:City>Buenos Aires</b:City>
    <b:Publisher>Hemisferio Sur</b:Publisher>
    <b:RefOrder>11</b:RefOrder>
  </b:Source>
  <b:Source>
    <b:Tag>Par98</b:Tag>
    <b:SourceType>Book</b:SourceType>
    <b:Guid>{E84C263C-698A-4628-A464-EBECDED5710B}</b:Guid>
    <b:Author>
      <b:Author>
        <b:NameList>
          <b:Person>
            <b:Last>Parsons</b:Last>
            <b:First>D</b:First>
          </b:Person>
        </b:NameList>
      </b:Author>
    </b:Author>
    <b:Year>1998</b:Year>
    <b:Title>Manual para le educación agropecuaria.</b:Title>
    <b:Publisher>Trillas</b:Publisher>
    <b:Pages> 35-38, 69-72</b:Pages>
    <b:RefOrder>12</b:RefOrder>
  </b:Source>
  <b:Source>
    <b:Tag>Ort08</b:Tag>
    <b:SourceType>Book</b:SourceType>
    <b:Guid>{16DD1530-BE84-4AF7-B668-6F22024C2800}</b:Guid>
    <b:Author>
      <b:Author>
        <b:NameList>
          <b:Person>
            <b:Last>Ortas</b:Last>
            <b:First>L</b:First>
          </b:Person>
        </b:NameList>
      </b:Author>
    </b:Author>
    <b:Year>2008</b:Year>
    <b:RefOrder>13</b:RefOrder>
  </b:Source>
  <b:Source>
    <b:Tag>Gar12</b:Tag>
    <b:SourceType>Book</b:SourceType>
    <b:Guid>{18605492-C609-4F8E-BD99-15548A1F317E}</b:Guid>
    <b:Author>
      <b:Author>
        <b:NameList>
          <b:Person>
            <b:Last>Garcés</b:Last>
            <b:First>N</b:First>
            <b:Middle>y Lescano, D</b:Middle>
          </b:Person>
        </b:NameList>
      </b:Author>
    </b:Author>
    <b:Year>2012</b:Year>
    <b:Title>Cultivos de la sierra, Universidad Central del Ecuador, Facultad de ciencias agronómicas. Quito</b:Title>
    <b:Pages>5-9</b:Pages>
    <b:RefOrder>14</b:RefOrder>
  </b:Source>
  <b:Source>
    <b:Tag>INI</b:Tag>
    <b:SourceType>InternetSite</b:SourceType>
    <b:Guid>{90DE139A-905B-4E9C-AAE2-C10CAD3DC5F5}</b:Guid>
    <b:Author>
      <b:Author>
        <b:NameList>
          <b:Person>
            <b:Last>INIAP</b:Last>
            <b:First>sf</b:First>
          </b:Person>
        </b:NameList>
      </b:Author>
    </b:Author>
    <b:Title>Guía de producción de maíz para pequeños agricultores y agricultoras guía No. 96</b:Title>
    <b:URL>file:///C:/Users/Alexandra/Downloads/iniapscg96.pdf</b:URL>
    <b:RefOrder>15</b:RefOrder>
  </b:Source>
  <b:Source>
    <b:Tag>Nor08</b:Tag>
    <b:SourceType>Book</b:SourceType>
    <b:Guid>{8A91ECDB-4140-4B26-8A12-3BC2305D253D}</b:Guid>
    <b:Year>2008</b:Year>
    <b:Author>
      <b:Author>
        <b:NameList>
          <b:Person>
            <b:Last>Noroña</b:Last>
            <b:First>J</b:First>
          </b:Person>
        </b:NameList>
      </b:Author>
    </b:Author>
    <b:Title>Caracterización y evaluación agromorfológica de 64 accesiones de maíz negro y 27 accesiones de maíz chulpi (Zea mays L.) colectados en la serranía del Ecuador. Tesis Ingeniero. Agrónomo. Universidad Técnica de Cotopaxi, Ciencias Agrícolas, Ambientales y V</b:Title>
    <b:Pages>32-34</b:Pages>
    <b:RefOrder>16</b:RefOrder>
  </b:Source>
  <b:Source>
    <b:Tag>Pit02</b:Tag>
    <b:SourceType>Book</b:SourceType>
    <b:Guid>{818CDCB6-BFCE-4EB0-9D78-1E92C5778921}</b:Guid>
    <b:Author>
      <b:Author>
        <b:NameList>
          <b:Person>
            <b:Last>Pitty</b:Last>
            <b:First>A</b:First>
          </b:Person>
        </b:NameList>
      </b:Author>
    </b:Author>
    <b:Year>2002</b:Year>
    <b:Title>Guía fotográfica para la identificación de malezas parte I. Escuela agrícola panamericana. Zamorano</b:Title>
    <b:City>HONDURAS</b:City>
    <b:Pages>35-70</b:Pages>
    <b:RefOrder>17</b:RefOrder>
  </b:Source>
  <b:Source>
    <b:Tag>Enc10</b:Tag>
    <b:SourceType>InternetSite</b:SourceType>
    <b:Guid>{D9F8A481-1D07-4315-8FAE-FA99749F6749}</b:Guid>
    <b:Title>Enciclopedia Práctica de la Agricultura y Ganadería</b:Title>
    <b:Year>2010</b:Year>
    <b:URL>https://www.agricolajerez.com/es/product/enciclopedia-practica-de-la-agricultura-y-la-ganaderia</b:URL>
    <b:RefOrder>82</b:RefOrder>
  </b:Source>
  <b:Source>
    <b:Tag>Cav02</b:Tag>
    <b:SourceType>Book</b:SourceType>
    <b:Guid>{C652C153-B949-4846-9ED3-F93B3CC43DE5}</b:Guid>
    <b:Author>
      <b:Author>
        <b:NameList>
          <b:Person>
            <b:Last>Caviedes</b:Last>
            <b:First>M.</b:First>
            <b:Middle>et.</b:Middle>
          </b:Person>
        </b:NameList>
      </b:Author>
    </b:Author>
    <b:Year>2002</b:Year>
    <b:Title>. Nueva Variedad de Maíz Blanco Harinoso Tardío INIAP-111. Boletín divulgativo No. 163. Programa de Maíz, Estación Experimental Santa Catalina.</b:Title>
    <b:Pages>8</b:Pages>
    <b:RefOrder>20</b:RefOrder>
  </b:Source>
  <b:Source>
    <b:Tag>Bri99</b:Tag>
    <b:SourceType>Book</b:SourceType>
    <b:Guid>{EA118FD2-A660-4165-88CA-8DAFCABAD3D6}</b:Guid>
    <b:Author>
      <b:Author>
        <b:NameList>
          <b:Person>
            <b:Last>Brizuela</b:Last>
            <b:First>L</b:First>
            <b:Middle>y Pardavé, C</b:Middle>
          </b:Person>
        </b:NameList>
      </b:Author>
    </b:Author>
    <b:Year>2004</b:Year>
    <b:Title>. Guía técnica para la producción de maíz en Honduras. Programa nacional de maíz.</b:Title>
    <b:Pages>27-30</b:Pages>
    <b:RefOrder>18</b:RefOrder>
  </b:Source>
  <b:Source>
    <b:Tag>Ces07</b:Tag>
    <b:SourceType>Book</b:SourceType>
    <b:Guid>{893A4A6A-6988-4C06-B2DB-70CB8B2C6A07}</b:Guid>
    <b:Author>
      <b:Author>
        <b:NameList>
          <b:Person>
            <b:Last>Cesaveg</b:Last>
          </b:Person>
        </b:NameList>
      </b:Author>
    </b:Author>
    <b:Year>2007</b:Year>
    <b:RefOrder>21</b:RefOrder>
  </b:Source>
  <b:Source>
    <b:Tag>Fab12</b:Tag>
    <b:SourceType>Book</b:SourceType>
    <b:Guid>{7414340A-A731-417F-A50C-5AEF4F3028BF}</b:Guid>
    <b:Author>
      <b:Author>
        <b:NameList>
          <b:Person>
            <b:Last>Fabara</b:Last>
          </b:Person>
        </b:NameList>
      </b:Author>
    </b:Author>
    <b:Year>2012</b:Year>
    <b:Title> Manual de capacitación para la formación de promotores rurales en protección de cultivos</b:Title>
    <b:RefOrder>22</b:RefOrder>
  </b:Source>
  <b:Source>
    <b:Tag>Ecu18</b:Tag>
    <b:SourceType>InternetSite</b:SourceType>
    <b:Guid>{D4F58377-AD9A-4482-BC20-8482C2189C67}</b:Guid>
    <b:Author>
      <b:Author>
        <b:NameList>
          <b:Person>
            <b:Last>Ecured</b:Last>
          </b:Person>
        </b:NameList>
      </b:Author>
    </b:Author>
    <b:Year>2018</b:Year>
    <b:URL> https://www.ecured.cu/Gusano_de_la_mazorca</b:URL>
    <b:RefOrder>23</b:RefOrder>
  </b:Source>
  <b:Source>
    <b:Tag>Yán13</b:Tag>
    <b:SourceType>InternetSite</b:SourceType>
    <b:Guid>{BCACF035-AC3D-4CEF-9D4A-526F84179220}</b:Guid>
    <b:Author>
      <b:Author>
        <b:NameList>
          <b:Person>
            <b:Last>Yánez</b:Last>
            <b:First>Zambrano,</b:First>
            <b:Middle>Caicedo,et</b:Middle>
          </b:Person>
        </b:NameList>
      </b:Author>
    </b:Author>
    <b:Year>2013</b:Year>
    <b:Title>Guía de producción de maíz para pequeños agricultores y agricultoras.</b:Title>
    <b:URL>https://www.google.com/url?sa=t&amp;rct=j&amp;q=&amp;esrc=s&amp;source=web&amp;cd =1&amp;cad=rja&amp;uact=8&amp;ved=0ahUKEwjM7oHU07jcAhVKrlkKHWV2 CvEQFggmMAA&amp;url=http%3A%2F%2Frepositorio.iniap.gob.ec%2F bi</b:URL>
    <b:RefOrder>83</b:RefOrder>
  </b:Source>
  <b:Source>
    <b:Tag>Act18</b:Tag>
    <b:SourceType>InternetSite</b:SourceType>
    <b:Guid>{73D9E1F6-3129-4D8E-A2BC-C82654408FBE}</b:Guid>
    <b:Author>
      <b:Author>
        <b:NameList>
          <b:Person>
            <b:Last>Acticimex</b:Last>
          </b:Person>
        </b:NameList>
      </b:Author>
    </b:Author>
    <b:Year>2018</b:Year>
    <b:URL>https://www.anticimex.com/esES/plagas/identificador-plagas/gorgojos/</b:URL>
    <b:RefOrder>24</b:RefOrder>
  </b:Source>
  <b:Source>
    <b:Tag>CIM04</b:Tag>
    <b:SourceType>Book</b:SourceType>
    <b:Guid>{3914C078-D090-4B03-BAA4-AB7E8FA5E136}</b:Guid>
    <b:Title>En Enfermedades del maíz: una guía para su identificación en el campo </b:Title>
    <b:Year>2004</b:Year>
    <b:Author>
      <b:Author>
        <b:NameList>
          <b:Person>
            <b:Last>CIMMYT</b:Last>
            <b:First>Centro</b:First>
            <b:Middle>Internacional de Mejoramiento de Maíz y Trigo</b:Middle>
          </b:Person>
        </b:NameList>
      </b:Author>
    </b:Author>
    <b:RefOrder>26</b:RefOrder>
  </b:Source>
  <b:Source>
    <b:Tag>Cis15</b:Tag>
    <b:SourceType>Book</b:SourceType>
    <b:Guid>{F6956CB6-7ADE-4E89-9257-D14B1447322A}</b:Guid>
    <b:Author>
      <b:Author>
        <b:NameList>
          <b:Person>
            <b:Last>Cisneros</b:Last>
            <b:First>2015</b:First>
          </b:Person>
        </b:NameList>
      </b:Author>
    </b:Author>
    <b:Year>2015</b:Year>
    <b:RefOrder>25</b:RefOrder>
  </b:Source>
  <b:Source>
    <b:Tag>Aré17</b:Tag>
    <b:SourceType>Book</b:SourceType>
    <b:Guid>{B52AC01B-4D30-4707-A590-A42813B4DE62}</b:Guid>
    <b:Author>
      <b:Author>
        <b:NameList>
          <b:Person>
            <b:Last>Arévalo</b:Last>
          </b:Person>
        </b:NameList>
      </b:Author>
    </b:Author>
    <b:Year>2017</b:Year>
    <b:Title>Determinación de las cantidades de carbono y nitrógeno presentes en lombricompóst producido a partir de dos diferentes sustratos (material vegetal y estiercol de caballo). (Tesis de licenciatura). Universidad Distrital Francisco José de Caldas</b:Title>
    <b:City>Colombia</b:City>
    <b:RefOrder>27</b:RefOrder>
  </b:Source>
  <b:Source>
    <b:Tag>Tri13</b:Tag>
    <b:SourceType>InternetSite</b:SourceType>
    <b:Guid>{6EF1C971-A75C-4F1D-B3DF-F6131E55E84C}</b:Guid>
    <b:Author>
      <b:Author>
        <b:NameList>
          <b:Person>
            <b:Last>Trinidad</b:Last>
          </b:Person>
        </b:NameList>
      </b:Author>
    </b:Author>
    <b:Year>2013</b:Year>
    <b:Title>Slide Share: Elemento del Nitrógeno</b:Title>
    <b:URL>https://es.slideshare.net/theuntouchableforever/elementodel-nitrgeno</b:URL>
    <b:RefOrder>28</b:RefOrder>
  </b:Source>
  <b:Source>
    <b:Tag>Lar16</b:Tag>
    <b:SourceType>InternetSite</b:SourceType>
    <b:Guid>{B0B51A9B-E8EC-4DA6-A353-93B7FAE3EDC8}</b:Guid>
    <b:Author>
      <b:Author>
        <b:NameList>
          <b:Person>
            <b:Last>Lara</b:Last>
          </b:Person>
        </b:NameList>
      </b:Author>
    </b:Author>
    <b:Year>2016</b:Year>
    <b:Title>Ciclo del Nitrógeno </b:Title>
    <b:URL>http://ambienteysaludciclodelnitrogeno.blogspot.com/2016/04/fasesdel-ciclo-del-nitrogeno.html</b:URL>
    <b:RefOrder>31</b:RefOrder>
  </b:Source>
  <b:Source>
    <b:Tag>Eli06</b:Tag>
    <b:SourceType>Book</b:SourceType>
    <b:Guid>{C6676BB7-360A-4344-A83A-69382159AF9C}</b:Guid>
    <b:Author>
      <b:Author>
        <b:NameList>
          <b:Person>
            <b:Last>Elizondo</b:Last>
          </b:Person>
        </b:NameList>
      </b:Author>
    </b:Author>
    <b:Year>2006</b:Year>
    <b:Title>El nitrógeno en los sistemas ganaderos de leche. Agronomía mesoamericana, </b:Title>
    <b:RefOrder>29</b:RefOrder>
  </b:Source>
  <b:Source>
    <b:Tag>Iñó18</b:Tag>
    <b:SourceType>InternetSite</b:SourceType>
    <b:Guid>{9A748670-EE4B-4C9A-B2B3-B61483B6EF25}</b:Guid>
    <b:Author>
      <b:Author>
        <b:NameList>
          <b:Person>
            <b:Last>Iñón</b:Last>
          </b:Person>
        </b:NameList>
      </b:Author>
    </b:Author>
    <b:Year>2018</b:Year>
    <b:Title>Ciclo del Nitrógeno</b:Title>
    <b:URL> http://www.iib.unsam.edu.ar/archivos/docencia/licenciatura/biotecnolo gia/2018/QuimicaBiol/1528215167.pdf</b:URL>
    <b:RefOrder>30</b:RefOrder>
  </b:Source>
  <b:Source>
    <b:Tag>Ros11</b:Tag>
    <b:SourceType>InternetSite</b:SourceType>
    <b:Guid>{7AA5FDE0-79B9-485E-AC84-217F3D2F8551}</b:Guid>
    <b:Author>
      <b:Author>
        <b:NameList>
          <b:Person>
            <b:Last>Rosales</b:Last>
          </b:Person>
        </b:NameList>
      </b:Author>
    </b:Author>
    <b:Year>2011</b:Year>
    <b:Title>). El Nitrógeno en la Naturaleza</b:Title>
    <b:URL> http://nitrogenonaturaleza.blogspot.com/2011/09/etapasdel-ciclo-delnitrogeno.html</b:URL>
    <b:RefOrder>32</b:RefOrder>
  </b:Source>
  <b:Source>
    <b:Tag>Mol18</b:Tag>
    <b:SourceType>InternetSite</b:SourceType>
    <b:Guid>{EBC5B4E8-0F86-4737-9414-8FE7EA3A1AD4}</b:Guid>
    <b:Author>
      <b:Author>
        <b:NameList>
          <b:Person>
            <b:Last>Molina</b:Last>
          </b:Person>
        </b:NameList>
      </b:Author>
    </b:Author>
    <b:Year>2018</b:Year>
    <b:Title>Nitrógeno y Fertilizantes nitrogenados</b:Title>
    <b:URL>https://www.monografias.com/trabajos82/nitrogeno-fertilizantesnitrogenados/nitrogeno-fertilizantes-nitrogenados.shtml</b:URL>
    <b:RefOrder>35</b:RefOrder>
  </b:Source>
  <b:Source>
    <b:Tag>Mon18</b:Tag>
    <b:SourceType>InternetSite</b:SourceType>
    <b:Guid>{088D9C76-3433-4902-8E7C-ACA6ADB2703B}</b:Guid>
    <b:Author>
      <b:Author>
        <b:NameList>
          <b:Person>
            <b:Last>Montenegro</b:Last>
          </b:Person>
        </b:NameList>
      </b:Author>
    </b:Author>
    <b:Year>2018</b:Year>
    <b:Title>Ciclo del Nitrógeno</b:Title>
    <b:URL>https://es.scribd.com/presentation/383527293/Ciclo-Del-Nitrogeno</b:URL>
    <b:RefOrder>33</b:RefOrder>
  </b:Source>
  <b:Source>
    <b:Tag>Cal12</b:Tag>
    <b:SourceType>Book</b:SourceType>
    <b:Guid>{9B3CE5B7-38E6-47F9-B6A9-F8DCE54B066F}</b:Guid>
    <b:Author>
      <b:Author>
        <b:NameList>
          <b:Person>
            <b:Last>Calva</b:Last>
          </b:Person>
        </b:NameList>
      </b:Author>
    </b:Author>
    <b:Year>2012</b:Year>
    <b:Title>Bacterias simbióticas fijadoras de nitrógeno. Universidad de Salamanca.</b:Title>
    <b:RefOrder>36</b:RefOrder>
  </b:Source>
  <b:Source>
    <b:Tag>Sot17</b:Tag>
    <b:SourceType>InternetSite</b:SourceType>
    <b:Guid>{1B3892D0-BAE9-4F9E-88FE-D333C36ED457}</b:Guid>
    <b:Author>
      <b:Author>
        <b:NameList>
          <b:Person>
            <b:Last>Soto</b:Last>
          </b:Person>
        </b:NameList>
      </b:Author>
    </b:Author>
    <b:Year>2017</b:Year>
    <b:Title>Ciclo del Nitrógeno.</b:Title>
    <b:URL>https://www.slideshare.net/diegosfabricios/ciclo-del-nitrogeno-72438675</b:URL>
    <b:RefOrder>34</b:RefOrder>
  </b:Source>
  <b:Source>
    <b:Tag>Vid15</b:Tag>
    <b:SourceType>InternetSite</b:SourceType>
    <b:Guid>{19906388-89BD-4235-BA27-659CDF15F900}</b:Guid>
    <b:Author>
      <b:Author>
        <b:NameList>
          <b:Person>
            <b:Last>Vida</b:Last>
            <b:First>Sana,</b:First>
          </b:Person>
        </b:NameList>
      </b:Author>
    </b:Author>
    <b:Year>2015</b:Year>
    <b:Title>Microorganismos del suelo y biofertilización</b:Title>
    <b:URL>http://traditionalcrops.com/upload/file/dossier-5_microorganismos-del-suelo-ybiofertilizacion.pdf</b:URL>
    <b:RefOrder>37</b:RefOrder>
  </b:Source>
  <b:Source>
    <b:Tag>Oli08</b:Tag>
    <b:SourceType>InternetSite</b:SourceType>
    <b:Guid>{3F7F2350-20CD-4D13-8236-DC4064F1C282}</b:Guid>
    <b:Author>
      <b:Author>
        <b:NameList>
          <b:Person>
            <b:Last>Olivares</b:Last>
          </b:Person>
        </b:NameList>
      </b:Author>
    </b:Author>
    <b:Year>2008</b:Year>
    <b:Title>Fijación Biológica del Nitrógeno. </b:Title>
    <b:URL> https://www2.eez.csic.es/olivares/ciencia/fijacion/</b:URL>
    <b:RefOrder>38</b:RefOrder>
  </b:Source>
  <b:Source>
    <b:Tag>Qui10</b:Tag>
    <b:SourceType>InternetSite</b:SourceType>
    <b:Guid>{3D57E37B-4D9B-4E4E-90B9-EB97CE343147}</b:Guid>
    <b:Author>
      <b:Author>
        <b:NameList>
          <b:Person>
            <b:Last>Quimica</b:Last>
          </b:Person>
        </b:NameList>
      </b:Author>
    </b:Author>
    <b:Year>2010</b:Year>
    <b:Title>Fijación del Nitrógeno.</b:Title>
    <b:URL>https://quimica.laguia2000.com/conceptos-basicos/fijacion-de-nitrogeno</b:URL>
    <b:RefOrder>40</b:RefOrder>
  </b:Source>
  <b:Source>
    <b:Tag>Mar11</b:Tag>
    <b:SourceType>BookSection</b:SourceType>
    <b:Guid>{6A59F437-AF72-49C7-9F85-FE1C68A0FCB5}</b:Guid>
    <b:Author>
      <b:Author>
        <b:NameList>
          <b:Person>
            <b:Last>Marin</b:Last>
          </b:Person>
        </b:NameList>
      </b:Author>
    </b:Author>
    <b:Year>2011</b:Year>
    <b:Title>Edafología 1 (Primera ed.). Caldas, Colombia: Espacio Gráfico Comunicaciones S.A.</b:Title>
    <b:RefOrder>41</b:RefOrder>
  </b:Source>
  <b:Source>
    <b:Tag>May04</b:Tag>
    <b:SourceType>Book</b:SourceType>
    <b:Guid>{1A9E159D-6088-4E98-9A06-F6785257B0C7}</b:Guid>
    <b:Year>2004</b:Year>
    <b:Author>
      <b:Author>
        <b:NameList>
          <b:Person>
            <b:Last>Mayz</b:Last>
          </b:Person>
        </b:NameList>
      </b:Author>
    </b:Author>
    <b:Title>Fijación biológica de nitrógeno. Revista Científica UDO Agrícola, 4(1), 20. </b:Title>
    <b:RefOrder>39</b:RefOrder>
  </b:Source>
  <b:Source>
    <b:Tag>Qui12</b:Tag>
    <b:SourceType>Book</b:SourceType>
    <b:Guid>{198637A6-BEFD-48D5-8627-3C3996694767}</b:Guid>
    <b:Author>
      <b:Author>
        <b:NameList>
          <b:Person>
            <b:Last>Bono</b:Last>
            <b:First>Quiroga</b:First>
            <b:Middle>&amp;</b:Middle>
          </b:Person>
        </b:NameList>
      </b:Author>
    </b:Author>
    <b:Year>2012</b:Year>
    <b:Title>Manual de fertilidad y evaluación de suelos. INTA.</b:Title>
    <b:RefOrder>42</b:RefOrder>
  </b:Source>
  <b:Source>
    <b:Tag>Agr18</b:Tag>
    <b:SourceType>InternetSite</b:SourceType>
    <b:Guid>{61A824AB-5AD4-4C73-908B-95F632AC18DD}</b:Guid>
    <b:Author>
      <b:Author>
        <b:NameList>
          <b:Person>
            <b:Last>AgroEs</b:Last>
          </b:Person>
        </b:NameList>
      </b:Author>
    </b:Author>
    <b:Year>2018</b:Year>
    <b:Title>El Nitrógeno, papel en la alimentación de las plantas</b:Title>
    <b:URL> http://www.agroes.es/agricultura/abonos/117-nitrogenofuncion-en-la-alimentacion-de-las-plantas</b:URL>
    <b:RefOrder>43</b:RefOrder>
  </b:Source>
  <b:Source>
    <b:Tag>Mon14</b:Tag>
    <b:SourceType>InternetSite</b:SourceType>
    <b:Guid>{D9C53D85-C606-4F01-9CE1-494D558FAE73}</b:Guid>
    <b:Author>
      <b:Author>
        <b:NameList>
          <b:Person>
            <b:Last>Montalvan</b:Last>
          </b:Person>
        </b:NameList>
      </b:Author>
    </b:Author>
    <b:Year>2014</b:Year>
    <b:Title>Función del nitrógeno</b:Title>
    <b:URL> https://es.slideshare.net/cristhianyersonmontalvancoronel/funcion-delnitrogeno-43054457</b:URL>
    <b:RefOrder>44</b:RefOrder>
  </b:Source>
  <b:Source>
    <b:Tag>Agr16</b:Tag>
    <b:SourceType>InternetSite</b:SourceType>
    <b:Guid>{9D72FCD7-EEA5-4591-B033-A3F6A375F2F8}</b:Guid>
    <b:Author>
      <b:Author>
        <b:NameList>
          <b:Person>
            <b:Last>Agrikcultores</b:Last>
          </b:Person>
        </b:NameList>
      </b:Author>
    </b:Author>
    <b:Year>2016</b:Year>
    <b:Title>Formas químicas de absorción de nitrógeno.</b:Title>
    <b:URL> http://agriculturers.com/formas-quimicasabsorcion-nitrogeno/</b:URL>
    <b:RefOrder>46</b:RefOrder>
  </b:Source>
  <b:Source>
    <b:Tag>MiR17</b:Tag>
    <b:SourceType>InternetSite</b:SourceType>
    <b:Guid>{78BCA268-D8FE-4259-A4C4-46DAA1E9BC1D}</b:Guid>
    <b:Title>Mi Riego</b:Title>
    <b:Year>2017</b:Year>
    <b:InternetSiteTitle> El nitrógeno en el suelo</b:InternetSiteTitle>
    <b:URL> https://miriego-blog.com/2017/03/15/el-nitrogeno-en-el-suelo/</b:URL>
    <b:RefOrder>45</b:RefOrder>
  </b:Source>
  <b:Source>
    <b:Tag>Apa14</b:Tag>
    <b:SourceType>InternetSite</b:SourceType>
    <b:Guid>{F94CD6D0-825E-4730-AD2E-2D3CC7CB4146}</b:Guid>
    <b:Author>
      <b:Author>
        <b:NameList>
          <b:Person>
            <b:Last>Aparici</b:Last>
            <b:First>Mas</b:First>
            <b:Middle>Adelantado.et</b:Middle>
          </b:Person>
        </b:NameList>
      </b:Author>
    </b:Author>
    <b:Year>2014</b:Year>
    <b:Title>Prezzy</b:Title>
    <b:URL>https://prezi.com/7lt5wswsuli8/fertilizantesnitrogenados/</b:URL>
    <b:RefOrder>47</b:RefOrder>
  </b:Source>
  <b:Source>
    <b:Tag>Sie10</b:Tag>
    <b:SourceType>Book</b:SourceType>
    <b:Guid>{6D3784E0-2B49-4FDD-B7D7-8CB5D0EB8A74}</b:Guid>
    <b:Author>
      <b:Author>
        <b:NameList>
          <b:Person>
            <b:Last>Sierra</b:Last>
          </b:Person>
        </b:NameList>
      </b:Author>
    </b:Author>
    <b:Year>2010</b:Year>
    <b:Title>La urea: Características, ventajas y desventajas de esta fuente nitrogenada. Chile: INIA Intihuasi.</b:Title>
    <b:City>Chile</b:City>
    <b:RefOrder>48</b:RefOrder>
  </b:Source>
  <b:Source>
    <b:Tag>Tru08</b:Tag>
    <b:SourceType>Book</b:SourceType>
    <b:Guid>{74C241D5-FE30-428A-AEBC-C1F18B725178}</b:Guid>
    <b:Author>
      <b:Author>
        <b:NameList>
          <b:Person>
            <b:Last>Trullas</b:Last>
            <b:First>Ferré.</b:First>
            <b:Middle>et</b:Middle>
          </b:Person>
        </b:NameList>
      </b:Author>
    </b:Author>
    <b:Year>2008</b:Year>
    <b:Title>El valor de la urea en el cuidado y tratamiento de la piel. 18(1).</b:Title>
    <b:RefOrder>49</b:RefOrder>
  </b:Source>
  <b:Source>
    <b:Tag>Qui161</b:Tag>
    <b:SourceType>Book</b:SourceType>
    <b:Guid>{FF2E6028-044F-4127-A60B-78F7650E5B8D}</b:Guid>
    <b:Author>
      <b:Author>
        <b:NameList>
          <b:Person>
            <b:Last>Boschetti</b:Last>
            <b:First>Quintero</b:First>
            <b:Middle>&amp;</b:Middle>
          </b:Person>
        </b:NameList>
      </b:Author>
    </b:Author>
    <b:Year>2016</b:Year>
    <b:RefOrder>51</b:RefOrder>
  </b:Source>
  <b:Source>
    <b:Tag>Ver15</b:Tag>
    <b:SourceType>Book</b:SourceType>
    <b:Guid>{ED572212-72EC-43C2-A9E6-6C964EA48F8A}</b:Guid>
    <b:Author>
      <b:Author>
        <b:NameList>
          <b:Person>
            <b:Last>Verhulst</b:Last>
            <b:First>Isabelle,</b:First>
            <b:Middle>&amp; Bram</b:Middle>
          </b:Person>
        </b:NameList>
      </b:Author>
    </b:Author>
    <b:Year>2015</b:Year>
    <b:Title>Agricultura de conservación, ¿mejora la calidad del suelo a fin de obtener sistemas de producción sustentables? México: CIMMYT.</b:Title>
    <b:RefOrder>52</b:RefOrder>
  </b:Source>
  <b:Source>
    <b:Tag>CIA14</b:Tag>
    <b:SourceType>InternetSite</b:SourceType>
    <b:Guid>{CC59E58D-C4FE-4FFA-9DA2-3CB29D5CF470}</b:Guid>
    <b:Author>
      <b:Author>
        <b:NameList>
          <b:Person>
            <b:Last>CIA</b:Last>
          </b:Person>
        </b:NameList>
      </b:Author>
    </b:Author>
    <b:Year>2014</b:Year>
    <b:Title>Acidez de suelos y uso de enmiendas. </b:Title>
    <b:URL>http://www.cia.ucr.ac.cr/pdf/Nota%20t%C3%A9cnica%201- 2014_Acidez%20de%20suelos%20y%20uso%20de%20enmiendas.pdf</b:URL>
    <b:RefOrder>50</b:RefOrder>
  </b:Source>
  <b:Source>
    <b:Tag>Fer13</b:Tag>
    <b:SourceType>InternetSite</b:SourceType>
    <b:Guid>{1C7A9ED4-31E6-4A22-9273-5E6EFF327408}</b:Guid>
    <b:Author>
      <b:Author>
        <b:NameList>
          <b:Person>
            <b:Last>Ferraris</b:Last>
            <b:First>Couretot</b:First>
          </b:Person>
        </b:NameList>
      </b:Author>
    </b:Author>
    <b:Year>2013</b:Year>
    <b:Title>Fertilizantes fosforados en Maíz: Comparación de fuentes, dosis y formas de localización</b:Title>
    <b:URL> https://www.engormix.com/agricultura/articulos/fertilizantes-fosforadosmaiz-comparacion-t30495.htm</b:URL>
    <b:RefOrder>53</b:RefOrder>
  </b:Source>
  <b:Source>
    <b:Tag>Inf12</b:Tag>
    <b:SourceType>InternetSite</b:SourceType>
    <b:Guid>{6B64DD1E-4283-49D2-9115-C1ADCAFBC939}</b:Guid>
    <b:Author>
      <b:Author>
        <b:NameList>
          <b:Person>
            <b:Last>Infoagro</b:Last>
          </b:Person>
        </b:NameList>
      </b:Author>
    </b:Author>
    <b:Year>2012</b:Year>
    <b:Title>El cultivo del maíz.</b:Title>
    <b:URL>www.infoagro.com/herbaceos/cereales/maiz.asp </b:URL>
    <b:RefOrder>54</b:RefOrder>
  </b:Source>
  <b:Source>
    <b:Tag>Per10</b:Tag>
    <b:SourceType>InternetSite</b:SourceType>
    <b:Guid>{331E0310-D08C-45A7-9E07-0F4302E87480}</b:Guid>
    <b:Author>
      <b:Author>
        <b:NameList>
          <b:Person>
            <b:Last>Peruecologico</b:Last>
          </b:Person>
        </b:NameList>
      </b:Author>
    </b:Author>
    <b:Year>2010</b:Year>
    <b:Title>Ciclo del fósforo</b:Title>
    <b:URL>:www.peruecologico.com, </b:URL>
    <b:RefOrder>55</b:RefOrder>
  </b:Source>
  <b:Source>
    <b:Tag>Ins03</b:Tag>
    <b:SourceType>InternetSite</b:SourceType>
    <b:Guid>{968E4D37-3960-4D31-89A3-AB182FC8A949}</b:Guid>
    <b:Author>
      <b:Author>
        <b:NameList>
          <b:Person>
            <b:Last>Instituto Valenciano de Exportación</b:Last>
            <b:First>IVEX</b:First>
          </b:Person>
        </b:NameList>
      </b:Author>
    </b:Author>
    <b:Year>2003</b:Year>
    <b:URL>http://www.comercioexterior.es/es/actioncontinguts.continguts+subsubcat251/comercio+internacional/Reexporta/Publicidad.htm: (IVEX).</b:URL>
    <b:RefOrder>56</b:RefOrder>
  </b:Source>
  <b:Source>
    <b:Tag>Hav05</b:Tag>
    <b:SourceType>Book</b:SourceType>
    <b:Guid>{71CB954A-7408-48B7-A8C5-E5CDF7927FBE}</b:Guid>
    <b:Author>
      <b:Author>
        <b:NameList>
          <b:Person>
            <b:Last>Havlin</b:Last>
            <b:First>J.,</b:First>
            <b:Middle>Beaaton, J., Tisdale, S., y Werner, N</b:Middle>
          </b:Person>
        </b:NameList>
      </b:Author>
    </b:Author>
    <b:Year>2005</b:Year>
    <b:Title>Soil Fertility and Fertilizers: An Introduction to Nutrient Management.</b:Title>
    <b:City>New Jersey</b:City>
    <b:Publisher> Pearson Printice Hall</b:Publisher>
    <b:Pages>199 - 205</b:Pages>
    <b:RefOrder>57</b:RefOrder>
  </b:Source>
  <b:Source>
    <b:Tag>Bas10</b:Tag>
    <b:SourceType>Book</b:SourceType>
    <b:Guid>{6FF38E7A-644F-41BB-92EB-75EF2F219037}</b:Guid>
    <b:Author>
      <b:Author>
        <b:NameList>
          <b:Person>
            <b:Last>Basantes</b:Last>
          </b:Person>
        </b:NameList>
      </b:Author>
    </b:Author>
    <b:Year>2010</b:Year>
    <b:Title>Guía técnica para la producción de maíz en Honduras. Programa nacional de maíz. Omonita</b:Title>
    <b:City>Cortes</b:City>
    <b:Pages>27-30</b:Pages>
    <b:RefOrder>58</b:RefOrder>
  </b:Source>
  <b:Source>
    <b:Tag>San</b:Tag>
    <b:SourceType>InternetSite</b:SourceType>
    <b:Guid>{B5B382EF-DE9B-40EE-B3C2-C215ECC42E22}</b:Guid>
    <b:Author>
      <b:Author>
        <b:NameList>
          <b:Person>
            <b:Last>Sanzano.sf</b:Last>
          </b:Person>
        </b:NameList>
      </b:Author>
    </b:Author>
    <b:Title>El Fósforo del Suelo. Quimica del suelo</b:Title>
    <b:Year>2017</b:Year>
    <b:URL>file:///C:/Users/pc/Downloads/El%20Fósforo%20del%20suelo.pdf</b:URL>
    <b:RefOrder>59</b:RefOrder>
  </b:Source>
  <b:Source>
    <b:Tag>Arc05</b:Tag>
    <b:SourceType>Book</b:SourceType>
    <b:Guid>{65D3C909-3A3B-4673-A545-C18B56154CF2}</b:Guid>
    <b:Title>Nutrición mineral de las plantas</b:Title>
    <b:Year>2005</b:Year>
    <b:Author>
      <b:Author>
        <b:NameList>
          <b:Person>
            <b:Last>Arcos</b:Last>
            <b:First>F</b:First>
          </b:Person>
        </b:NameList>
      </b:Author>
    </b:Author>
    <b:Pages>34-100</b:Pages>
    <b:RefOrder>60</b:RefOrder>
  </b:Source>
  <b:Source>
    <b:Tag>Ger10</b:Tag>
    <b:SourceType>InternetSite</b:SourceType>
    <b:Guid>{611AB047-68EB-4226-8C93-CCCFDE71007F}</b:Guid>
    <b:Author>
      <b:Author>
        <b:NameList>
          <b:Person>
            <b:Last>Germinia</b:Last>
          </b:Person>
        </b:NameList>
      </b:Author>
    </b:Author>
    <b:Title>Nitrógeno y fósforo</b:Title>
    <b:Year>2010</b:Year>
    <b:URL>www.germinia.cl </b:URL>
    <b:RefOrder>61</b:RefOrder>
  </b:Source>
  <b:Source>
    <b:Tag>Pot11</b:Tag>
    <b:SourceType>InternetSite</b:SourceType>
    <b:Guid>{5C5FDD10-CC63-4AEE-AAE2-A54C015995C1}</b:Guid>
    <b:Author>
      <b:Author>
        <b:NameList>
          <b:Person>
            <b:First>Smart,</b:First>
            <b:Middle>Fertilizer,Management,</b:Middle>
          </b:Person>
        </b:NameList>
      </b:Author>
    </b:Author>
    <b:Year>2011</b:Year>
    <b:Title> Potasio en las Plantas</b:Title>
    <b:RefOrder>62</b:RefOrder>
  </b:Source>
  <b:Source>
    <b:Tag>Fer11</b:Tag>
    <b:SourceType>InternetSite</b:SourceType>
    <b:Guid>{F0539469-2916-49C0-9162-4518863C8D40}</b:Guid>
    <b:Title>Fertiquisa</b:Title>
    <b:Year>2011</b:Year>
    <b:Month>04</b:Month>
    <b:Day>06</b:Day>
    <b:URL>www.isquisa.com</b:URL>
    <b:RefOrder>63</b:RefOrder>
  </b:Source>
  <b:Source>
    <b:Tag>Rod92</b:Tag>
    <b:SourceType>Book</b:SourceType>
    <b:Guid>{90F3B233-6049-4849-A738-048C97023EEE}</b:Guid>
    <b:Title>Fertilizantes-Nutrición Vegetal. Editoria</b:Title>
    <b:Year>1992</b:Year>
    <b:City>México</b:City>
    <b:Publisher>l AGT</b:Publisher>
    <b:Author>
      <b:Author>
        <b:NameList>
          <b:Person>
            <b:Last>Rodríguez</b:Last>
            <b:First>F</b:First>
          </b:Person>
        </b:NameList>
      </b:Author>
    </b:Author>
    <b:Pages> 53-56</b:Pages>
    <b:RefOrder>64</b:RefOrder>
  </b:Source>
  <b:Source>
    <b:Tag>Kaf00</b:Tag>
    <b:SourceType>Book</b:SourceType>
    <b:Guid>{A37747A0-9378-4F86-810E-0A9FA40C2696}</b:Guid>
    <b:Author>
      <b:Author>
        <b:NameList>
          <b:Person>
            <b:Last>Kafkafi</b:Last>
            <b:First>Swya</b:First>
            <b:Middle>Kant and Uzi</b:Middle>
          </b:Person>
        </b:NameList>
      </b:Author>
    </b:Author>
    <b:Title>Absorción de potasio por los cultivos en distintos estadios fisiológicos The Hebrew University of Jerusalem, Faculty of Agricultural, Food and Environmental Quality Sciences, Rehovo</b:Title>
    <b:Year>2000</b:Year>
    <b:City>Israel.</b:City>
    <b:Pages>1-54</b:Pages>
    <b:RefOrder>84</b:RefOrder>
  </b:Source>
  <b:Source>
    <b:Tag>Fer00</b:Tag>
    <b:SourceType>Book</b:SourceType>
    <b:Guid>{6B36C8C0-A700-4D98-A943-166049466356}</b:Guid>
    <b:Author>
      <b:Author>
        <b:NameList>
          <b:Person>
            <b:Last>Fertilizantes Químicos Comerciales</b:Last>
            <b:First>S</b:First>
            <b:Middle>A.</b:Middle>
          </b:Person>
        </b:NameList>
      </b:Author>
    </b:Author>
    <b:Title>FERTIQUIM</b:Title>
    <b:Year>2000</b:Year>
    <b:City>México.</b:City>
    <b:RefOrder>66</b:RefOrder>
  </b:Source>
  <b:Source>
    <b:Tag>INP00</b:Tag>
    <b:SourceType>Book</b:SourceType>
    <b:Guid>{E1114971-2369-435F-8395-1C1D05C87B7E}</b:Guid>
    <b:Author>
      <b:Author>
        <b:NameList>
          <b:Person>
            <b:Last>INPOFOS</b:Last>
          </b:Person>
        </b:NameList>
      </b:Author>
    </b:Author>
    <b:Year>2000</b:Year>
    <b:RefOrder>65</b:RefOrder>
  </b:Source>
  <b:Source>
    <b:Tag>Veg00</b:Tag>
    <b:SourceType>Book</b:SourceType>
    <b:Guid>{7013F59B-450C-4490-9378-C38ACBB60A78}</b:Guid>
    <b:Author>
      <b:Author>
        <b:NameList>
          <b:Person>
            <b:Last>Vega</b:Last>
            <b:First>V.</b:First>
            <b:Middle>y Suárez, R</b:Middle>
          </b:Person>
        </b:NameList>
      </b:Author>
    </b:Author>
    <b:Title>“El abonado potásico en olivar: fertilización foliar”. Vida Rura</b:Title>
    <b:Year>2000</b:Year>
    <b:City>Madrid, Españ</b:City>
    <b:Pages>50-55</b:Pages>
    <b:RefOrder>67</b:RefOrder>
  </b:Source>
  <b:Source>
    <b:Tag>Cas03</b:Tag>
    <b:SourceType>Book</b:SourceType>
    <b:Guid>{260BFB49-C936-4F76-98DA-D0E35175B791}</b:Guid>
    <b:Author>
      <b:Author>
        <b:NameList>
          <b:Person>
            <b:Last>Castañeda</b:Last>
          </b:Person>
          <b:Person>
            <b:Last>Sánchez</b:Last>
            <b:First>A.</b:First>
            <b:Middle>y Tua D</b:Middle>
          </b:Person>
        </b:NameList>
      </b:Author>
    </b:Author>
    <b:Title>Investigación Efecto de la dosis y forma de colocación del potasio sobre la concentración foliar de macro elementos en el tomate (Lycopersicon esculentum Mill</b:Title>
    <b:Year>2003</b:Year>
    <b:RefOrder>68</b:RefOrder>
  </b:Source>
  <b:Source>
    <b:Tag>And82</b:Tag>
    <b:SourceType>Book</b:SourceType>
    <b:Guid>{5FE35F39-755E-4240-9A22-9834A04541FF}</b:Guid>
    <b:Author>
      <b:Author>
        <b:NameList>
          <b:Person>
            <b:Last>Anderson</b:Last>
            <b:First>Rennenberg</b:First>
            <b:Middle>et</b:Middle>
          </b:Person>
        </b:NameList>
      </b:Author>
    </b:Author>
    <b:Year>1982</b:Year>
    <b:RefOrder>69</b:RefOrder>
  </b:Source>
  <b:Source>
    <b:Tag>Leh05</b:Tag>
    <b:SourceType>Book</b:SourceType>
    <b:Guid>{3CB2B5B7-6244-4BB9-B539-610F2F8249E8}</b:Guid>
    <b:Author>
      <b:Author>
        <b:NameList>
          <b:Person>
            <b:Last>Lehninger</b:Last>
            <b:First>A.L.,</b:First>
            <b:Middle>Nelson, D.L., y Cox, M.M.</b:Middle>
          </b:Person>
        </b:NameList>
      </b:Author>
    </b:Author>
    <b:Title>Principles of biochemistry</b:Title>
    <b:Year>2005</b:Year>
    <b:Publisher>W. H. Freeman</b:Publisher>
    <b:RefOrder>70</b:RefOrder>
  </b:Source>
  <b:Source>
    <b:Tag>Wit02</b:Tag>
    <b:SourceType>Book</b:SourceType>
    <b:Guid>{F2DD1E77-FAC2-4EA1-8BCA-30C737BCD42C}</b:Guid>
    <b:Author>
      <b:Author>
        <b:NameList>
          <b:Person>
            <b:Last>Witt</b:Last>
            <b:First>C.</b:First>
          </b:Person>
        </b:NameList>
      </b:Author>
    </b:Author>
    <b:Title>Nutrient management</b:Title>
    <b:Year>2002</b:Year>
    <b:City>Canada</b:City>
    <b:Pages>1-45</b:Pages>
    <b:RefOrder>71</b:RefOrder>
  </b:Source>
  <b:Source>
    <b:Tag>Hal14</b:Tag>
    <b:SourceType>Book</b:SourceType>
    <b:Guid>{02894E75-90E2-4453-8E6D-1920D64FA94A}</b:Guid>
    <b:Author>
      <b:Author>
        <b:NameList>
          <b:Person>
            <b:Last>Halvin</b:Last>
            <b:First>J.</b:First>
            <b:Middle>L.</b:Middle>
          </b:Person>
          <b:Person>
            <b:Last>Tisdale</b:Last>
            <b:First>S.</b:First>
            <b:Middle>L.</b:Middle>
          </b:Person>
          <b:Person>
            <b:Last>Nelson</b:Last>
            <b:First>W.</b:First>
            <b:Middle>L.</b:Middle>
          </b:Person>
          <b:Person>
            <b:Last>Beaton</b:Last>
            <b:First>J.</b:First>
            <b:Middle>D.</b:Middle>
          </b:Person>
        </b:NameList>
      </b:Author>
    </b:Author>
    <b:Title>Sulfur, Calcium, and Magnesium. Soil fertility and Fertilizers</b:Title>
    <b:Year>2014</b:Year>
    <b:Publisher>Pearson</b:Publisher>
    <b:Pages>256</b:Pages>
    <b:RefOrder>72</b:RefOrder>
  </b:Source>
  <b:Source>
    <b:Tag>INI11</b:Tag>
    <b:SourceType>Book</b:SourceType>
    <b:Guid>{7F722ED5-7B82-49A8-AB21-41CFBFB35817}</b:Guid>
    <b:Author>
      <b:Author>
        <b:NameList>
          <b:Person>
            <b:Last>INIAP</b:Last>
          </b:Person>
        </b:NameList>
      </b:Author>
    </b:Author>
    <b:Title>Boletín técnico N°150 “Manejo de nutrientes por sitio específico en el cultivo de maíz bajo labranza de conservación para la provincia de Bolívar. Programa de Maíz.</b:Title>
    <b:Year>2011</b:Year>
    <b:City>Quito-Ecuador</b:City>
    <b:Publisher>EESC</b:Publisher>
    <b:RefOrder>85</b:RefOrder>
  </b:Source>
  <b:Source>
    <b:Tag>Esp10</b:Tag>
    <b:SourceType>Book</b:SourceType>
    <b:Guid>{53B1B198-7122-4DC8-85B4-B398C939D7EB}</b:Guid>
    <b:Author>
      <b:Author>
        <b:NameList>
          <b:Person>
            <b:Last>Espinoza</b:Last>
          </b:Person>
        </b:NameList>
      </b:Author>
    </b:Author>
    <b:Title> Tendencia en el manejo sostenible de la fertilidad del suelo</b:Title>
    <b:Year>2010</b:Year>
    <b:City>Santo Domingo - Ecuado</b:City>
    <b:RefOrder>73</b:RefOrder>
  </b:Source>
  <b:Source>
    <b:Tag>Dob00</b:Tag>
    <b:SourceType>Book</b:SourceType>
    <b:Guid>{207DCB5D-E08F-4A22-ADD8-57C6A26EE1B5}</b:Guid>
    <b:Author>
      <b:Author>
        <b:NameList>
          <b:Person>
            <b:Last>Dobermann</b:Last>
            <b:First>A.,</b:First>
            <b:Middle>&amp; Fairhurst, T</b:Middle>
          </b:Person>
        </b:NameList>
      </b:Author>
    </b:Author>
    <b:Title>Arroz: Desordenes nutricionales y manejo de nutrientes</b:Title>
    <b:Year>2000</b:Year>
    <b:RefOrder>74</b:RefOrder>
  </b:Source>
  <b:Source>
    <b:Tag>Por14</b:Tag>
    <b:SourceType>InternetSite</b:SourceType>
    <b:Guid>{4B7135FA-4EAE-4DAD-B526-299B9AD0A9E8}</b:Guid>
    <b:Title>La Cadena de Valor de Michael Porter | Web y Empresas. Web y Empresas</b:Title>
    <b:Year>2014</b:Year>
    <b:Author>
      <b:Author>
        <b:NameList>
          <b:Person>
            <b:Last>Porter</b:Last>
            <b:First>M</b:First>
          </b:Person>
        </b:NameList>
      </b:Author>
    </b:Author>
    <b:Month>07</b:Month>
    <b:Day>27</b:Day>
    <b:URL>http://www.webyempresas.com/la-cadenade-valor-de-michael-porter/.</b:URL>
    <b:RefOrder>76</b:RefOrder>
  </b:Source>
  <b:Source>
    <b:Tag>Rec09</b:Tag>
    <b:SourceType>Book</b:SourceType>
    <b:Guid>{B043E67C-F072-4119-92E0-EE52E5FCD05D}</b:Guid>
    <b:Author>
      <b:Author>
        <b:NameList>
          <b:Person>
            <b:Last>Recio</b:Last>
            <b:First>A.</b:First>
            <b:Middle>B., Valero, C., &amp; Diezma, B</b:Middle>
          </b:Person>
        </b:NameList>
      </b:Author>
    </b:Author>
    <b:Title>Las tecnologías de la información en la agricultura, una asignatura pendiente</b:Title>
    <b:Year>2009</b:Year>
    <b:RefOrder>77</b:RefOrder>
  </b:Source>
  <b:Source>
    <b:Tag>Ban20</b:Tag>
    <b:SourceType>InternetSite</b:SourceType>
    <b:Guid>{E3B275EF-81A4-4E36-B90A-D43917F9779D}</b:Guid>
    <b:Author>
      <b:Author>
        <b:NameList>
          <b:Person>
            <b:Last>Banco Central del Ecuador</b:Last>
          </b:Person>
        </b:NameList>
      </b:Author>
    </b:Author>
    <b:Title>Reporte de coyuntura sector agropecuario</b:Title>
    <b:Year>2020</b:Year>
    <b:URL>https://contenido.bce.fin.ec/documentos/PublicacionesNotas/Catalogo/Encuestas/Coyuntura/Integradas/etc202003.pdf#page=29&amp;zoom=100,81,506</b:URL>
    <b:RefOrder>86</b:RefOrder>
  </b:Source>
  <b:Source>
    <b:Tag>Zam19</b:Tag>
    <b:SourceType>InternetSite</b:SourceType>
    <b:Guid>{735F48FD-F381-4856-B2BA-91C795902A9D}</b:Guid>
    <b:Author>
      <b:Author>
        <b:NameList>
          <b:Person>
            <b:Last>Zambrano</b:Last>
            <b:First>J</b:First>
            <b:Middle>et</b:Middle>
          </b:Person>
        </b:NameList>
      </b:Author>
    </b:Author>
    <b:Title>NEC -ESPAC, MAG-2019 y MAG-2017  Boletín situacional del maíz suave choclo. Ecuador: SIPA</b:Title>
    <b:Year>2019</b:Year>
    <b:RefOrder>78</b:RefOrder>
  </b:Source>
  <b:Source>
    <b:Tag>MAG17</b:Tag>
    <b:SourceType>Book</b:SourceType>
    <b:Guid>{8D60EF0F-4E64-4434-8755-73DA02544A01}</b:Guid>
    <b:Title>Boletín situacional del maíz suave choclo. Ecuador: SIPA-MAGAP</b:Title>
    <b:Year>2013-2014-2017</b:Year>
    <b:Author>
      <b:Author>
        <b:NameList>
          <b:Person>
            <b:Last>MAG</b:Last>
          </b:Person>
        </b:NameList>
      </b:Author>
    </b:Author>
    <b:RefOrder>79</b:RefOrder>
  </b:Source>
  <b:Source>
    <b:Tag>INI19</b:Tag>
    <b:SourceType>InternetSite</b:SourceType>
    <b:Guid>{57BA15AB-8383-4ABC-B905-B136A42942DF}</b:Guid>
    <b:Year>2019</b:Year>
    <b:Author>
      <b:Author>
        <b:NameList>
          <b:Person>
            <b:Last>INIAP</b:Last>
          </b:Person>
        </b:NameList>
      </b:Author>
    </b:Author>
    <b:URL>http://iniap.gob.ec/ </b:URL>
    <b:RefOrder>80</b:RefOrder>
  </b:Source>
  <b:Source>
    <b:Tag>INI12</b:Tag>
    <b:SourceType>InternetSite</b:SourceType>
    <b:Guid>{F820C7E0-29BE-4340-8F4D-13D3500C79F3}</b:Guid>
    <b:Author>
      <b:Author>
        <b:NameList>
          <b:Person>
            <b:Last>INIAP</b:Last>
          </b:Person>
        </b:NameList>
      </b:Author>
    </b:Author>
    <b:Year>2012</b:Year>
    <b:URL>https://repositorio.iniap.gob.ec/bitstream/41000/853/1/iniapscP.A282e2012.pdf</b:URL>
    <b:RefOrder>87</b:RefOrder>
  </b:Source>
  <b:Source>
    <b:Tag>Cab12</b:Tag>
    <b:SourceType>InternetSite</b:SourceType>
    <b:Guid>{994009A8-A8AA-4E19-90DD-8FCAB40D5967}</b:Guid>
    <b:Year>2013</b:Year>
    <b:Author>
      <b:Author>
        <b:NameList>
          <b:Person>
            <b:Last>Yánez</b:Last>
          </b:Person>
        </b:NameList>
      </b:Author>
    </b:Author>
    <b:Title>Guía de producción de maíz para pequeños agricultores y agricultoras.</b:Title>
    <b:URL>https://www.google.com/url?sa=t&amp;rct=j&amp;q=&amp;esrc=s&amp;source=web&amp;cd =1&amp;cad=rja&amp;uact=8&amp;ved=0ahUKEwjM7oHU07jcAhVKrlkKHWV2 CvEQFggmMAA&amp;url=http%3A%2F%2Frepositorio.iniap.gob.ec%2F bitstream%2F41000%2F2435%2F1%2Finiapscg96.pdf&amp;usg=AOvVa w35PBg_PqkSGpm20KqPHrEU</b:URL>
    <b:RefOrder>1</b:RefOrder>
  </b:Source>
  <b:Source>
    <b:Tag>Mon03</b:Tag>
    <b:SourceType>Book</b:SourceType>
    <b:Guid>{BF250B61-FED3-47E4-84C0-5151A3DD3855}</b:Guid>
    <b:Author>
      <b:Author>
        <b:NameList>
          <b:Person>
            <b:Last>Monar</b:Last>
          </b:Person>
        </b:NameList>
      </b:Author>
    </b:Author>
    <b:Year>2003</b:Year>
    <b:Title>Manejo Agronómico del Sistema de Cultivo de Maíz – Frejol voluble. Boletín Divulgativo.</b:Title>
    <b:City>guaranda</b:City>
    <b:Pages>34</b:Pages>
    <b:RefOrder>19</b:RefOrder>
  </b:Source>
  <b:Source xmlns:b="http://schemas.openxmlformats.org/officeDocument/2006/bibliography">
    <b:Tag>Yán00</b:Tag>
    <b:SourceType>InternetSite</b:SourceType>
    <b:Guid>{97227C22-88F5-4835-9C25-61F42748B149}</b:Guid>
    <b:Author>
      <b:Author>
        <b:NameList>
          <b:Person>
            <b:Last>Yánez</b:Last>
            <b:First>C.,</b:First>
            <b:Middle>et</b:Middle>
          </b:Person>
        </b:NameList>
      </b:Author>
    </b:Author>
    <b:Year>2000</b:Year>
    <b:Title>Manual de Producción de Maíz para Pequeños Agricultores y Agricultoras. Programa de Maíz</b:Title>
    <b:URL>https://repositorio.iniap.gob.ec/handle/41000/394</b:URL>
    <b:RefOrder>88</b:RefOrder>
  </b:Source>
  <b:Source xmlns:b="http://schemas.openxmlformats.org/officeDocument/2006/bibliography">
    <b:Tag>Mon00</b:Tag>
    <b:SourceType>Book</b:SourceType>
    <b:Guid>{CF18CE3C-A5AB-4A59-910E-269B3C3B1EE9}</b:Guid>
    <b:Author>
      <b:Author>
        <b:NameList>
          <b:Person>
            <b:Last>Monar</b:Last>
            <b:First>C</b:First>
          </b:Person>
        </b:NameList>
      </b:Author>
    </b:Author>
    <b:Year>2000</b:Year>
    <b:Title>Informe Anual de Labores. Proyecto Integral Noreste de Bolívar (PI – NEB) – INIAP – FEPP</b:Title>
    <b:City>Guaranda</b:City>
    <b:Pages>34</b:Pages>
    <b:RefOrder>89</b:RefOrder>
  </b:Source>
  <b:Source>
    <b:Tag>Gui08</b:Tag>
    <b:SourceType>Book</b:SourceType>
    <b:Guid>{5845FB14-55E3-4345-B1F1-D66BAF86212D}</b:Guid>
    <b:Author>
      <b:Author>
        <b:NameList>
          <b:Person>
            <b:Last>Guillermo</b:Last>
            <b:First>U.F</b:First>
          </b:Person>
        </b:NameList>
      </b:Author>
    </b:Author>
    <b:Title>Desarrollo e implementacion informática de un sistema de acsenso de nivel para los profesores de la ESPOL. .</b:Title>
    <b:Year>2008</b:Year>
    <b:City>Guayaquil</b:City>
    <b:RefOrder>75</b:RefOrder>
  </b:Source>
</b:Sources>
</file>

<file path=customXml/itemProps1.xml><?xml version="1.0" encoding="utf-8"?>
<ds:datastoreItem xmlns:ds="http://schemas.openxmlformats.org/officeDocument/2006/customXml" ds:itemID="{E2122C27-2673-404C-96AA-8FE0B885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205</Pages>
  <Words>45406</Words>
  <Characters>249733</Characters>
  <Application>Microsoft Office Word</Application>
  <DocSecurity>0</DocSecurity>
  <Lines>2081</Lines>
  <Paragraphs>589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EDDISON</dc:creator>
  <cp:lastModifiedBy>Jessenia</cp:lastModifiedBy>
  <cp:revision>6</cp:revision>
  <cp:lastPrinted>2021-08-23T15:27:00Z</cp:lastPrinted>
  <dcterms:created xsi:type="dcterms:W3CDTF">2021-08-20T05:26:00Z</dcterms:created>
  <dcterms:modified xsi:type="dcterms:W3CDTF">2021-08-23T15:29:00Z</dcterms:modified>
</cp:coreProperties>
</file>